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9A1B9DF" w:rsidR="009D60D5" w:rsidRPr="001B5605" w:rsidRDefault="006E3C37"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A4A2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32DD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9B3AC9B" w:rsidR="00741D2D" w:rsidRPr="00D32DD2" w:rsidRDefault="00D32DD2" w:rsidP="00996FEA">
            <w:pPr>
              <w:rPr>
                <w:rFonts w:asciiTheme="minorHAnsi" w:hAnsiTheme="minorHAnsi" w:cs="Arial"/>
                <w:b/>
                <w:sz w:val="24"/>
                <w:lang w:val="en-GB"/>
              </w:rPr>
            </w:pPr>
            <w:r w:rsidRPr="00D32DD2">
              <w:rPr>
                <w:rFonts w:asciiTheme="minorHAnsi" w:hAnsiTheme="minorHAnsi" w:cstheme="minorHAnsi"/>
                <w:b/>
                <w:i/>
                <w:sz w:val="22"/>
                <w:szCs w:val="22"/>
                <w:lang w:val="en-GB"/>
              </w:rPr>
              <w:t>S</w:t>
            </w:r>
            <w:proofErr w:type="spellStart"/>
            <w:r w:rsidRPr="00D32DD2">
              <w:rPr>
                <w:rFonts w:asciiTheme="minorHAnsi" w:hAnsiTheme="minorHAnsi" w:cstheme="minorHAnsi"/>
                <w:b/>
                <w:i/>
                <w:sz w:val="22"/>
                <w:szCs w:val="22"/>
              </w:rPr>
              <w:t>trengthen</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Ukraine’s</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capacity</w:t>
            </w:r>
            <w:proofErr w:type="spellEnd"/>
            <w:r w:rsidRPr="00D32DD2">
              <w:rPr>
                <w:rFonts w:asciiTheme="minorHAnsi" w:hAnsiTheme="minorHAnsi" w:cstheme="minorHAnsi"/>
                <w:b/>
                <w:i/>
                <w:sz w:val="22"/>
                <w:szCs w:val="22"/>
              </w:rPr>
              <w:t xml:space="preserve"> to </w:t>
            </w:r>
            <w:proofErr w:type="spellStart"/>
            <w:r w:rsidRPr="00D32DD2">
              <w:rPr>
                <w:rFonts w:asciiTheme="minorHAnsi" w:hAnsiTheme="minorHAnsi" w:cstheme="minorHAnsi"/>
                <w:b/>
                <w:i/>
                <w:sz w:val="22"/>
                <w:szCs w:val="22"/>
              </w:rPr>
              <w:t>align</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its</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regulatory</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framework</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with</w:t>
            </w:r>
            <w:proofErr w:type="spellEnd"/>
            <w:r w:rsidRPr="00D32DD2">
              <w:rPr>
                <w:rFonts w:asciiTheme="minorHAnsi" w:hAnsiTheme="minorHAnsi" w:cstheme="minorHAnsi"/>
                <w:b/>
                <w:i/>
                <w:sz w:val="22"/>
                <w:szCs w:val="22"/>
              </w:rPr>
              <w:t xml:space="preserve"> ESNA standards and </w:t>
            </w:r>
            <w:proofErr w:type="spellStart"/>
            <w:r w:rsidRPr="00D32DD2">
              <w:rPr>
                <w:rFonts w:asciiTheme="minorHAnsi" w:hAnsiTheme="minorHAnsi" w:cstheme="minorHAnsi"/>
                <w:b/>
                <w:i/>
                <w:sz w:val="22"/>
                <w:szCs w:val="22"/>
              </w:rPr>
              <w:t>incorporating</w:t>
            </w:r>
            <w:proofErr w:type="spellEnd"/>
            <w:r w:rsidRPr="00D32DD2">
              <w:rPr>
                <w:rFonts w:asciiTheme="minorHAnsi" w:hAnsiTheme="minorHAnsi" w:cstheme="minorHAnsi"/>
                <w:b/>
                <w:i/>
                <w:sz w:val="22"/>
                <w:szCs w:val="22"/>
              </w:rPr>
              <w:t xml:space="preserve"> data-</w:t>
            </w:r>
            <w:proofErr w:type="spellStart"/>
            <w:r w:rsidRPr="00D32DD2">
              <w:rPr>
                <w:rFonts w:asciiTheme="minorHAnsi" w:hAnsiTheme="minorHAnsi" w:cstheme="minorHAnsi"/>
                <w:b/>
                <w:i/>
                <w:sz w:val="22"/>
                <w:szCs w:val="22"/>
              </w:rPr>
              <w:t>driven</w:t>
            </w:r>
            <w:proofErr w:type="spellEnd"/>
            <w:r w:rsidRPr="00D32DD2">
              <w:rPr>
                <w:rFonts w:asciiTheme="minorHAnsi" w:hAnsiTheme="minorHAnsi" w:cstheme="minorHAnsi"/>
                <w:b/>
                <w:i/>
                <w:sz w:val="22"/>
                <w:szCs w:val="22"/>
              </w:rPr>
              <w:t xml:space="preserve"> insights </w:t>
            </w:r>
            <w:proofErr w:type="spellStart"/>
            <w:r w:rsidRPr="00D32DD2">
              <w:rPr>
                <w:rFonts w:asciiTheme="minorHAnsi" w:hAnsiTheme="minorHAnsi" w:cstheme="minorHAnsi"/>
                <w:b/>
                <w:i/>
                <w:sz w:val="22"/>
                <w:szCs w:val="22"/>
              </w:rPr>
              <w:t>into</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policy</w:t>
            </w:r>
            <w:proofErr w:type="spellEnd"/>
            <w:r w:rsidRPr="00D32DD2">
              <w:rPr>
                <w:rFonts w:asciiTheme="minorHAnsi" w:hAnsiTheme="minorHAnsi" w:cstheme="minorHAnsi"/>
                <w:b/>
                <w:i/>
                <w:sz w:val="22"/>
                <w:szCs w:val="22"/>
              </w:rPr>
              <w:t xml:space="preserve"> </w:t>
            </w:r>
            <w:proofErr w:type="spellStart"/>
            <w:r w:rsidRPr="00D32DD2">
              <w:rPr>
                <w:rFonts w:asciiTheme="minorHAnsi" w:hAnsiTheme="minorHAnsi" w:cstheme="minorHAnsi"/>
                <w:b/>
                <w:i/>
                <w:sz w:val="22"/>
                <w:szCs w:val="22"/>
              </w:rPr>
              <w:t>development</w:t>
            </w:r>
            <w:proofErr w:type="spellEnd"/>
            <w:r w:rsidRPr="00D32DD2">
              <w:rPr>
                <w:b/>
              </w:rPr>
              <w:t>.</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6082D44" w:rsidR="00741D2D" w:rsidRPr="00D32DD2" w:rsidRDefault="00741D2D" w:rsidP="00E953FE">
            <w:pPr>
              <w:rPr>
                <w:rFonts w:asciiTheme="minorHAnsi" w:hAnsiTheme="minorHAnsi" w:cs="Arial"/>
                <w:sz w:val="24"/>
                <w:lang w:val="ka-GE"/>
              </w:rPr>
            </w:pP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6A84873E" w:rsidR="002129B8" w:rsidRPr="00144A52" w:rsidRDefault="002129B8" w:rsidP="002129B8">
                  <w:pPr>
                    <w:spacing w:before="120" w:after="120"/>
                    <w:rPr>
                      <w:rFonts w:asciiTheme="minorHAnsi" w:hAnsiTheme="minorHAnsi"/>
                      <w:b/>
                      <w:smallCaps/>
                      <w:sz w:val="22"/>
                      <w:szCs w:val="22"/>
                      <w:lang w:val="ka-GE"/>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7F30CB05" w:rsidR="00554974" w:rsidRDefault="00394B04"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It is awarded by means of:</w:t>
            </w:r>
          </w:p>
          <w:p w14:paraId="012CC13F" w14:textId="55E60775" w:rsidR="00707B69" w:rsidRPr="00144A52" w:rsidRDefault="00394B04" w:rsidP="00394B04">
            <w:pPr>
              <w:tabs>
                <w:tab w:val="left" w:pos="510"/>
                <w:tab w:val="left" w:pos="10977"/>
              </w:tabs>
              <w:spacing w:before="120"/>
              <w:ind w:right="83"/>
              <w:jc w:val="both"/>
              <w:rPr>
                <w:rFonts w:asciiTheme="minorHAnsi" w:hAnsiTheme="minorHAnsi"/>
                <w:sz w:val="22"/>
                <w:szCs w:val="22"/>
                <w:highlight w:val="green"/>
                <w:lang w:val="en-GB"/>
              </w:rPr>
            </w:pPr>
            <w:r w:rsidRPr="00394B04">
              <w:rPr>
                <w:rFonts w:asciiTheme="minorHAnsi" w:hAnsiTheme="minorHAnsi"/>
                <w:sz w:val="22"/>
                <w:szCs w:val="22"/>
                <w:lang w:val="en"/>
              </w:rPr>
              <w:t>adapted procedure in application of Articles L. 2123-1 an</w:t>
            </w:r>
            <w:r w:rsidRPr="00394B04">
              <w:rPr>
                <w:rFonts w:asciiTheme="minorHAnsi" w:hAnsiTheme="minorHAnsi"/>
                <w:sz w:val="22"/>
                <w:szCs w:val="22"/>
                <w:lang w:val="en"/>
              </w:rPr>
              <w:t>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6E3C37">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6E3C37">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6E3C37">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6E3C37">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6E3C37">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6E3C37">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6E3C37">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6E3C37">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6E3C37">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6E3C37">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6E3C37">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6E3C37">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6E3C37">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6E3C37">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6E3C37">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6E3C37">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6E3C37">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6E3C37">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6E3C37">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6E3C37">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6E3C37">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6E3C37">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6E3C37">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6E3C37">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6E3C37">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6E3C37">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6E3C37">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6E3C37">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6E3C37">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6E3C37">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6E3C37">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6E3C37">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6E3C37">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6E3C37">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6E3C37">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6E3C37">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6E3C37">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6E3C37">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6E3C37">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6E3C37">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6E3C37">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6E3C37">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9FDDBD6" w14:textId="77777777" w:rsidR="00BA4A20" w:rsidRDefault="00BA4A20" w:rsidP="00BA4A20">
      <w:pPr>
        <w:spacing w:line="240" w:lineRule="auto"/>
        <w:jc w:val="both"/>
        <w:rPr>
          <w:rFonts w:asciiTheme="minorHAnsi" w:hAnsiTheme="minorHAnsi"/>
          <w:sz w:val="22"/>
          <w:szCs w:val="22"/>
        </w:rPr>
      </w:pPr>
      <w:r w:rsidRPr="009034E2">
        <w:rPr>
          <w:rFonts w:ascii="Calibri" w:eastAsia="Times New Roman" w:hAnsi="Calibri" w:cs="Calibri"/>
          <w:lang w:val="en-US" w:eastAsia="en-GB"/>
        </w:rPr>
        <w:t xml:space="preserve">This Service Contract is part of the cooperation project hereinafter referred to as the “MAIN CONTRACT”, whose code is 23EDI0C190 </w:t>
      </w:r>
      <w:r w:rsidRPr="009034E2">
        <w:rPr>
          <w:rFonts w:asciiTheme="minorHAnsi" w:hAnsiTheme="minorHAnsi"/>
          <w:sz w:val="22"/>
          <w:szCs w:val="22"/>
          <w:lang w:val="en-US"/>
        </w:rPr>
        <w:t xml:space="preserve">signed on 26 July </w:t>
      </w:r>
      <w:r w:rsidRPr="009034E2">
        <w:rPr>
          <w:rFonts w:asciiTheme="minorHAnsi" w:hAnsiTheme="minorHAnsi"/>
          <w:i/>
          <w:sz w:val="22"/>
          <w:szCs w:val="22"/>
          <w:lang w:val="en-US"/>
        </w:rPr>
        <w:t>2024</w:t>
      </w:r>
      <w:r w:rsidRPr="009034E2">
        <w:rPr>
          <w:rFonts w:asciiTheme="minorHAnsi" w:hAnsiTheme="minorHAnsi"/>
          <w:sz w:val="22"/>
          <w:szCs w:val="22"/>
          <w:lang w:val="en-US"/>
        </w:rPr>
        <w:t xml:space="preserve"> by Expertise France and </w:t>
      </w:r>
      <w:r w:rsidRPr="009034E2">
        <w:rPr>
          <w:rFonts w:asciiTheme="minorHAnsi" w:hAnsiTheme="minorHAnsi"/>
          <w:i/>
          <w:sz w:val="22"/>
          <w:szCs w:val="22"/>
          <w:lang w:val="en-US"/>
        </w:rPr>
        <w:t>EU Commission</w:t>
      </w:r>
      <w:r w:rsidRPr="009034E2">
        <w:rPr>
          <w:rFonts w:asciiTheme="minorHAnsi" w:hAnsiTheme="minorHAnsi"/>
          <w:sz w:val="22"/>
          <w:szCs w:val="22"/>
          <w:lang w:val="en-US"/>
        </w:rPr>
        <w:t>, concerning “</w:t>
      </w:r>
      <w:r w:rsidRPr="009034E2">
        <w:rPr>
          <w:lang w:val="en-US"/>
        </w:rPr>
        <w:t>EU4Innovation East” – Support to Digital innovation in the Eastern Partnership region</w:t>
      </w:r>
      <w:r w:rsidRPr="009034E2">
        <w:rPr>
          <w:rFonts w:asciiTheme="minorHAnsi" w:hAnsiTheme="minorHAnsi"/>
          <w:sz w:val="22"/>
          <w:szCs w:val="22"/>
          <w:lang w:val="en-US"/>
        </w:rPr>
        <w:t xml:space="preserve"> for the benefit of Ukraine, Moldova, Georgia, Armenia and Azerbaijan implemented by Expertise France</w:t>
      </w:r>
      <w:r w:rsidRPr="00EA5E7F">
        <w:rPr>
          <w:rFonts w:asciiTheme="minorHAnsi" w:hAnsiTheme="minorHAnsi"/>
          <w:sz w:val="22"/>
          <w:szCs w:val="22"/>
        </w:rPr>
        <w:t>.</w:t>
      </w:r>
    </w:p>
    <w:p w14:paraId="367B818D" w14:textId="77777777" w:rsidR="00DE1070" w:rsidRPr="00F2235E" w:rsidRDefault="00DE1070" w:rsidP="00BA4A20">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5E8CA13A" w14:textId="77777777" w:rsidR="003F6E22" w:rsidRPr="00394B04" w:rsidRDefault="00E551F2" w:rsidP="00565F50">
      <w:pPr>
        <w:pStyle w:val="Heading2EU4IE"/>
        <w:ind w:left="360" w:firstLine="0"/>
        <w:rPr>
          <w:rFonts w:asciiTheme="minorHAnsi" w:eastAsia="Times New Roman" w:hAnsiTheme="minorHAnsi" w:cstheme="minorHAnsi"/>
          <w:color w:val="auto"/>
          <w:sz w:val="22"/>
          <w:szCs w:val="22"/>
          <w:lang w:val="en" w:eastAsia="fr-FR"/>
        </w:rPr>
      </w:pPr>
      <w:r w:rsidRPr="00394B04">
        <w:rPr>
          <w:rFonts w:asciiTheme="minorHAnsi" w:eastAsia="Times New Roman" w:hAnsiTheme="minorHAnsi" w:cstheme="minorHAnsi"/>
          <w:color w:val="auto"/>
          <w:sz w:val="22"/>
          <w:szCs w:val="22"/>
          <w:lang w:val="en" w:eastAsia="fr-FR"/>
        </w:rPr>
        <w:t>The object of this contract (hereafter the “Contract</w:t>
      </w:r>
      <w:bookmarkStart w:id="6" w:name="_Toc140836306"/>
      <w:r w:rsidR="00BA4A20" w:rsidRPr="00394B04">
        <w:rPr>
          <w:rFonts w:asciiTheme="minorHAnsi" w:eastAsia="Times New Roman" w:hAnsiTheme="minorHAnsi" w:cstheme="minorHAnsi"/>
          <w:color w:val="auto"/>
          <w:sz w:val="22"/>
          <w:szCs w:val="22"/>
          <w:lang w:val="en" w:eastAsia="fr-FR"/>
        </w:rPr>
        <w:t xml:space="preserve">) is </w:t>
      </w:r>
      <w:r w:rsidR="00565F50" w:rsidRPr="00394B04">
        <w:rPr>
          <w:rFonts w:asciiTheme="minorHAnsi" w:eastAsia="Times New Roman" w:hAnsiTheme="minorHAnsi" w:cstheme="minorHAnsi"/>
          <w:color w:val="auto"/>
          <w:sz w:val="22"/>
          <w:szCs w:val="22"/>
          <w:lang w:val="en" w:eastAsia="fr-FR"/>
        </w:rPr>
        <w:t>to S</w:t>
      </w:r>
      <w:proofErr w:type="spellStart"/>
      <w:r w:rsidR="00565F50" w:rsidRPr="00394B04">
        <w:rPr>
          <w:rFonts w:asciiTheme="minorHAnsi" w:eastAsia="Times New Roman" w:hAnsiTheme="minorHAnsi" w:cstheme="minorHAnsi"/>
          <w:color w:val="auto"/>
          <w:sz w:val="22"/>
          <w:szCs w:val="22"/>
          <w:lang w:val="en" w:eastAsia="fr-FR"/>
        </w:rPr>
        <w:t>trengthen</w:t>
      </w:r>
      <w:proofErr w:type="spellEnd"/>
      <w:r w:rsidR="00565F50" w:rsidRPr="00394B04">
        <w:rPr>
          <w:rFonts w:asciiTheme="minorHAnsi" w:eastAsia="Times New Roman" w:hAnsiTheme="minorHAnsi" w:cstheme="minorHAnsi"/>
          <w:color w:val="auto"/>
          <w:sz w:val="22"/>
          <w:szCs w:val="22"/>
          <w:lang w:val="en" w:eastAsia="fr-FR"/>
        </w:rPr>
        <w:t xml:space="preserve"> Ukraine’s capacity to align its regulatory framework with ESNA standards and incorporating data-driven insights into policy development </w:t>
      </w:r>
    </w:p>
    <w:p w14:paraId="0E52074F" w14:textId="71DDA194" w:rsidR="001726C5" w:rsidRPr="00394B04" w:rsidRDefault="001726C5" w:rsidP="00565F50">
      <w:pPr>
        <w:pStyle w:val="Heading2EU4IE"/>
        <w:ind w:left="360" w:firstLine="0"/>
        <w:rPr>
          <w:rFonts w:asciiTheme="minorHAnsi" w:hAnsiTheme="minorHAnsi"/>
          <w:b/>
          <w:caps/>
          <w:color w:val="auto"/>
          <w:sz w:val="24"/>
          <w:u w:val="single"/>
        </w:rPr>
      </w:pPr>
      <w:r w:rsidRPr="00394B04">
        <w:rPr>
          <w:rFonts w:asciiTheme="minorHAnsi" w:hAnsiTheme="minorHAnsi"/>
          <w:b/>
          <w:bCs/>
          <w:caps/>
          <w:color w:val="auto"/>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BF2BCF"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C12591">
        <w:rPr>
          <w:rFonts w:asciiTheme="minorHAnsi" w:hAnsiTheme="minorHAnsi" w:cstheme="minorHAnsi"/>
          <w:szCs w:val="22"/>
          <w:lang w:val="en"/>
        </w:rPr>
        <w:t>/</w:t>
      </w:r>
      <w:proofErr w:type="spellStart"/>
      <w:r w:rsidR="00C12591">
        <w:rPr>
          <w:rFonts w:asciiTheme="minorHAnsi" w:hAnsiTheme="minorHAnsi" w:cstheme="minorHAnsi"/>
          <w:szCs w:val="22"/>
          <w:lang w:val="en"/>
        </w:rPr>
        <w:t>ToR</w:t>
      </w:r>
      <w:proofErr w:type="spellEnd"/>
      <w:r w:rsidRPr="00F2235E">
        <w:rPr>
          <w:rFonts w:asciiTheme="minorHAnsi" w:hAnsiTheme="minorHAnsi" w:cstheme="minorHAnsi"/>
          <w:szCs w:val="22"/>
          <w:lang w:val="en"/>
        </w:rPr>
        <w:t>;</w:t>
      </w:r>
    </w:p>
    <w:p w14:paraId="6C94A0A5" w14:textId="4D1544D0" w:rsidR="00C973C2" w:rsidRPr="00C12591"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49E452E" w14:textId="1433E7AF" w:rsidR="00C12591" w:rsidRPr="00C12591" w:rsidRDefault="00C12591" w:rsidP="00C12591">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Proposal/Financial offer</w:t>
      </w:r>
    </w:p>
    <w:p w14:paraId="224CFC1F" w14:textId="3106FFC3"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sidR="003F6E22">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day-to-day supplies and services approve</w:t>
      </w:r>
      <w:r w:rsidR="003F6E22">
        <w:rPr>
          <w:rFonts w:asciiTheme="minorHAnsi" w:hAnsiTheme="minorHAnsi" w:cstheme="minorHAnsi"/>
          <w:szCs w:val="22"/>
          <w:lang w:val="en"/>
        </w:rPr>
        <w:t xml:space="preserve">d under the Order of 30/03/2021,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8289A1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w:t>
      </w:r>
      <w:r w:rsidR="00BA4A20">
        <w:rPr>
          <w:rFonts w:asciiTheme="minorHAnsi" w:hAnsiTheme="minorHAnsi" w:cstheme="minorHAnsi"/>
          <w:szCs w:val="22"/>
          <w:lang w:val="en"/>
        </w:rPr>
        <w:t xml:space="preserve">ntract for services at fixed </w:t>
      </w:r>
      <w:r w:rsidR="00BA4A20">
        <w:rPr>
          <w:rFonts w:asciiTheme="minorHAnsi" w:hAnsiTheme="minorHAnsi" w:cstheme="minorHAnsi"/>
          <w:szCs w:val="22"/>
          <w:lang w:val="en-GB"/>
        </w:rPr>
        <w:t>p</w:t>
      </w:r>
      <w:proofErr w:type="spellStart"/>
      <w:r w:rsidR="00BA4A20">
        <w:rPr>
          <w:rFonts w:asciiTheme="minorHAnsi" w:hAnsiTheme="minorHAnsi" w:cstheme="minorHAnsi"/>
          <w:szCs w:val="22"/>
          <w:lang w:val="en"/>
        </w:rPr>
        <w:t>rices</w:t>
      </w:r>
      <w:proofErr w:type="spellEnd"/>
      <w:r w:rsidR="00BA4A20">
        <w:rPr>
          <w:rFonts w:asciiTheme="minorHAnsi" w:hAnsiTheme="minorHAnsi" w:cstheme="minorHAnsi"/>
          <w:szCs w:val="22"/>
          <w:lang w:val="en"/>
        </w:rPr>
        <w:t>.</w:t>
      </w:r>
    </w:p>
    <w:p w14:paraId="29C9FB59" w14:textId="326144D4" w:rsidR="00BA4A20" w:rsidRPr="00565F50" w:rsidRDefault="00BA4A20" w:rsidP="00565F50">
      <w:pPr>
        <w:pStyle w:val="v"/>
        <w:widowControl w:val="0"/>
        <w:spacing w:before="120" w:after="240"/>
        <w:ind w:left="556" w:firstLine="0"/>
        <w:rPr>
          <w:rFonts w:asciiTheme="minorHAnsi" w:hAnsiTheme="minorHAnsi" w:cstheme="minorHAnsi"/>
          <w:szCs w:val="22"/>
          <w:lang w:val="en-GB"/>
        </w:rPr>
      </w:pPr>
      <w:bookmarkStart w:id="11" w:name="_Toc392669632"/>
      <w:bookmarkStart w:id="12" w:name="_Toc140836309"/>
      <w:bookmarkEnd w:id="10"/>
    </w:p>
    <w:p w14:paraId="69F763B2" w14:textId="1DB7A88D" w:rsidR="000A6E96" w:rsidRPr="000D19AC" w:rsidRDefault="000A6E96" w:rsidP="00F72033">
      <w:pPr>
        <w:pStyle w:val="Titre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5305811B"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A4A20">
        <w:rPr>
          <w:rFonts w:asciiTheme="minorHAnsi" w:hAnsiTheme="minorHAnsi" w:cstheme="minorHAnsi"/>
          <w:szCs w:val="22"/>
          <w:lang w:val="en"/>
        </w:rPr>
        <w:t xml:space="preserve">6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BA4A20">
        <w:rPr>
          <w:rFonts w:asciiTheme="minorHAnsi" w:hAnsiTheme="minorHAnsi" w:cstheme="minorHAnsi"/>
          <w:szCs w:val="22"/>
          <w:lang w:val="en"/>
        </w:rPr>
        <w:t>, which is June 16</w:t>
      </w:r>
      <w:r w:rsidR="00BA4A20" w:rsidRPr="00BA4A20">
        <w:rPr>
          <w:rFonts w:asciiTheme="minorHAnsi" w:hAnsiTheme="minorHAnsi" w:cstheme="minorHAnsi"/>
          <w:szCs w:val="22"/>
          <w:vertAlign w:val="superscript"/>
          <w:lang w:val="en"/>
        </w:rPr>
        <w:t>th</w:t>
      </w:r>
      <w:r w:rsidR="00BA4A20">
        <w:rPr>
          <w:rFonts w:asciiTheme="minorHAnsi" w:hAnsiTheme="minorHAnsi" w:cstheme="minorHAnsi"/>
          <w:szCs w:val="22"/>
          <w:lang w:val="en"/>
        </w:rPr>
        <w:t xml:space="preserve"> to November 30</w:t>
      </w:r>
      <w:r w:rsidR="00BA4A20" w:rsidRPr="00BA4A20">
        <w:rPr>
          <w:rFonts w:asciiTheme="minorHAnsi" w:hAnsiTheme="minorHAnsi" w:cstheme="minorHAnsi"/>
          <w:szCs w:val="22"/>
          <w:vertAlign w:val="superscript"/>
          <w:lang w:val="en"/>
        </w:rPr>
        <w:t>th</w:t>
      </w:r>
      <w:r w:rsidR="00BA4A20">
        <w:rPr>
          <w:rFonts w:asciiTheme="minorHAnsi" w:hAnsiTheme="minorHAnsi" w:cstheme="minorHAnsi"/>
          <w:szCs w:val="22"/>
          <w:lang w:val="en"/>
        </w:rPr>
        <w:t xml:space="preserve"> of 2025. </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3C41B4DA" w:rsidR="00413542" w:rsidRPr="000D19AC" w:rsidRDefault="00BA4A20"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 </w:t>
      </w:r>
      <w:r w:rsidR="00413542" w:rsidRPr="000D19AC">
        <w:rPr>
          <w:rFonts w:asciiTheme="minorHAnsi" w:hAnsiTheme="minorHAnsi" w:cstheme="minorHAnsi"/>
          <w:szCs w:val="22"/>
          <w:lang w:val="en"/>
        </w:rPr>
        <w:t xml:space="preserve">The </w:t>
      </w:r>
      <w:r w:rsidR="00413542" w:rsidRPr="000D19AC">
        <w:rPr>
          <w:rFonts w:asciiTheme="minorHAnsi" w:hAnsiTheme="minorHAnsi" w:cstheme="minorHAnsi"/>
          <w:smallCaps/>
          <w:szCs w:val="22"/>
          <w:lang w:val="en"/>
        </w:rPr>
        <w:t>Contract</w:t>
      </w:r>
      <w:r w:rsidR="00413542" w:rsidRPr="000D19AC">
        <w:rPr>
          <w:rFonts w:asciiTheme="minorHAnsi" w:hAnsiTheme="minorHAnsi" w:cstheme="minorHAnsi"/>
          <w:szCs w:val="22"/>
          <w:lang w:val="en"/>
        </w:rPr>
        <w:t xml:space="preserve"> is entered into with an initial validity period of </w:t>
      </w:r>
      <w:r w:rsidR="00E346A4">
        <w:rPr>
          <w:rFonts w:asciiTheme="minorHAnsi" w:hAnsiTheme="minorHAnsi" w:cstheme="minorHAnsi"/>
          <w:szCs w:val="22"/>
          <w:lang w:val="en"/>
        </w:rPr>
        <w:t xml:space="preserve">6 </w:t>
      </w:r>
      <w:r w:rsidR="00413542" w:rsidRPr="000D19AC">
        <w:rPr>
          <w:rFonts w:asciiTheme="minorHAnsi" w:hAnsiTheme="minorHAnsi" w:cstheme="minorHAnsi"/>
          <w:szCs w:val="22"/>
          <w:lang w:val="en"/>
        </w:rPr>
        <w:t>months from its award date. This initial validity period will be tacitly renewed for additional periods of validi</w:t>
      </w:r>
      <w:r w:rsidR="00E346A4">
        <w:rPr>
          <w:rFonts w:asciiTheme="minorHAnsi" w:hAnsiTheme="minorHAnsi" w:cstheme="minorHAnsi"/>
          <w:szCs w:val="22"/>
          <w:lang w:val="en"/>
        </w:rPr>
        <w:t>ty, up to the maximum amount of 6</w:t>
      </w:r>
      <w:r w:rsidR="00413542" w:rsidRPr="000D19AC">
        <w:rPr>
          <w:rFonts w:asciiTheme="minorHAnsi" w:hAnsiTheme="minorHAnsi" w:cstheme="minorHAnsi"/>
          <w:szCs w:val="22"/>
          <w:lang w:val="en"/>
        </w:rPr>
        <w:t xml:space="preserve"> months from the award date. </w:t>
      </w:r>
    </w:p>
    <w:tbl>
      <w:tblPr>
        <w:tblStyle w:val="Grilledutableau1"/>
        <w:tblW w:w="0" w:type="auto"/>
        <w:jc w:val="center"/>
        <w:tblLayout w:type="fixed"/>
        <w:tblLook w:val="04A0" w:firstRow="1" w:lastRow="0" w:firstColumn="1" w:lastColumn="0" w:noHBand="0" w:noVBand="1"/>
      </w:tblPr>
      <w:tblGrid>
        <w:gridCol w:w="4074"/>
        <w:gridCol w:w="1828"/>
        <w:gridCol w:w="1833"/>
      </w:tblGrid>
      <w:tr w:rsidR="00E346A4" w:rsidRPr="008E1382" w14:paraId="6CE71F14" w14:textId="77777777" w:rsidTr="00C12591">
        <w:trPr>
          <w:trHeight w:val="281"/>
          <w:jc w:val="center"/>
        </w:trPr>
        <w:tc>
          <w:tcPr>
            <w:tcW w:w="4074" w:type="dxa"/>
            <w:tcBorders>
              <w:bottom w:val="nil"/>
            </w:tcBorders>
            <w:shd w:val="clear" w:color="auto" w:fill="D9D9D9" w:themeFill="background1" w:themeFillShade="D9"/>
          </w:tcPr>
          <w:p w14:paraId="3CD426DC" w14:textId="77777777" w:rsidR="00E346A4" w:rsidRPr="008E1382" w:rsidRDefault="00E346A4" w:rsidP="00406279">
            <w:pPr>
              <w:jc w:val="center"/>
              <w:rPr>
                <w:rFonts w:eastAsia="Times New Roman" w:cstheme="minorHAnsi"/>
                <w:b/>
                <w:lang w:val="en-US"/>
              </w:rPr>
            </w:pPr>
            <w:r w:rsidRPr="008E1382">
              <w:rPr>
                <w:rFonts w:eastAsia="Times New Roman" w:cstheme="minorHAnsi"/>
                <w:b/>
                <w:bCs/>
                <w:lang w:val="en-US"/>
              </w:rPr>
              <w:t>Activity</w:t>
            </w:r>
          </w:p>
        </w:tc>
        <w:tc>
          <w:tcPr>
            <w:tcW w:w="1828" w:type="dxa"/>
            <w:vMerge w:val="restart"/>
            <w:shd w:val="clear" w:color="auto" w:fill="D9D9D9" w:themeFill="background1" w:themeFillShade="D9"/>
          </w:tcPr>
          <w:p w14:paraId="31E3914D" w14:textId="77777777" w:rsidR="00E346A4" w:rsidRPr="008E1382" w:rsidRDefault="00E346A4" w:rsidP="00406279">
            <w:pPr>
              <w:jc w:val="center"/>
              <w:rPr>
                <w:rFonts w:cstheme="minorHAnsi"/>
                <w:b/>
                <w:lang w:val="en-US"/>
              </w:rPr>
            </w:pPr>
            <w:r w:rsidRPr="008E1382">
              <w:rPr>
                <w:rFonts w:cstheme="minorHAnsi"/>
                <w:b/>
                <w:bCs/>
                <w:lang w:val="en-US"/>
              </w:rPr>
              <w:t>Place</w:t>
            </w:r>
          </w:p>
        </w:tc>
        <w:tc>
          <w:tcPr>
            <w:tcW w:w="1833" w:type="dxa"/>
            <w:vMerge w:val="restart"/>
            <w:shd w:val="clear" w:color="auto" w:fill="D9D9D9" w:themeFill="background1" w:themeFillShade="D9"/>
          </w:tcPr>
          <w:p w14:paraId="024A067A" w14:textId="77777777" w:rsidR="00E346A4" w:rsidRPr="008E1382" w:rsidRDefault="00E346A4" w:rsidP="00406279">
            <w:pPr>
              <w:jc w:val="center"/>
              <w:rPr>
                <w:rFonts w:cstheme="minorHAnsi"/>
                <w:b/>
                <w:lang w:val="en-US"/>
              </w:rPr>
            </w:pPr>
            <w:r w:rsidRPr="008E1382">
              <w:rPr>
                <w:rFonts w:cstheme="minorHAnsi"/>
                <w:b/>
                <w:bCs/>
                <w:lang w:val="en-US"/>
              </w:rPr>
              <w:t>Period</w:t>
            </w:r>
          </w:p>
        </w:tc>
      </w:tr>
      <w:tr w:rsidR="00E346A4" w:rsidRPr="008E1382" w14:paraId="54FA10C8" w14:textId="77777777" w:rsidTr="00C12591">
        <w:trPr>
          <w:trHeight w:val="79"/>
          <w:jc w:val="center"/>
        </w:trPr>
        <w:tc>
          <w:tcPr>
            <w:tcW w:w="4074" w:type="dxa"/>
            <w:tcBorders>
              <w:top w:val="nil"/>
            </w:tcBorders>
            <w:shd w:val="clear" w:color="auto" w:fill="D9D9D9" w:themeFill="background1" w:themeFillShade="D9"/>
          </w:tcPr>
          <w:p w14:paraId="79A03B46" w14:textId="77777777" w:rsidR="00E346A4" w:rsidRPr="008E1382" w:rsidRDefault="00E346A4" w:rsidP="00406279">
            <w:pPr>
              <w:rPr>
                <w:rFonts w:cstheme="minorHAnsi"/>
                <w:lang w:val="en-US"/>
              </w:rPr>
            </w:pPr>
          </w:p>
        </w:tc>
        <w:tc>
          <w:tcPr>
            <w:tcW w:w="1828" w:type="dxa"/>
            <w:vMerge/>
            <w:shd w:val="clear" w:color="auto" w:fill="D9D9D9" w:themeFill="background1" w:themeFillShade="D9"/>
          </w:tcPr>
          <w:p w14:paraId="130EEAB0" w14:textId="77777777" w:rsidR="00E346A4" w:rsidRPr="008E1382" w:rsidRDefault="00E346A4" w:rsidP="00406279">
            <w:pPr>
              <w:spacing w:line="276" w:lineRule="auto"/>
              <w:jc w:val="center"/>
              <w:rPr>
                <w:rFonts w:cstheme="minorHAnsi"/>
                <w:lang w:val="en-US"/>
              </w:rPr>
            </w:pPr>
          </w:p>
        </w:tc>
        <w:tc>
          <w:tcPr>
            <w:tcW w:w="1833" w:type="dxa"/>
            <w:vMerge/>
            <w:shd w:val="clear" w:color="auto" w:fill="D9D9D9" w:themeFill="background1" w:themeFillShade="D9"/>
          </w:tcPr>
          <w:p w14:paraId="3E4E17F6" w14:textId="77777777" w:rsidR="00E346A4" w:rsidRPr="008E1382" w:rsidRDefault="00E346A4" w:rsidP="00406279">
            <w:pPr>
              <w:spacing w:line="276" w:lineRule="auto"/>
              <w:jc w:val="center"/>
              <w:rPr>
                <w:rFonts w:cstheme="minorHAnsi"/>
                <w:lang w:val="en-US"/>
              </w:rPr>
            </w:pPr>
          </w:p>
        </w:tc>
      </w:tr>
      <w:tr w:rsidR="00E346A4" w:rsidRPr="008E1382" w14:paraId="790082F4" w14:textId="77777777" w:rsidTr="00C12591">
        <w:trPr>
          <w:trHeight w:val="878"/>
          <w:jc w:val="center"/>
        </w:trPr>
        <w:tc>
          <w:tcPr>
            <w:tcW w:w="4074" w:type="dxa"/>
          </w:tcPr>
          <w:p w14:paraId="1862AF63" w14:textId="77777777" w:rsidR="00E346A4" w:rsidRPr="008E1382" w:rsidRDefault="00E346A4" w:rsidP="00406279">
            <w:pPr>
              <w:rPr>
                <w:rFonts w:cstheme="minorHAnsi"/>
                <w:lang w:val="en-US"/>
              </w:rPr>
            </w:pPr>
            <w:r w:rsidRPr="008E1382">
              <w:rPr>
                <w:lang w:val="en-GB"/>
              </w:rPr>
              <w:t>Market &amp; Audience Research -</w:t>
            </w:r>
          </w:p>
        </w:tc>
        <w:tc>
          <w:tcPr>
            <w:tcW w:w="1828" w:type="dxa"/>
          </w:tcPr>
          <w:p w14:paraId="1CEF1D91" w14:textId="77777777" w:rsidR="00E346A4" w:rsidRPr="008E1382" w:rsidRDefault="00E346A4" w:rsidP="00406279">
            <w:pPr>
              <w:jc w:val="center"/>
              <w:rPr>
                <w:rFonts w:cstheme="minorHAnsi"/>
                <w:lang w:val="en-US"/>
              </w:rPr>
            </w:pPr>
            <w:r w:rsidRPr="008E1382">
              <w:t>Ukraine (On-site)</w:t>
            </w:r>
          </w:p>
        </w:tc>
        <w:tc>
          <w:tcPr>
            <w:tcW w:w="1833" w:type="dxa"/>
          </w:tcPr>
          <w:p w14:paraId="1C4E0AC9" w14:textId="77777777" w:rsidR="00E346A4" w:rsidRPr="008E1382" w:rsidRDefault="00E346A4" w:rsidP="00406279">
            <w:pPr>
              <w:rPr>
                <w:rFonts w:cstheme="minorHAnsi"/>
                <w:lang w:val="en-US"/>
              </w:rPr>
            </w:pPr>
            <w:r w:rsidRPr="008E1382">
              <w:t>June 16, 2025– July 31, 2025</w:t>
            </w:r>
          </w:p>
        </w:tc>
      </w:tr>
      <w:tr w:rsidR="00E346A4" w:rsidRPr="008E1382" w14:paraId="3D7B4B7D" w14:textId="77777777" w:rsidTr="00C12591">
        <w:trPr>
          <w:trHeight w:val="585"/>
          <w:jc w:val="center"/>
        </w:trPr>
        <w:tc>
          <w:tcPr>
            <w:tcW w:w="4074" w:type="dxa"/>
          </w:tcPr>
          <w:p w14:paraId="23ACC4DA" w14:textId="77777777" w:rsidR="00E346A4" w:rsidRPr="008E1382" w:rsidRDefault="00E346A4" w:rsidP="00406279">
            <w:r w:rsidRPr="008E1382">
              <w:t>Stakeholder Consultations</w:t>
            </w:r>
          </w:p>
        </w:tc>
        <w:tc>
          <w:tcPr>
            <w:tcW w:w="1828" w:type="dxa"/>
          </w:tcPr>
          <w:p w14:paraId="36089C90" w14:textId="77777777" w:rsidR="00E346A4" w:rsidRPr="008E1382" w:rsidRDefault="00E346A4" w:rsidP="00406279">
            <w:pPr>
              <w:jc w:val="center"/>
            </w:pPr>
            <w:r w:rsidRPr="008E1382">
              <w:t>Ukraine</w:t>
            </w:r>
          </w:p>
        </w:tc>
        <w:tc>
          <w:tcPr>
            <w:tcW w:w="1833" w:type="dxa"/>
          </w:tcPr>
          <w:p w14:paraId="036B1117" w14:textId="77777777" w:rsidR="00E346A4" w:rsidRPr="008E1382" w:rsidRDefault="00E346A4" w:rsidP="00406279">
            <w:pPr>
              <w:rPr>
                <w:rFonts w:cstheme="minorHAnsi"/>
              </w:rPr>
            </w:pPr>
            <w:r w:rsidRPr="008E1382">
              <w:t>July 1, 2025 - July 31,2025</w:t>
            </w:r>
          </w:p>
        </w:tc>
      </w:tr>
      <w:tr w:rsidR="00E346A4" w:rsidRPr="008E1382" w14:paraId="23E42F6F" w14:textId="77777777" w:rsidTr="00C12591">
        <w:trPr>
          <w:trHeight w:val="878"/>
          <w:jc w:val="center"/>
        </w:trPr>
        <w:tc>
          <w:tcPr>
            <w:tcW w:w="4074" w:type="dxa"/>
          </w:tcPr>
          <w:p w14:paraId="3E0BD3BA" w14:textId="77777777" w:rsidR="00E346A4" w:rsidRPr="008E1382" w:rsidRDefault="00E346A4" w:rsidP="00406279">
            <w:pPr>
              <w:rPr>
                <w:rFonts w:cstheme="minorHAnsi"/>
                <w:lang w:val="en-US"/>
              </w:rPr>
            </w:pPr>
            <w:r w:rsidRPr="008E1382">
              <w:rPr>
                <w:lang w:val="en-GB"/>
              </w:rPr>
              <w:t>ESNA Standards Adoption &amp; Gap Analysis (Intl. Experts) &amp; Findings Report</w:t>
            </w:r>
          </w:p>
        </w:tc>
        <w:tc>
          <w:tcPr>
            <w:tcW w:w="1828" w:type="dxa"/>
          </w:tcPr>
          <w:p w14:paraId="66C64DD3" w14:textId="77777777" w:rsidR="00E346A4" w:rsidRPr="008E1382" w:rsidRDefault="00E346A4" w:rsidP="00406279">
            <w:pPr>
              <w:jc w:val="center"/>
              <w:rPr>
                <w:rFonts w:cstheme="minorHAnsi"/>
                <w:lang w:val="en-US"/>
              </w:rPr>
            </w:pPr>
            <w:proofErr w:type="spellStart"/>
            <w:r w:rsidRPr="008E1382">
              <w:t>Remote</w:t>
            </w:r>
            <w:proofErr w:type="spellEnd"/>
            <w:r w:rsidRPr="008E1382">
              <w:t xml:space="preserve"> &amp; Ukraine</w:t>
            </w:r>
          </w:p>
        </w:tc>
        <w:tc>
          <w:tcPr>
            <w:tcW w:w="1833" w:type="dxa"/>
          </w:tcPr>
          <w:p w14:paraId="60A48DE3" w14:textId="77777777" w:rsidR="00E346A4" w:rsidRPr="008E1382" w:rsidRDefault="00E346A4" w:rsidP="00406279">
            <w:pPr>
              <w:rPr>
                <w:rFonts w:cstheme="minorHAnsi"/>
                <w:lang w:val="en-US"/>
              </w:rPr>
            </w:pPr>
            <w:proofErr w:type="spellStart"/>
            <w:r w:rsidRPr="008E1382">
              <w:t>Aug</w:t>
            </w:r>
            <w:proofErr w:type="spellEnd"/>
            <w:r w:rsidRPr="008E1382">
              <w:t xml:space="preserve"> 1, 2025– Sep 30, 2025</w:t>
            </w:r>
          </w:p>
        </w:tc>
      </w:tr>
      <w:tr w:rsidR="00E346A4" w:rsidRPr="008E1382" w14:paraId="69FA9C31" w14:textId="77777777" w:rsidTr="00C12591">
        <w:trPr>
          <w:trHeight w:val="585"/>
          <w:jc w:val="center"/>
        </w:trPr>
        <w:tc>
          <w:tcPr>
            <w:tcW w:w="4074" w:type="dxa"/>
          </w:tcPr>
          <w:p w14:paraId="03FC735E" w14:textId="77777777" w:rsidR="00E346A4" w:rsidRPr="008E1382" w:rsidRDefault="00E346A4" w:rsidP="00406279">
            <w:proofErr w:type="spellStart"/>
            <w:r w:rsidRPr="008E1382">
              <w:t>Recommendations</w:t>
            </w:r>
            <w:proofErr w:type="spellEnd"/>
            <w:r w:rsidRPr="008E1382">
              <w:t xml:space="preserve"> &amp; Roadmap </w:t>
            </w:r>
            <w:proofErr w:type="spellStart"/>
            <w:r w:rsidRPr="008E1382">
              <w:t>Development</w:t>
            </w:r>
            <w:proofErr w:type="spellEnd"/>
          </w:p>
        </w:tc>
        <w:tc>
          <w:tcPr>
            <w:tcW w:w="1828" w:type="dxa"/>
          </w:tcPr>
          <w:p w14:paraId="06E29FEA" w14:textId="77777777" w:rsidR="00E346A4" w:rsidRPr="008E1382" w:rsidRDefault="00E346A4" w:rsidP="00406279">
            <w:pPr>
              <w:jc w:val="center"/>
            </w:pPr>
            <w:proofErr w:type="spellStart"/>
            <w:r w:rsidRPr="008E1382">
              <w:t>Remote</w:t>
            </w:r>
            <w:proofErr w:type="spellEnd"/>
            <w:r w:rsidRPr="008E1382">
              <w:t xml:space="preserve"> &amp; Ukraine</w:t>
            </w:r>
          </w:p>
        </w:tc>
        <w:tc>
          <w:tcPr>
            <w:tcW w:w="1833" w:type="dxa"/>
          </w:tcPr>
          <w:p w14:paraId="3F1D816A" w14:textId="77777777" w:rsidR="00E346A4" w:rsidRPr="008E1382" w:rsidRDefault="00E346A4" w:rsidP="00406279">
            <w:pPr>
              <w:rPr>
                <w:rFonts w:cstheme="minorHAnsi"/>
              </w:rPr>
            </w:pPr>
            <w:r w:rsidRPr="008E1382">
              <w:t>Sep 1, 2025– Sep 31, 2025</w:t>
            </w:r>
          </w:p>
        </w:tc>
      </w:tr>
      <w:tr w:rsidR="00E346A4" w:rsidRPr="00485006" w14:paraId="251E4762" w14:textId="77777777" w:rsidTr="00C12591">
        <w:trPr>
          <w:trHeight w:val="878"/>
          <w:jc w:val="center"/>
        </w:trPr>
        <w:tc>
          <w:tcPr>
            <w:tcW w:w="4074" w:type="dxa"/>
          </w:tcPr>
          <w:p w14:paraId="4E46F817" w14:textId="77777777" w:rsidR="00E346A4" w:rsidRPr="008E1382" w:rsidRDefault="00E346A4" w:rsidP="00406279">
            <w:r w:rsidRPr="008E1382">
              <w:t xml:space="preserve">Final Report &amp; </w:t>
            </w:r>
            <w:proofErr w:type="spellStart"/>
            <w:r w:rsidRPr="008E1382">
              <w:t>Presentation</w:t>
            </w:r>
            <w:proofErr w:type="spellEnd"/>
          </w:p>
        </w:tc>
        <w:tc>
          <w:tcPr>
            <w:tcW w:w="1828" w:type="dxa"/>
          </w:tcPr>
          <w:p w14:paraId="13A8609A" w14:textId="77777777" w:rsidR="00E346A4" w:rsidRPr="008E1382" w:rsidRDefault="00E346A4" w:rsidP="00406279">
            <w:pPr>
              <w:jc w:val="center"/>
            </w:pPr>
            <w:r w:rsidRPr="008E1382">
              <w:t>Ukraine</w:t>
            </w:r>
          </w:p>
        </w:tc>
        <w:tc>
          <w:tcPr>
            <w:tcW w:w="1833" w:type="dxa"/>
          </w:tcPr>
          <w:p w14:paraId="3D8EAA0B" w14:textId="77777777" w:rsidR="00E346A4" w:rsidRPr="00485006" w:rsidRDefault="00E346A4" w:rsidP="00406279">
            <w:pPr>
              <w:rPr>
                <w:rFonts w:cstheme="minorHAnsi"/>
              </w:rPr>
            </w:pPr>
            <w:proofErr w:type="spellStart"/>
            <w:r w:rsidRPr="008E1382">
              <w:t>Nov</w:t>
            </w:r>
            <w:proofErr w:type="spellEnd"/>
            <w:r w:rsidRPr="008E1382">
              <w:t xml:space="preserve"> 1, 2025 – </w:t>
            </w:r>
            <w:proofErr w:type="spellStart"/>
            <w:r w:rsidRPr="008E1382">
              <w:t>Nov</w:t>
            </w:r>
            <w:proofErr w:type="spellEnd"/>
            <w:r w:rsidRPr="008E1382">
              <w:t xml:space="preserve"> 30, 2025</w:t>
            </w: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732603D" w:rsidR="001E12A9" w:rsidRPr="00F41A62" w:rsidRDefault="00E346A4" w:rsidP="001E12A9">
      <w:pPr>
        <w:pStyle w:val="Titre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lastRenderedPageBreak/>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B8A766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10B1FE2E"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2EE20BC9" w14:textId="2909C57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4119"/>
        <w:gridCol w:w="2970"/>
        <w:gridCol w:w="2131"/>
      </w:tblGrid>
      <w:tr w:rsidR="00F53E95" w:rsidRPr="00F41A62" w14:paraId="57635C6F" w14:textId="77777777" w:rsidTr="00C12591">
        <w:trPr>
          <w:trHeight w:val="537"/>
        </w:trPr>
        <w:tc>
          <w:tcPr>
            <w:tcW w:w="4119"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2970"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2131"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C12591">
        <w:tc>
          <w:tcPr>
            <w:tcW w:w="4119" w:type="dxa"/>
            <w:vAlign w:val="center"/>
          </w:tcPr>
          <w:p w14:paraId="19DDFFB2" w14:textId="182C1006" w:rsidR="00F53E95" w:rsidRPr="00F41A62" w:rsidRDefault="00C5636B" w:rsidP="00F53E95">
            <w:pPr>
              <w:pStyle w:val="v"/>
              <w:widowControl w:val="0"/>
              <w:spacing w:before="60" w:after="60"/>
              <w:ind w:left="0" w:firstLine="0"/>
              <w:jc w:val="center"/>
              <w:rPr>
                <w:rFonts w:asciiTheme="minorHAnsi" w:hAnsiTheme="minorHAnsi" w:cstheme="minorHAnsi"/>
                <w:szCs w:val="22"/>
              </w:rPr>
            </w:pPr>
            <w:r w:rsidRPr="008E1382">
              <w:rPr>
                <w:lang w:val="en-GB"/>
              </w:rPr>
              <w:t>Market &amp; Audience Research</w:t>
            </w:r>
          </w:p>
        </w:tc>
        <w:tc>
          <w:tcPr>
            <w:tcW w:w="2970"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452AB985"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5AA42013" w14:textId="77777777" w:rsidTr="00C12591">
        <w:tc>
          <w:tcPr>
            <w:tcW w:w="4119" w:type="dxa"/>
            <w:vAlign w:val="center"/>
          </w:tcPr>
          <w:p w14:paraId="3272C8B9" w14:textId="20458A32" w:rsidR="00F53E95" w:rsidRPr="00F41A62" w:rsidRDefault="00C5636B" w:rsidP="00F53E95">
            <w:pPr>
              <w:pStyle w:val="v"/>
              <w:widowControl w:val="0"/>
              <w:spacing w:before="60" w:after="60"/>
              <w:ind w:left="0" w:firstLine="0"/>
              <w:jc w:val="center"/>
              <w:rPr>
                <w:rFonts w:asciiTheme="minorHAnsi" w:hAnsiTheme="minorHAnsi" w:cstheme="minorHAnsi"/>
                <w:szCs w:val="22"/>
              </w:rPr>
            </w:pPr>
            <w:r w:rsidRPr="008E1382">
              <w:t>Stakeholder Consultations</w:t>
            </w:r>
          </w:p>
        </w:tc>
        <w:tc>
          <w:tcPr>
            <w:tcW w:w="2970"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0FB2D50D"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C5636B" w:rsidRPr="00F41A62" w14:paraId="5C44E14C" w14:textId="77777777" w:rsidTr="00C12591">
        <w:tc>
          <w:tcPr>
            <w:tcW w:w="4119" w:type="dxa"/>
            <w:vAlign w:val="center"/>
          </w:tcPr>
          <w:p w14:paraId="77BF449E" w14:textId="42581241" w:rsidR="00C5636B" w:rsidRPr="008E1382" w:rsidRDefault="00C5636B" w:rsidP="00F53E95">
            <w:pPr>
              <w:pStyle w:val="v"/>
              <w:widowControl w:val="0"/>
              <w:spacing w:before="60" w:after="60"/>
              <w:ind w:left="0" w:firstLine="0"/>
              <w:jc w:val="center"/>
            </w:pPr>
            <w:r w:rsidRPr="008E1382">
              <w:rPr>
                <w:lang w:val="en-GB"/>
              </w:rPr>
              <w:t>ESNA Standards Adoption &amp; Gap Analysis (Intl. Experts) &amp; Findings Report</w:t>
            </w:r>
          </w:p>
        </w:tc>
        <w:tc>
          <w:tcPr>
            <w:tcW w:w="2970" w:type="dxa"/>
          </w:tcPr>
          <w:p w14:paraId="7FB866B1" w14:textId="537D6BB7" w:rsidR="00C5636B" w:rsidRPr="00F41A62" w:rsidRDefault="00C12591"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2131" w:type="dxa"/>
            <w:vAlign w:val="center"/>
          </w:tcPr>
          <w:p w14:paraId="604899E5" w14:textId="2D800DBC" w:rsidR="00C5636B" w:rsidRPr="00F41A62" w:rsidRDefault="00C12591"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C5636B" w:rsidRPr="00F41A62" w14:paraId="2A30233F" w14:textId="77777777" w:rsidTr="00C12591">
        <w:tc>
          <w:tcPr>
            <w:tcW w:w="4119" w:type="dxa"/>
            <w:vAlign w:val="center"/>
          </w:tcPr>
          <w:p w14:paraId="1759514A" w14:textId="0E9566D0" w:rsidR="00C5636B" w:rsidRPr="008E1382" w:rsidRDefault="00C5636B" w:rsidP="00F53E95">
            <w:pPr>
              <w:pStyle w:val="v"/>
              <w:widowControl w:val="0"/>
              <w:spacing w:before="60" w:after="60"/>
              <w:ind w:left="0" w:firstLine="0"/>
              <w:jc w:val="center"/>
              <w:rPr>
                <w:lang w:val="en-GB"/>
              </w:rPr>
            </w:pPr>
            <w:proofErr w:type="spellStart"/>
            <w:r w:rsidRPr="008E1382">
              <w:t>Recommendations</w:t>
            </w:r>
            <w:proofErr w:type="spellEnd"/>
            <w:r w:rsidRPr="008E1382">
              <w:t xml:space="preserve"> &amp; Roadmap </w:t>
            </w:r>
            <w:proofErr w:type="spellStart"/>
            <w:r w:rsidRPr="008E1382">
              <w:t>Development</w:t>
            </w:r>
            <w:proofErr w:type="spellEnd"/>
          </w:p>
        </w:tc>
        <w:tc>
          <w:tcPr>
            <w:tcW w:w="2970" w:type="dxa"/>
          </w:tcPr>
          <w:p w14:paraId="58904B23" w14:textId="3225A867" w:rsidR="00C5636B" w:rsidRPr="00F41A62" w:rsidRDefault="00C12591" w:rsidP="00F53E95">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2131" w:type="dxa"/>
            <w:vAlign w:val="center"/>
          </w:tcPr>
          <w:p w14:paraId="329F73F4" w14:textId="2CF6C764" w:rsidR="00C5636B" w:rsidRPr="00F41A62" w:rsidRDefault="00C12591" w:rsidP="00F53E95">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F53E95" w:rsidRPr="00F41A62" w14:paraId="7F9B02D6" w14:textId="77777777" w:rsidTr="00C12591">
        <w:tc>
          <w:tcPr>
            <w:tcW w:w="4119" w:type="dxa"/>
            <w:vAlign w:val="center"/>
          </w:tcPr>
          <w:p w14:paraId="656F5643" w14:textId="1963625C" w:rsidR="00F53E95" w:rsidRPr="00F41A62" w:rsidRDefault="00C5636B" w:rsidP="00F53E95">
            <w:pPr>
              <w:pStyle w:val="v"/>
              <w:widowControl w:val="0"/>
              <w:spacing w:before="60" w:after="60"/>
              <w:ind w:left="0" w:firstLine="0"/>
              <w:jc w:val="center"/>
              <w:rPr>
                <w:rFonts w:asciiTheme="minorHAnsi" w:hAnsiTheme="minorHAnsi" w:cstheme="minorHAnsi"/>
                <w:szCs w:val="22"/>
                <w:highlight w:val="yellow"/>
              </w:rPr>
            </w:pPr>
            <w:r w:rsidRPr="008E1382">
              <w:t xml:space="preserve">Final Report &amp; </w:t>
            </w:r>
            <w:proofErr w:type="spellStart"/>
            <w:r w:rsidRPr="008E1382">
              <w:t>Presentation</w:t>
            </w:r>
            <w:proofErr w:type="spellEnd"/>
          </w:p>
        </w:tc>
        <w:tc>
          <w:tcPr>
            <w:tcW w:w="2970" w:type="dxa"/>
          </w:tcPr>
          <w:p w14:paraId="7B4D2E9D"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2131" w:type="dxa"/>
            <w:vAlign w:val="center"/>
          </w:tcPr>
          <w:p w14:paraId="5B023AEA"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80B0C07" w14:textId="77777777" w:rsidTr="00C12591">
        <w:tc>
          <w:tcPr>
            <w:tcW w:w="4119"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2970"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2131"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C12591">
        <w:tc>
          <w:tcPr>
            <w:tcW w:w="7089"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2131" w:type="dxa"/>
            <w:vAlign w:val="center"/>
          </w:tcPr>
          <w:p w14:paraId="5F2D14CF"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3E2FA7C3"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CE3A8CF" w14:textId="21323A60"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bookmarkStart w:id="21" w:name="_Toc140836317"/>
      <w:r w:rsidRPr="003052EE">
        <w:rPr>
          <w:rFonts w:asciiTheme="minorHAnsi" w:hAnsiTheme="minorHAnsi" w:cstheme="minorHAnsi"/>
          <w:szCs w:val="22"/>
          <w:lang w:val="en"/>
        </w:rPr>
        <w:t>A</w:t>
      </w:r>
      <w:r>
        <w:rPr>
          <w:rFonts w:asciiTheme="minorHAnsi" w:hAnsiTheme="minorHAnsi" w:cstheme="minorHAnsi"/>
          <w:szCs w:val="22"/>
          <w:lang w:val="en"/>
        </w:rPr>
        <w:t>n</w:t>
      </w:r>
      <w:r w:rsidRPr="003052EE">
        <w:rPr>
          <w:rFonts w:asciiTheme="minorHAnsi" w:hAnsiTheme="minorHAnsi" w:cstheme="minorHAnsi"/>
          <w:szCs w:val="22"/>
          <w:lang w:val="en"/>
        </w:rPr>
        <w:t xml:space="preserve"> advance from 5% to 30% should be granted to the </w:t>
      </w:r>
      <w:r w:rsidRPr="003052EE">
        <w:rPr>
          <w:rFonts w:asciiTheme="minorHAnsi" w:hAnsiTheme="minorHAnsi" w:cstheme="minorHAnsi"/>
          <w:smallCaps/>
          <w:lang w:val="en"/>
        </w:rPr>
        <w:t>Contractor</w:t>
      </w:r>
      <w:r w:rsidRPr="003052EE">
        <w:rPr>
          <w:rFonts w:asciiTheme="minorHAnsi" w:hAnsiTheme="minorHAnsi" w:cstheme="minorHAnsi"/>
          <w:szCs w:val="22"/>
          <w:lang w:val="en"/>
        </w:rPr>
        <w:t xml:space="preserve"> from the award date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w:t>
      </w:r>
    </w:p>
    <w:p w14:paraId="04CFEC96" w14:textId="77777777"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Any renewal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execution period will not establish entitlement to any additional advance.</w:t>
      </w:r>
    </w:p>
    <w:p w14:paraId="37B3F2BC" w14:textId="77777777" w:rsid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The advance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lastRenderedPageBreak/>
        <w:t>Payment procedure</w:t>
      </w:r>
      <w:bookmarkEnd w:id="21"/>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w:t>
      </w:r>
      <w:r w:rsidRPr="00DA34BC">
        <w:rPr>
          <w:rFonts w:asciiTheme="minorHAnsi" w:hAnsiTheme="minorHAnsi" w:cstheme="minorHAnsi"/>
          <w:sz w:val="22"/>
          <w:lang w:val="en"/>
        </w:rPr>
        <w:lastRenderedPageBreak/>
        <w:t>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93C3216" w:rsidR="00D00B3A" w:rsidRPr="00C12591" w:rsidRDefault="00E346A4"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Country coordinator Tetiana Miskova</w:t>
      </w:r>
    </w:p>
    <w:p w14:paraId="5A68427F" w14:textId="31714AED" w:rsidR="00F766D6" w:rsidRPr="00C12591" w:rsidRDefault="00F766D6"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Project Director, Julien Schmitt</w:t>
      </w:r>
    </w:p>
    <w:p w14:paraId="6CCBE32B" w14:textId="4D642726"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4958F111" w:rsidR="00C27993" w:rsidRPr="00C12591" w:rsidRDefault="00D00B3A"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Country coordinator Tetiana Miskova</w:t>
      </w:r>
    </w:p>
    <w:p w14:paraId="7DB5AAB0" w14:textId="2F7C7F37" w:rsidR="00C27993" w:rsidRPr="00C12591" w:rsidRDefault="00C27993"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Project Director</w:t>
      </w:r>
      <w:r w:rsidR="00E346A4" w:rsidRPr="00C12591">
        <w:rPr>
          <w:rFonts w:asciiTheme="minorHAnsi" w:hAnsiTheme="minorHAnsi" w:cs="Arial"/>
          <w:szCs w:val="22"/>
          <w:lang w:val="en"/>
        </w:rPr>
        <w:t>,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lastRenderedPageBreak/>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0" w:type="auto"/>
        <w:tblInd w:w="360" w:type="dxa"/>
        <w:tblLook w:val="04A0" w:firstRow="1" w:lastRow="0" w:firstColumn="1" w:lastColumn="0" w:noHBand="0" w:noVBand="1"/>
      </w:tblPr>
      <w:tblGrid>
        <w:gridCol w:w="5665"/>
        <w:gridCol w:w="3037"/>
      </w:tblGrid>
      <w:tr w:rsidR="00E346A4" w:rsidRPr="00485006" w14:paraId="25AB5B4A" w14:textId="77777777" w:rsidTr="00406279">
        <w:tc>
          <w:tcPr>
            <w:tcW w:w="5665" w:type="dxa"/>
          </w:tcPr>
          <w:p w14:paraId="4EDCF2BB" w14:textId="77777777" w:rsidR="00E346A4" w:rsidRPr="00485006" w:rsidRDefault="00E346A4" w:rsidP="00406279">
            <w:pPr>
              <w:rPr>
                <w:b/>
                <w:bCs/>
              </w:rPr>
            </w:pPr>
            <w:bookmarkStart w:id="39" w:name="_Toc392669642"/>
            <w:bookmarkStart w:id="40" w:name="_Toc140836328"/>
            <w:bookmarkStart w:id="41" w:name="_Toc392669644"/>
            <w:bookmarkEnd w:id="38"/>
            <w:proofErr w:type="spellStart"/>
            <w:r w:rsidRPr="00485006">
              <w:rPr>
                <w:b/>
                <w:bCs/>
              </w:rPr>
              <w:t>Deliverables</w:t>
            </w:r>
            <w:proofErr w:type="spellEnd"/>
          </w:p>
        </w:tc>
        <w:tc>
          <w:tcPr>
            <w:tcW w:w="3037" w:type="dxa"/>
          </w:tcPr>
          <w:p w14:paraId="0D58E08E" w14:textId="77777777" w:rsidR="00E346A4" w:rsidRPr="00485006" w:rsidRDefault="00E346A4" w:rsidP="00406279">
            <w:pPr>
              <w:rPr>
                <w:b/>
                <w:bCs/>
              </w:rPr>
            </w:pPr>
            <w:r w:rsidRPr="00485006">
              <w:rPr>
                <w:b/>
                <w:bCs/>
              </w:rPr>
              <w:t>Due date</w:t>
            </w:r>
          </w:p>
        </w:tc>
      </w:tr>
      <w:tr w:rsidR="00E346A4" w:rsidRPr="008E1382" w14:paraId="49BF7385" w14:textId="77777777" w:rsidTr="00406279">
        <w:tc>
          <w:tcPr>
            <w:tcW w:w="5665" w:type="dxa"/>
          </w:tcPr>
          <w:p w14:paraId="39D9E619" w14:textId="77777777" w:rsidR="00E346A4" w:rsidRPr="008E1382" w:rsidRDefault="00E346A4" w:rsidP="00406279">
            <w:proofErr w:type="spellStart"/>
            <w:r w:rsidRPr="008E1382">
              <w:t>Market</w:t>
            </w:r>
            <w:proofErr w:type="spellEnd"/>
            <w:r w:rsidRPr="008E1382">
              <w:t xml:space="preserve"> &amp; Audience </w:t>
            </w:r>
            <w:proofErr w:type="spellStart"/>
            <w:r w:rsidRPr="008E1382">
              <w:t>Research</w:t>
            </w:r>
            <w:proofErr w:type="spellEnd"/>
            <w:r w:rsidRPr="008E1382">
              <w:t xml:space="preserve"> Report</w:t>
            </w:r>
          </w:p>
        </w:tc>
        <w:tc>
          <w:tcPr>
            <w:tcW w:w="3037" w:type="dxa"/>
          </w:tcPr>
          <w:p w14:paraId="775D1A1B" w14:textId="77777777" w:rsidR="00E346A4" w:rsidRPr="008E1382" w:rsidRDefault="00E346A4" w:rsidP="00406279">
            <w:r w:rsidRPr="008E1382">
              <w:t>July 31, 2025</w:t>
            </w:r>
          </w:p>
        </w:tc>
      </w:tr>
      <w:tr w:rsidR="00E346A4" w:rsidRPr="008E1382" w14:paraId="0260972B" w14:textId="77777777" w:rsidTr="00406279">
        <w:tc>
          <w:tcPr>
            <w:tcW w:w="5665" w:type="dxa"/>
          </w:tcPr>
          <w:p w14:paraId="50BF9CF1" w14:textId="77777777" w:rsidR="00E346A4" w:rsidRPr="008E1382" w:rsidRDefault="00E346A4" w:rsidP="00406279">
            <w:r w:rsidRPr="008E1382">
              <w:t>Stakeholder Consultations</w:t>
            </w:r>
          </w:p>
        </w:tc>
        <w:tc>
          <w:tcPr>
            <w:tcW w:w="3037" w:type="dxa"/>
          </w:tcPr>
          <w:p w14:paraId="61F4AB68" w14:textId="77777777" w:rsidR="00E346A4" w:rsidRPr="008E1382" w:rsidRDefault="00E346A4" w:rsidP="00406279">
            <w:r w:rsidRPr="008E1382">
              <w:t>July 31,2025</w:t>
            </w:r>
          </w:p>
        </w:tc>
      </w:tr>
      <w:tr w:rsidR="00E346A4" w:rsidRPr="008E1382" w14:paraId="4A850AD3" w14:textId="77777777" w:rsidTr="00406279">
        <w:tc>
          <w:tcPr>
            <w:tcW w:w="5665" w:type="dxa"/>
          </w:tcPr>
          <w:p w14:paraId="4E93ECB1" w14:textId="77777777" w:rsidR="00E346A4" w:rsidRPr="008E1382" w:rsidRDefault="00E346A4" w:rsidP="00406279">
            <w:r w:rsidRPr="008E1382">
              <w:t xml:space="preserve">Gap </w:t>
            </w:r>
            <w:proofErr w:type="spellStart"/>
            <w:r w:rsidRPr="008E1382">
              <w:t>Analysis</w:t>
            </w:r>
            <w:proofErr w:type="spellEnd"/>
            <w:r w:rsidRPr="008E1382">
              <w:t xml:space="preserve"> Report on ESNA Standards &amp; Policy </w:t>
            </w:r>
            <w:proofErr w:type="spellStart"/>
            <w:r w:rsidRPr="008E1382">
              <w:t>Alignment</w:t>
            </w:r>
            <w:proofErr w:type="spellEnd"/>
            <w:r w:rsidRPr="008E1382">
              <w:t xml:space="preserve"> &amp; </w:t>
            </w:r>
            <w:proofErr w:type="spellStart"/>
            <w:r w:rsidRPr="008E1382">
              <w:t>Findings</w:t>
            </w:r>
            <w:proofErr w:type="spellEnd"/>
            <w:r w:rsidRPr="008E1382">
              <w:t xml:space="preserve"> Report</w:t>
            </w:r>
          </w:p>
        </w:tc>
        <w:tc>
          <w:tcPr>
            <w:tcW w:w="3037" w:type="dxa"/>
          </w:tcPr>
          <w:p w14:paraId="1BEC1241" w14:textId="77777777" w:rsidR="00E346A4" w:rsidRPr="008E1382" w:rsidRDefault="00E346A4" w:rsidP="00406279">
            <w:r w:rsidRPr="008E1382">
              <w:t>Sep 30, 2025</w:t>
            </w:r>
          </w:p>
        </w:tc>
      </w:tr>
      <w:tr w:rsidR="00E346A4" w:rsidRPr="008E1382" w14:paraId="6B7EE5B4" w14:textId="77777777" w:rsidTr="00406279">
        <w:tc>
          <w:tcPr>
            <w:tcW w:w="5665" w:type="dxa"/>
          </w:tcPr>
          <w:p w14:paraId="6CFD17DE" w14:textId="77777777" w:rsidR="00E346A4" w:rsidRPr="008E1382" w:rsidRDefault="00E346A4" w:rsidP="00406279">
            <w:proofErr w:type="spellStart"/>
            <w:r w:rsidRPr="008E1382">
              <w:t>Recommendations</w:t>
            </w:r>
            <w:proofErr w:type="spellEnd"/>
            <w:r w:rsidRPr="008E1382">
              <w:t xml:space="preserve"> &amp; Roadmap </w:t>
            </w:r>
            <w:proofErr w:type="spellStart"/>
            <w:r w:rsidRPr="008E1382">
              <w:t>Development</w:t>
            </w:r>
            <w:proofErr w:type="spellEnd"/>
          </w:p>
        </w:tc>
        <w:tc>
          <w:tcPr>
            <w:tcW w:w="3037" w:type="dxa"/>
          </w:tcPr>
          <w:p w14:paraId="448989F9" w14:textId="77777777" w:rsidR="00E346A4" w:rsidRPr="008E1382" w:rsidRDefault="00E346A4" w:rsidP="00406279">
            <w:proofErr w:type="spellStart"/>
            <w:r w:rsidRPr="008E1382">
              <w:t>Oct</w:t>
            </w:r>
            <w:proofErr w:type="spellEnd"/>
            <w:r w:rsidRPr="008E1382">
              <w:t xml:space="preserve"> 31, 2025</w:t>
            </w:r>
          </w:p>
        </w:tc>
      </w:tr>
      <w:tr w:rsidR="00E346A4" w:rsidRPr="008E1382" w14:paraId="401CEDF2" w14:textId="77777777" w:rsidTr="00406279">
        <w:tc>
          <w:tcPr>
            <w:tcW w:w="5665" w:type="dxa"/>
          </w:tcPr>
          <w:p w14:paraId="7E3F18D5" w14:textId="77777777" w:rsidR="00E346A4" w:rsidRPr="008E1382" w:rsidRDefault="00E346A4" w:rsidP="00406279">
            <w:r w:rsidRPr="008E1382">
              <w:t xml:space="preserve">Final Report &amp; </w:t>
            </w:r>
            <w:proofErr w:type="spellStart"/>
            <w:r w:rsidRPr="008E1382">
              <w:t>Presentation</w:t>
            </w:r>
            <w:proofErr w:type="spellEnd"/>
          </w:p>
        </w:tc>
        <w:tc>
          <w:tcPr>
            <w:tcW w:w="3037" w:type="dxa"/>
          </w:tcPr>
          <w:p w14:paraId="55A899B1" w14:textId="77777777" w:rsidR="00E346A4" w:rsidRPr="008E1382" w:rsidRDefault="00E346A4" w:rsidP="00406279">
            <w:proofErr w:type="spellStart"/>
            <w:r w:rsidRPr="008E1382">
              <w:t>Nov</w:t>
            </w:r>
            <w:proofErr w:type="spellEnd"/>
            <w:r w:rsidRPr="008E1382">
              <w:t xml:space="preserve"> 30, 2025</w:t>
            </w:r>
          </w:p>
        </w:tc>
      </w:tr>
      <w:tr w:rsidR="00E346A4" w:rsidRPr="008E1382" w14:paraId="365011D7" w14:textId="77777777" w:rsidTr="00406279">
        <w:tc>
          <w:tcPr>
            <w:tcW w:w="5665" w:type="dxa"/>
          </w:tcPr>
          <w:p w14:paraId="30E1442B" w14:textId="77777777" w:rsidR="00E346A4" w:rsidRPr="008E1382" w:rsidRDefault="00E346A4" w:rsidP="00406279"/>
        </w:tc>
        <w:tc>
          <w:tcPr>
            <w:tcW w:w="3037" w:type="dxa"/>
          </w:tcPr>
          <w:p w14:paraId="4D00E4A3" w14:textId="77777777" w:rsidR="00E346A4" w:rsidRPr="008E1382" w:rsidRDefault="00E346A4" w:rsidP="00406279"/>
        </w:tc>
      </w:tr>
      <w:tr w:rsidR="00E346A4" w:rsidRPr="008E1382" w14:paraId="59C029EF" w14:textId="77777777" w:rsidTr="00406279">
        <w:tc>
          <w:tcPr>
            <w:tcW w:w="5665" w:type="dxa"/>
          </w:tcPr>
          <w:p w14:paraId="38C929AA" w14:textId="77777777" w:rsidR="00E346A4" w:rsidRPr="008E1382" w:rsidRDefault="00E346A4" w:rsidP="00406279"/>
        </w:tc>
        <w:tc>
          <w:tcPr>
            <w:tcW w:w="3037" w:type="dxa"/>
          </w:tcPr>
          <w:p w14:paraId="18504051" w14:textId="77777777" w:rsidR="00E346A4" w:rsidRPr="008E1382" w:rsidRDefault="00E346A4" w:rsidP="00406279"/>
        </w:tc>
      </w:tr>
    </w:tbl>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bookmarkEnd w:id="39"/>
      <w:bookmarkEnd w:id="40"/>
      <w:r w:rsidRPr="00D95D87">
        <w:rPr>
          <w:rFonts w:asciiTheme="minorHAnsi" w:hAnsiTheme="minorHAnsi" w:cstheme="minorHAnsi"/>
          <w:sz w:val="22"/>
          <w:szCs w:val="22"/>
          <w:lang w:val="en"/>
        </w:rPr>
        <w:t>Place of execution</w:t>
      </w:r>
      <w:bookmarkEnd w:id="41"/>
      <w:bookmarkEnd w:id="42"/>
    </w:p>
    <w:p w14:paraId="2347A1C4" w14:textId="6A3511DB"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proofErr w:type="spellStart"/>
      <w:r w:rsidR="00E346A4">
        <w:rPr>
          <w:rFonts w:asciiTheme="minorHAnsi" w:hAnsiTheme="minorHAnsi" w:cstheme="minorHAnsi"/>
          <w:szCs w:val="22"/>
          <w:lang w:val="en"/>
        </w:rPr>
        <w:t>Kyev</w:t>
      </w:r>
      <w:proofErr w:type="spellEnd"/>
      <w:r w:rsidR="00E346A4">
        <w:rPr>
          <w:rFonts w:asciiTheme="minorHAnsi" w:hAnsiTheme="minorHAnsi" w:cstheme="minorHAnsi"/>
          <w:szCs w:val="22"/>
          <w:lang w:val="en"/>
        </w:rPr>
        <w:t>, Ukraine</w:t>
      </w:r>
      <w:r w:rsidR="00C12591">
        <w:rPr>
          <w:rFonts w:asciiTheme="minorHAnsi" w:hAnsiTheme="minorHAnsi" w:cstheme="minorHAnsi"/>
          <w:szCs w:val="22"/>
          <w:lang w:val="en"/>
        </w:rPr>
        <w:t xml:space="preserve"> and partially remote.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t>
      </w:r>
      <w:r w:rsidRPr="0041061D">
        <w:rPr>
          <w:rFonts w:asciiTheme="minorHAnsi" w:hAnsiTheme="minorHAnsi" w:cs="Arial"/>
          <w:szCs w:val="22"/>
          <w:lang w:val="en"/>
        </w:rPr>
        <w:lastRenderedPageBreak/>
        <w:t>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709BD2F" w14:textId="5A3BC5E4" w:rsidR="00122959" w:rsidRPr="0081559B" w:rsidRDefault="0081559B" w:rsidP="0081559B">
      <w:pPr>
        <w:pStyle w:val="u"/>
        <w:widowControl w:val="0"/>
        <w:numPr>
          <w:ilvl w:val="0"/>
          <w:numId w:val="13"/>
        </w:numPr>
        <w:rPr>
          <w:rFonts w:asciiTheme="minorHAnsi" w:hAnsiTheme="minorHAnsi" w:cs="Arial"/>
          <w:szCs w:val="22"/>
          <w:highlight w:val="yellow"/>
        </w:rPr>
      </w:pPr>
      <w:proofErr w:type="spellStart"/>
      <w:r>
        <w:rPr>
          <w:rFonts w:asciiTheme="minorHAnsi" w:hAnsiTheme="minorHAnsi" w:cs="Arial"/>
          <w:szCs w:val="22"/>
          <w:highlight w:val="yellow"/>
          <w:lang w:val="en-GB"/>
        </w:rPr>
        <w:t>ToR</w:t>
      </w:r>
      <w:proofErr w:type="spellEnd"/>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3F2E1196"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0081559B">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6ABB2481"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D9215E">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lastRenderedPageBreak/>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2109BD7"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Julien Schmitt</w:t>
            </w:r>
            <w:r w:rsidR="00C12591">
              <w:rPr>
                <w:rFonts w:asciiTheme="minorHAnsi" w:hAnsiTheme="minorHAnsi" w:cs="Arial"/>
                <w:sz w:val="22"/>
                <w:highlight w:val="yellow"/>
                <w:lang w:val="en"/>
              </w:rPr>
              <w:t>, Project Director</w:t>
            </w:r>
          </w:p>
          <w:p w14:paraId="66C00316" w14:textId="0D757230"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rPr>
            </w:pPr>
            <w:proofErr w:type="spellStart"/>
            <w:r>
              <w:rPr>
                <w:rFonts w:asciiTheme="minorHAnsi" w:hAnsiTheme="minorHAnsi" w:cs="Arial"/>
                <w:sz w:val="22"/>
                <w:highlight w:val="yellow"/>
              </w:rPr>
              <w:t>Department</w:t>
            </w:r>
            <w:proofErr w:type="spellEnd"/>
            <w:r>
              <w:rPr>
                <w:rFonts w:asciiTheme="minorHAnsi" w:hAnsiTheme="minorHAnsi" w:cs="Arial"/>
                <w:sz w:val="22"/>
                <w:highlight w:val="yellow"/>
              </w:rPr>
              <w:t xml:space="preserve"> of </w:t>
            </w:r>
            <w:proofErr w:type="spellStart"/>
            <w:r>
              <w:rPr>
                <w:rFonts w:asciiTheme="minorHAnsi" w:hAnsiTheme="minorHAnsi" w:cs="Arial"/>
                <w:sz w:val="22"/>
                <w:highlight w:val="yellow"/>
              </w:rPr>
              <w:t>Economy</w:t>
            </w:r>
            <w:proofErr w:type="spellEnd"/>
            <w:r>
              <w:rPr>
                <w:rFonts w:asciiTheme="minorHAnsi" w:hAnsiTheme="minorHAnsi" w:cs="Arial"/>
                <w:sz w:val="22"/>
                <w:highlight w:val="yellow"/>
              </w:rPr>
              <w:t xml:space="preserve"> and inclusive </w:t>
            </w:r>
            <w:proofErr w:type="spellStart"/>
            <w:r>
              <w:rPr>
                <w:rFonts w:asciiTheme="minorHAnsi" w:hAnsiTheme="minorHAnsi" w:cs="Arial"/>
                <w:sz w:val="22"/>
                <w:highlight w:val="yellow"/>
              </w:rPr>
              <w:t>development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81559B">
              <w:rPr>
                <w:rFonts w:asciiTheme="minorHAnsi" w:eastAsia="Calibri" w:hAnsiTheme="minorHAnsi"/>
                <w:szCs w:val="20"/>
                <w:highlight w:val="yellow"/>
                <w:lang w:val="en"/>
              </w:rPr>
              <w:t xml:space="preserve">To be completed by the </w:t>
            </w:r>
            <w:r w:rsidRPr="0081559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5B145F8B"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37A24B09" w14:textId="562E35D1" w:rsidR="007D327C" w:rsidRDefault="007D327C" w:rsidP="00326C01">
      <w:pPr>
        <w:spacing w:before="120" w:line="240" w:lineRule="auto"/>
        <w:ind w:left="567"/>
        <w:jc w:val="both"/>
        <w:rPr>
          <w:rStyle w:val="Lienhypertexte"/>
          <w:rFonts w:asciiTheme="minorHAnsi" w:hAnsiTheme="minorHAnsi"/>
          <w:sz w:val="22"/>
          <w:szCs w:val="22"/>
          <w:lang w:val="en-GB"/>
        </w:rPr>
      </w:pPr>
    </w:p>
    <w:p w14:paraId="45D37A54" w14:textId="77777777" w:rsidR="007D327C" w:rsidRDefault="007D327C"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lastRenderedPageBreak/>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346FCFF0" w:rsidR="009766DB" w:rsidRPr="0081559B" w:rsidRDefault="009766DB" w:rsidP="0026644D">
      <w:pPr>
        <w:pStyle w:val="u"/>
        <w:widowControl w:val="0"/>
        <w:numPr>
          <w:ilvl w:val="0"/>
          <w:numId w:val="51"/>
        </w:numPr>
        <w:spacing w:before="120"/>
        <w:rPr>
          <w:rFonts w:asciiTheme="minorHAnsi" w:hAnsiTheme="minorHAnsi" w:cstheme="minorHAnsi"/>
          <w:szCs w:val="22"/>
          <w:lang w:val="en-GB"/>
        </w:rPr>
      </w:pPr>
      <w:r w:rsidRPr="0081559B">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3B6FC217" w14:textId="77777777" w:rsidR="007D327C" w:rsidRDefault="009766DB" w:rsidP="00D9215E">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w:t>
      </w:r>
      <w:bookmarkStart w:id="57" w:name="_Toc70411395"/>
      <w:bookmarkStart w:id="58" w:name="_Toc140836340"/>
      <w:r w:rsidR="00D9215E">
        <w:rPr>
          <w:rFonts w:asciiTheme="minorHAnsi" w:hAnsiTheme="minorHAnsi" w:cstheme="minorHAnsi"/>
          <w:szCs w:val="22"/>
          <w:lang w:val="en"/>
        </w:rPr>
        <w:t>ull traceability of exchanges.</w:t>
      </w:r>
    </w:p>
    <w:p w14:paraId="372DE38F" w14:textId="77777777" w:rsidR="007D327C" w:rsidRPr="000D43C1" w:rsidRDefault="007D327C" w:rsidP="007D327C">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p>
    <w:p w14:paraId="767FBDD0" w14:textId="77777777" w:rsidR="007D327C" w:rsidRDefault="007D327C" w:rsidP="007D327C">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bookmarkStart w:id="60" w:name="_GoBack"/>
      <w:bookmarkEnd w:id="57"/>
      <w:bookmarkEnd w:id="58"/>
      <w:bookmarkEnd w:id="60"/>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lastRenderedPageBreak/>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lastRenderedPageBreak/>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172FA068"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r w:rsidR="007D0ABA" w:rsidRPr="000F76A5">
        <w:rPr>
          <w:rFonts w:asciiTheme="minorHAnsi" w:eastAsia="Times New Roman" w:hAnsiTheme="minorHAnsi" w:cs="Arial"/>
          <w:sz w:val="22"/>
          <w:szCs w:val="22"/>
          <w:lang w:val="en"/>
        </w:rPr>
        <w:t>recognizable</w:t>
      </w:r>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45D79C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7D0ABA" w:rsidRPr="007D0ABA">
        <w:rPr>
          <w:rFonts w:asciiTheme="minorHAnsi" w:hAnsiTheme="minorHAnsi" w:cstheme="minorHAnsi"/>
          <w:sz w:val="22"/>
          <w:szCs w:val="22"/>
          <w:lang w:val="en-US"/>
        </w:rPr>
        <w:t>Article 40 of the CCAG PI</w:t>
      </w:r>
      <w:r w:rsidR="007D0ABA">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40836353"/>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40836354"/>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lastRenderedPageBreak/>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4083635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Persons whose personal data is collected under this procedure may submit a complaint to CNIL.)</w:t>
      </w:r>
      <w:bookmarkStart w:id="127" w:name="_Toc69226591"/>
      <w:r w:rsidRPr="0080375E">
        <w:rPr>
          <w:rFonts w:asciiTheme="minorHAnsi" w:eastAsia="Times New Roman" w:hAnsiTheme="minorHAnsi" w:cstheme="minorHAnsi"/>
          <w:sz w:val="22"/>
          <w:szCs w:val="22"/>
          <w:lang w:val="en"/>
        </w:rPr>
        <w:t>]</w:t>
      </w:r>
    </w:p>
    <w:bookmarkEnd w:id="127"/>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40836359"/>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lastRenderedPageBreak/>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40836362"/>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lastRenderedPageBreak/>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40836364"/>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6E3C37"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57443C50"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 xml:space="preserve">Signature: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2B05C6DF"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p>
    <w:p w14:paraId="0D0E8333" w14:textId="4FBBDB05"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proofErr w:type="spellStart"/>
      <w:r>
        <w:rPr>
          <w:rFonts w:asciiTheme="minorHAnsi" w:eastAsia="Times New Roman" w:hAnsiTheme="minorHAnsi" w:cs="Arial"/>
          <w:sz w:val="22"/>
          <w:szCs w:val="22"/>
          <w:lang w:val="en"/>
        </w:rPr>
        <w:t>Name:</w:t>
      </w:r>
      <w:r w:rsidR="0081559B">
        <w:rPr>
          <w:rFonts w:asciiTheme="minorHAnsi" w:eastAsia="Times New Roman" w:hAnsiTheme="minorHAnsi" w:cs="Arial"/>
          <w:sz w:val="22"/>
          <w:szCs w:val="22"/>
          <w:lang w:val="en"/>
        </w:rPr>
        <w:t>Schmitt</w:t>
      </w:r>
      <w:proofErr w:type="spellEnd"/>
      <w:r w:rsidR="0081559B">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First name:</w:t>
      </w:r>
      <w:r w:rsidR="0081559B">
        <w:rPr>
          <w:rFonts w:asciiTheme="minorHAnsi" w:eastAsia="Times New Roman" w:hAnsiTheme="minorHAnsi" w:cs="Arial"/>
          <w:sz w:val="22"/>
          <w:szCs w:val="22"/>
          <w:lang w:val="en"/>
        </w:rPr>
        <w:t xml:space="preserve"> Julien</w:t>
      </w:r>
    </w:p>
    <w:p w14:paraId="68ED4332" w14:textId="63A084D5"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D32DD2">
        <w:rPr>
          <w:rFonts w:asciiTheme="minorHAnsi" w:eastAsia="Times New Roman" w:hAnsiTheme="minorHAnsi" w:cs="Arial"/>
          <w:sz w:val="22"/>
          <w:szCs w:val="22"/>
          <w:lang w:val="en"/>
        </w:rPr>
        <w:t xml:space="preserve"> Project Director </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7" w:name="_Toc140836365"/>
      <w:r>
        <w:rPr>
          <w:rFonts w:asciiTheme="minorHAnsi" w:hAnsiTheme="minorHAnsi"/>
          <w:b/>
          <w:bCs/>
          <w:caps/>
          <w:sz w:val="24"/>
          <w:lang w:val="en"/>
        </w:rPr>
        <w:t>Annex 1: Specifications</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43A64" w14:textId="77777777" w:rsidR="006E3C37" w:rsidRDefault="006E3C37">
      <w:r>
        <w:separator/>
      </w:r>
    </w:p>
  </w:endnote>
  <w:endnote w:type="continuationSeparator" w:id="0">
    <w:p w14:paraId="65BDBB2F" w14:textId="77777777" w:rsidR="006E3C37" w:rsidRDefault="006E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Nunito Sans ExtraBold">
    <w:altName w:val="Times New Roman"/>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44A52" w:rsidRPr="00EE0FDD" w:rsidRDefault="00144A52"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75FD1BCB" w:rsidR="00144A52" w:rsidRPr="00263FD0" w:rsidRDefault="00144A52"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144A52" w:rsidRPr="00FF1F8E" w:rsidRDefault="006E3C37"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44A52" w:rsidRPr="00EE0FDD" w:rsidRDefault="00144A52"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F4E272B" w:rsidR="00144A52" w:rsidRPr="00263FD0" w:rsidRDefault="00144A52"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144A52" w:rsidRPr="0036169C" w:rsidRDefault="00144A52"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44A52" w:rsidRDefault="00144A5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44A52" w:rsidRPr="0036169C" w:rsidRDefault="00144A5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44A52" w:rsidRDefault="00144A52">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9D508" w14:textId="77777777" w:rsidR="006E3C37" w:rsidRDefault="006E3C37">
      <w:r>
        <w:separator/>
      </w:r>
    </w:p>
  </w:footnote>
  <w:footnote w:type="continuationSeparator" w:id="0">
    <w:p w14:paraId="26F7F455" w14:textId="77777777" w:rsidR="006E3C37" w:rsidRDefault="006E3C37">
      <w:r>
        <w:continuationSeparator/>
      </w:r>
    </w:p>
  </w:footnote>
  <w:footnote w:id="1">
    <w:p w14:paraId="3C4F3CA5" w14:textId="77777777" w:rsidR="00144A52" w:rsidRPr="0050283E" w:rsidRDefault="00144A52"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44A52" w:rsidRDefault="00144A52"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44A52" w:rsidRDefault="00144A52">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44A52" w:rsidRDefault="00144A52"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44A52" w:rsidRDefault="00144A52"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44A52" w:rsidRPr="00707B69" w:rsidRDefault="00144A52"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44A52" w:rsidRPr="00AC48DD" w:rsidRDefault="00144A5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44A52" w:rsidRPr="00F13E6E" w:rsidRDefault="00144A52"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44A52" w:rsidRPr="00AC48DD" w:rsidRDefault="00144A5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44A52" w:rsidRPr="00707B69" w:rsidRDefault="00144A52"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44A52" w:rsidRPr="00AC48DD" w:rsidRDefault="00144A5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44A52" w:rsidRDefault="00144A52"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44A52" w:rsidRPr="00AC48DD" w:rsidRDefault="00144A5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44A52" w:rsidRPr="00707B69" w:rsidRDefault="00144A52"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44A52" w:rsidRPr="00AC48DD" w:rsidRDefault="00144A52"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44A52" w:rsidRDefault="00144A52"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44A52" w:rsidRPr="00996FEA" w:rsidRDefault="00144A52"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7"/>
  </w:num>
  <w:num w:numId="5">
    <w:abstractNumId w:val="5"/>
  </w:num>
  <w:num w:numId="6">
    <w:abstractNumId w:val="43"/>
  </w:num>
  <w:num w:numId="7">
    <w:abstractNumId w:val="18"/>
  </w:num>
  <w:num w:numId="8">
    <w:abstractNumId w:val="28"/>
  </w:num>
  <w:num w:numId="9">
    <w:abstractNumId w:val="13"/>
  </w:num>
  <w:num w:numId="10">
    <w:abstractNumId w:val="21"/>
  </w:num>
  <w:num w:numId="11">
    <w:abstractNumId w:val="25"/>
  </w:num>
  <w:num w:numId="12">
    <w:abstractNumId w:val="20"/>
  </w:num>
  <w:num w:numId="13">
    <w:abstractNumId w:val="42"/>
  </w:num>
  <w:num w:numId="14">
    <w:abstractNumId w:val="10"/>
  </w:num>
  <w:num w:numId="15">
    <w:abstractNumId w:val="46"/>
  </w:num>
  <w:num w:numId="16">
    <w:abstractNumId w:val="30"/>
  </w:num>
  <w:num w:numId="17">
    <w:abstractNumId w:val="50"/>
  </w:num>
  <w:num w:numId="18">
    <w:abstractNumId w:val="0"/>
    <w:lvlOverride w:ilvl="0">
      <w:startOverride w:val="1"/>
    </w:lvlOverride>
  </w:num>
  <w:num w:numId="19">
    <w:abstractNumId w:val="32"/>
  </w:num>
  <w:num w:numId="20">
    <w:abstractNumId w:val="1"/>
  </w:num>
  <w:num w:numId="21">
    <w:abstractNumId w:val="53"/>
  </w:num>
  <w:num w:numId="22">
    <w:abstractNumId w:val="52"/>
  </w:num>
  <w:num w:numId="23">
    <w:abstractNumId w:val="33"/>
  </w:num>
  <w:num w:numId="24">
    <w:abstractNumId w:val="40"/>
  </w:num>
  <w:num w:numId="25">
    <w:abstractNumId w:val="17"/>
  </w:num>
  <w:num w:numId="26">
    <w:abstractNumId w:val="31"/>
  </w:num>
  <w:num w:numId="27">
    <w:abstractNumId w:val="49"/>
  </w:num>
  <w:num w:numId="28">
    <w:abstractNumId w:val="12"/>
  </w:num>
  <w:num w:numId="29">
    <w:abstractNumId w:val="9"/>
  </w:num>
  <w:num w:numId="30">
    <w:abstractNumId w:val="11"/>
  </w:num>
  <w:num w:numId="31">
    <w:abstractNumId w:val="2"/>
  </w:num>
  <w:num w:numId="32">
    <w:abstractNumId w:val="23"/>
  </w:num>
  <w:num w:numId="33">
    <w:abstractNumId w:val="24"/>
  </w:num>
  <w:num w:numId="34">
    <w:abstractNumId w:val="26"/>
  </w:num>
  <w:num w:numId="35">
    <w:abstractNumId w:val="41"/>
  </w:num>
  <w:num w:numId="36">
    <w:abstractNumId w:val="19"/>
  </w:num>
  <w:num w:numId="37">
    <w:abstractNumId w:val="36"/>
  </w:num>
  <w:num w:numId="38">
    <w:abstractNumId w:val="4"/>
  </w:num>
  <w:num w:numId="39">
    <w:abstractNumId w:val="48"/>
  </w:num>
  <w:num w:numId="40">
    <w:abstractNumId w:val="47"/>
  </w:num>
  <w:num w:numId="41">
    <w:abstractNumId w:val="45"/>
  </w:num>
  <w:num w:numId="42">
    <w:abstractNumId w:val="34"/>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9"/>
  </w:num>
  <w:num w:numId="50">
    <w:abstractNumId w:val="35"/>
  </w:num>
  <w:num w:numId="51">
    <w:abstractNumId w:val="15"/>
  </w:num>
  <w:num w:numId="52">
    <w:abstractNumId w:val="7"/>
  </w:num>
  <w:num w:numId="53">
    <w:abstractNumId w:val="27"/>
  </w:num>
  <w:num w:numId="54">
    <w:abstractNumId w:val="22"/>
  </w:num>
  <w:num w:numId="55">
    <w:abstractNumId w:val="51"/>
  </w:num>
  <w:num w:numId="56">
    <w:abstractNumId w:val="44"/>
  </w:num>
  <w:num w:numId="57">
    <w:abstractNumId w:val="16"/>
  </w:num>
  <w:num w:numId="58">
    <w:abstractNumId w:val="44"/>
  </w:num>
  <w:num w:numId="59">
    <w:abstractNumId w:val="44"/>
  </w:num>
  <w:num w:numId="60">
    <w:abstractNumId w:val="20"/>
  </w:num>
  <w:num w:numId="61">
    <w:abstractNumId w:val="54"/>
  </w:num>
  <w:num w:numId="62">
    <w:abstractNumId w:val="53"/>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7AD0"/>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4A52"/>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71F3"/>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0B7"/>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52EE"/>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B04"/>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6E2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511F"/>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5F50"/>
    <w:rsid w:val="00567093"/>
    <w:rsid w:val="005708DB"/>
    <w:rsid w:val="0057211A"/>
    <w:rsid w:val="00572A21"/>
    <w:rsid w:val="00575306"/>
    <w:rsid w:val="00577E61"/>
    <w:rsid w:val="00580C7F"/>
    <w:rsid w:val="00582257"/>
    <w:rsid w:val="00583154"/>
    <w:rsid w:val="00584F07"/>
    <w:rsid w:val="005851B5"/>
    <w:rsid w:val="005862C9"/>
    <w:rsid w:val="005862DF"/>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6C2F"/>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68B"/>
    <w:rsid w:val="006A6224"/>
    <w:rsid w:val="006B60B4"/>
    <w:rsid w:val="006B620A"/>
    <w:rsid w:val="006C182E"/>
    <w:rsid w:val="006D0BFE"/>
    <w:rsid w:val="006D26AA"/>
    <w:rsid w:val="006D3BE8"/>
    <w:rsid w:val="006D71D5"/>
    <w:rsid w:val="006E0586"/>
    <w:rsid w:val="006E2006"/>
    <w:rsid w:val="006E2037"/>
    <w:rsid w:val="006E2A49"/>
    <w:rsid w:val="006E3C37"/>
    <w:rsid w:val="006E57FD"/>
    <w:rsid w:val="006E5BAC"/>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0ABA"/>
    <w:rsid w:val="007D327C"/>
    <w:rsid w:val="007D3A12"/>
    <w:rsid w:val="007E2198"/>
    <w:rsid w:val="007E32DD"/>
    <w:rsid w:val="007F1475"/>
    <w:rsid w:val="007F4172"/>
    <w:rsid w:val="00800C6C"/>
    <w:rsid w:val="00801ECC"/>
    <w:rsid w:val="008026F4"/>
    <w:rsid w:val="0080375E"/>
    <w:rsid w:val="00804BED"/>
    <w:rsid w:val="00804EB1"/>
    <w:rsid w:val="008066ED"/>
    <w:rsid w:val="00806C74"/>
    <w:rsid w:val="0081559B"/>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056D"/>
    <w:rsid w:val="00AD2AA5"/>
    <w:rsid w:val="00AD70DD"/>
    <w:rsid w:val="00AD779A"/>
    <w:rsid w:val="00AE0CBF"/>
    <w:rsid w:val="00AF0502"/>
    <w:rsid w:val="00AF228F"/>
    <w:rsid w:val="00AF33C4"/>
    <w:rsid w:val="00B04123"/>
    <w:rsid w:val="00B0514B"/>
    <w:rsid w:val="00B0601E"/>
    <w:rsid w:val="00B06368"/>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4A20"/>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2591"/>
    <w:rsid w:val="00C136A7"/>
    <w:rsid w:val="00C13716"/>
    <w:rsid w:val="00C162E1"/>
    <w:rsid w:val="00C20435"/>
    <w:rsid w:val="00C21011"/>
    <w:rsid w:val="00C2145A"/>
    <w:rsid w:val="00C249E5"/>
    <w:rsid w:val="00C27993"/>
    <w:rsid w:val="00C32092"/>
    <w:rsid w:val="00C3308A"/>
    <w:rsid w:val="00C3644B"/>
    <w:rsid w:val="00C424F0"/>
    <w:rsid w:val="00C54C14"/>
    <w:rsid w:val="00C5636B"/>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32DD2"/>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15E"/>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6A4"/>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customStyle="1" w:styleId="Heading2EU4IE">
    <w:name w:val="Heading 2 EU4IE"/>
    <w:basedOn w:val="Normal"/>
    <w:next w:val="Normal"/>
    <w:link w:val="Heading2EU4IEChar"/>
    <w:qFormat/>
    <w:rsid w:val="00144A52"/>
    <w:pPr>
      <w:spacing w:after="200" w:line="240" w:lineRule="auto"/>
      <w:ind w:left="720" w:hanging="360"/>
      <w:jc w:val="both"/>
    </w:pPr>
    <w:rPr>
      <w:rFonts w:ascii="Nunito Sans ExtraBold" w:eastAsiaTheme="minorEastAsia" w:hAnsi="Nunito Sans ExtraBold" w:cstheme="minorBidi"/>
      <w:color w:val="000091"/>
      <w:sz w:val="28"/>
      <w:szCs w:val="24"/>
      <w:lang w:val="en-US" w:eastAsia="ja-JP"/>
    </w:rPr>
  </w:style>
  <w:style w:type="character" w:customStyle="1" w:styleId="Heading2EU4IEChar">
    <w:name w:val="Heading 2 EU4IE Char"/>
    <w:basedOn w:val="Titre2Car"/>
    <w:link w:val="Heading2EU4IE"/>
    <w:rsid w:val="00144A52"/>
    <w:rPr>
      <w:rFonts w:ascii="Nunito Sans ExtraBold" w:eastAsiaTheme="minorEastAsia" w:hAnsi="Nunito Sans ExtraBold" w:cstheme="minorBidi"/>
      <w:b w:val="0"/>
      <w:bCs w:val="0"/>
      <w:color w:val="000091"/>
      <w:sz w:val="28"/>
      <w:szCs w:val="24"/>
      <w:lang w:val="en-US" w:eastAsia="ja-JP"/>
    </w:rPr>
  </w:style>
  <w:style w:type="table" w:customStyle="1" w:styleId="Grilledutableau1">
    <w:name w:val="Grille du tableau1"/>
    <w:basedOn w:val="TableauNormal"/>
    <w:next w:val="Grilledutableau"/>
    <w:uiPriority w:val="39"/>
    <w:rsid w:val="00E346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2588397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46CE-BAF2-44F0-954B-C2BF7A57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22</Pages>
  <Words>6819</Words>
  <Characters>37509</Characters>
  <Application>Microsoft Office Word</Application>
  <DocSecurity>0</DocSecurity>
  <Lines>312</Lines>
  <Paragraphs>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44240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Alice FRITEAU</cp:lastModifiedBy>
  <cp:revision>5</cp:revision>
  <cp:lastPrinted>2014-11-19T14:39:00Z</cp:lastPrinted>
  <dcterms:created xsi:type="dcterms:W3CDTF">2025-05-23T12:02:00Z</dcterms:created>
  <dcterms:modified xsi:type="dcterms:W3CDTF">2025-05-23T12:13:00Z</dcterms:modified>
</cp:coreProperties>
</file>