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718EC7" w14:textId="77777777" w:rsidR="00D6547A" w:rsidRDefault="00A26315" w:rsidP="009D483C">
      <w:pPr>
        <w:pStyle w:val="Textbody"/>
      </w:pPr>
      <w:r>
        <w:t>Etablissements et organismes de l'enseignement supérieur, de la recherche et de l'innovation</w:t>
      </w:r>
    </w:p>
    <w:p w14:paraId="267F4821" w14:textId="77777777" w:rsidR="00D6547A" w:rsidRDefault="00D6547A">
      <w:pPr>
        <w:pStyle w:val="Textbody"/>
      </w:pPr>
    </w:p>
    <w:p w14:paraId="7BFED9AD" w14:textId="77777777" w:rsidR="00D6547A" w:rsidRDefault="00D6547A">
      <w:pPr>
        <w:pStyle w:val="Textbody"/>
      </w:pPr>
    </w:p>
    <w:p w14:paraId="7AF1AAD2" w14:textId="77777777" w:rsidR="00D6547A" w:rsidRDefault="00D6547A">
      <w:pPr>
        <w:pStyle w:val="Textbody"/>
      </w:pPr>
    </w:p>
    <w:p w14:paraId="24332690" w14:textId="77777777" w:rsidR="00D6547A" w:rsidRDefault="00D6547A">
      <w:pPr>
        <w:pStyle w:val="Textbody"/>
      </w:pPr>
    </w:p>
    <w:p w14:paraId="595B27EB" w14:textId="77777777" w:rsidR="00D6547A" w:rsidRDefault="00D6547A">
      <w:pPr>
        <w:pStyle w:val="Textbody"/>
      </w:pPr>
    </w:p>
    <w:p w14:paraId="191758C3" w14:textId="77777777" w:rsidR="00D6547A" w:rsidRDefault="00D6547A">
      <w:pPr>
        <w:pStyle w:val="Textbody"/>
      </w:pPr>
    </w:p>
    <w:p w14:paraId="2FB4E404" w14:textId="77777777" w:rsidR="00D6547A" w:rsidRDefault="00D6547A">
      <w:pPr>
        <w:pStyle w:val="Textbody"/>
      </w:pPr>
    </w:p>
    <w:p w14:paraId="499C499D" w14:textId="77777777" w:rsidR="00D6547A" w:rsidRDefault="00D6547A">
      <w:pPr>
        <w:pStyle w:val="Textbody"/>
      </w:pPr>
    </w:p>
    <w:p w14:paraId="0BC0F5EA" w14:textId="77777777" w:rsidR="00D6547A" w:rsidRDefault="00D6547A">
      <w:pPr>
        <w:pStyle w:val="Textbody"/>
      </w:pPr>
    </w:p>
    <w:p w14:paraId="04A6B860" w14:textId="77777777" w:rsidR="00D6547A" w:rsidRDefault="00D6547A">
      <w:pPr>
        <w:pStyle w:val="Textbody"/>
      </w:pPr>
    </w:p>
    <w:p w14:paraId="0AFBEE5B" w14:textId="77777777" w:rsidR="00D6547A" w:rsidRDefault="00D6547A">
      <w:pPr>
        <w:pStyle w:val="Textbody"/>
      </w:pPr>
    </w:p>
    <w:tbl>
      <w:tblPr>
        <w:tblW w:w="9637" w:type="dxa"/>
        <w:jc w:val="center"/>
        <w:tblLayout w:type="fixed"/>
        <w:tblCellMar>
          <w:left w:w="10" w:type="dxa"/>
          <w:right w:w="10" w:type="dxa"/>
        </w:tblCellMar>
        <w:tblLook w:val="04A0" w:firstRow="1" w:lastRow="0" w:firstColumn="1" w:lastColumn="0" w:noHBand="0" w:noVBand="1"/>
      </w:tblPr>
      <w:tblGrid>
        <w:gridCol w:w="557"/>
        <w:gridCol w:w="8520"/>
        <w:gridCol w:w="560"/>
      </w:tblGrid>
      <w:tr w:rsidR="00D6547A" w14:paraId="0024BF3E" w14:textId="77777777">
        <w:trPr>
          <w:trHeight w:val="1163"/>
          <w:jc w:val="center"/>
        </w:trPr>
        <w:tc>
          <w:tcPr>
            <w:tcW w:w="557" w:type="dxa"/>
            <w:tcBorders>
              <w:top w:val="single" w:sz="2" w:space="0" w:color="000000"/>
              <w:left w:val="single" w:sz="2" w:space="0" w:color="000000"/>
            </w:tcBorders>
            <w:tcMar>
              <w:top w:w="55" w:type="dxa"/>
              <w:left w:w="55" w:type="dxa"/>
              <w:bottom w:w="55" w:type="dxa"/>
              <w:right w:w="55" w:type="dxa"/>
            </w:tcMar>
          </w:tcPr>
          <w:p w14:paraId="7DF3C45D" w14:textId="77777777" w:rsidR="00D6547A" w:rsidRDefault="00D6547A">
            <w:pPr>
              <w:pStyle w:val="TableContents"/>
            </w:pPr>
          </w:p>
        </w:tc>
        <w:tc>
          <w:tcPr>
            <w:tcW w:w="8520" w:type="dxa"/>
            <w:tcBorders>
              <w:top w:val="single" w:sz="2" w:space="0" w:color="000000"/>
            </w:tcBorders>
            <w:tcMar>
              <w:top w:w="55" w:type="dxa"/>
              <w:left w:w="55" w:type="dxa"/>
              <w:bottom w:w="55" w:type="dxa"/>
              <w:right w:w="55" w:type="dxa"/>
            </w:tcMar>
            <w:vAlign w:val="center"/>
          </w:tcPr>
          <w:p w14:paraId="0BC1238B" w14:textId="77777777" w:rsidR="00D6547A" w:rsidRDefault="00A26315" w:rsidP="0098166B">
            <w:pPr>
              <w:pStyle w:val="Standard"/>
            </w:pPr>
            <w:r>
              <w:t>Prestations nécessaires à l'établissement des actes de transfert des biens immobiliers de l'Etat à l'université de XXXX</w:t>
            </w:r>
          </w:p>
          <w:p w14:paraId="0B7D3370" w14:textId="77777777" w:rsidR="00520A36" w:rsidRDefault="00520A36" w:rsidP="0098166B">
            <w:pPr>
              <w:pStyle w:val="Standard"/>
            </w:pPr>
          </w:p>
          <w:p w14:paraId="5D2AFC0B" w14:textId="7AC2BFF5" w:rsidR="00520A36" w:rsidRDefault="002D7716" w:rsidP="0098166B">
            <w:pPr>
              <w:pStyle w:val="Standard"/>
            </w:pPr>
            <w:r>
              <w:t>P</w:t>
            </w:r>
            <w:r w:rsidR="00520A36">
              <w:t>restations notariales</w:t>
            </w:r>
          </w:p>
        </w:tc>
        <w:tc>
          <w:tcPr>
            <w:tcW w:w="560" w:type="dxa"/>
            <w:tcBorders>
              <w:top w:val="single" w:sz="2" w:space="0" w:color="000000"/>
              <w:right w:val="single" w:sz="2" w:space="0" w:color="000000"/>
            </w:tcBorders>
            <w:tcMar>
              <w:top w:w="55" w:type="dxa"/>
              <w:left w:w="55" w:type="dxa"/>
              <w:bottom w:w="55" w:type="dxa"/>
              <w:right w:w="55" w:type="dxa"/>
            </w:tcMar>
          </w:tcPr>
          <w:p w14:paraId="55142037" w14:textId="77777777" w:rsidR="00D6547A" w:rsidRDefault="00D6547A">
            <w:pPr>
              <w:pStyle w:val="TableContents"/>
            </w:pPr>
          </w:p>
        </w:tc>
      </w:tr>
      <w:tr w:rsidR="00D6547A" w14:paraId="29DF0FEB" w14:textId="77777777">
        <w:trPr>
          <w:trHeight w:val="1068"/>
          <w:jc w:val="center"/>
        </w:trPr>
        <w:tc>
          <w:tcPr>
            <w:tcW w:w="557" w:type="dxa"/>
            <w:tcBorders>
              <w:left w:val="single" w:sz="2" w:space="0" w:color="000000"/>
              <w:bottom w:val="single" w:sz="2" w:space="0" w:color="000000"/>
            </w:tcBorders>
            <w:tcMar>
              <w:top w:w="55" w:type="dxa"/>
              <w:left w:w="55" w:type="dxa"/>
              <w:bottom w:w="55" w:type="dxa"/>
              <w:right w:w="55" w:type="dxa"/>
            </w:tcMar>
          </w:tcPr>
          <w:p w14:paraId="1CC95829" w14:textId="77777777" w:rsidR="00D6547A" w:rsidRDefault="00D6547A">
            <w:pPr>
              <w:pStyle w:val="TableContents"/>
            </w:pPr>
          </w:p>
        </w:tc>
        <w:tc>
          <w:tcPr>
            <w:tcW w:w="8520" w:type="dxa"/>
            <w:tcBorders>
              <w:bottom w:val="single" w:sz="2" w:space="0" w:color="000000"/>
            </w:tcBorders>
            <w:tcMar>
              <w:top w:w="55" w:type="dxa"/>
              <w:left w:w="55" w:type="dxa"/>
              <w:bottom w:w="55" w:type="dxa"/>
              <w:right w:w="55" w:type="dxa"/>
            </w:tcMar>
            <w:vAlign w:val="center"/>
          </w:tcPr>
          <w:p w14:paraId="7347DDEE" w14:textId="77777777" w:rsidR="00D6547A" w:rsidRDefault="00A26315">
            <w:pPr>
              <w:pStyle w:val="Textbody"/>
            </w:pPr>
            <w:r>
              <w:t>CAHIER DES CLAUSES PARTICULIERES</w:t>
            </w:r>
          </w:p>
        </w:tc>
        <w:tc>
          <w:tcPr>
            <w:tcW w:w="560" w:type="dxa"/>
            <w:tcBorders>
              <w:bottom w:val="single" w:sz="2" w:space="0" w:color="000000"/>
              <w:right w:val="single" w:sz="2" w:space="0" w:color="000000"/>
            </w:tcBorders>
            <w:tcMar>
              <w:top w:w="55" w:type="dxa"/>
              <w:left w:w="55" w:type="dxa"/>
              <w:bottom w:w="55" w:type="dxa"/>
              <w:right w:w="55" w:type="dxa"/>
            </w:tcMar>
          </w:tcPr>
          <w:p w14:paraId="2719F52A" w14:textId="77777777" w:rsidR="00D6547A" w:rsidRDefault="00D6547A">
            <w:pPr>
              <w:pStyle w:val="TableContents"/>
            </w:pPr>
          </w:p>
        </w:tc>
      </w:tr>
    </w:tbl>
    <w:p w14:paraId="6D728508" w14:textId="77777777" w:rsidR="00D6547A" w:rsidRDefault="00D6547A">
      <w:pPr>
        <w:pStyle w:val="Standard"/>
      </w:pPr>
    </w:p>
    <w:p w14:paraId="5D667BDD" w14:textId="77777777" w:rsidR="00D6547A" w:rsidRDefault="00D6547A">
      <w:pPr>
        <w:pStyle w:val="Standard"/>
      </w:pPr>
    </w:p>
    <w:p w14:paraId="3FAAC625" w14:textId="77777777" w:rsidR="00D6547A" w:rsidRDefault="00D6547A">
      <w:pPr>
        <w:pStyle w:val="Standard"/>
      </w:pPr>
    </w:p>
    <w:p w14:paraId="158052C2" w14:textId="55F3F671" w:rsidR="00D6547A" w:rsidRDefault="00A26315">
      <w:pPr>
        <w:pStyle w:val="Standard"/>
      </w:pPr>
      <w:r>
        <w:t xml:space="preserve">Numéro de consultation : </w:t>
      </w:r>
      <w:r w:rsidR="002D7716">
        <w:t>25</w:t>
      </w:r>
      <w:r w:rsidR="00520A36">
        <w:t>-0</w:t>
      </w:r>
      <w:r w:rsidR="002D7716">
        <w:t>1</w:t>
      </w:r>
      <w:r>
        <w:t>-MS</w:t>
      </w:r>
    </w:p>
    <w:p w14:paraId="76F3A3BB" w14:textId="77777777" w:rsidR="00D6547A" w:rsidRDefault="00D6547A">
      <w:pPr>
        <w:pStyle w:val="Standard"/>
      </w:pPr>
    </w:p>
    <w:p w14:paraId="7BDD332B" w14:textId="201DF64D" w:rsidR="00D6547A" w:rsidRDefault="00A26315">
      <w:pPr>
        <w:pStyle w:val="Standard"/>
      </w:pPr>
      <w:r>
        <w:rPr>
          <w:b/>
          <w:bCs/>
        </w:rPr>
        <w:t>Procédure de passation :</w:t>
      </w:r>
      <w:r>
        <w:t xml:space="preserve"> </w:t>
      </w:r>
      <w:r w:rsidR="00555D9C">
        <w:t>Marché subséquent fondé sur l’</w:t>
      </w:r>
      <w:r w:rsidR="00BE1876">
        <w:t>accord-</w:t>
      </w:r>
      <w:r w:rsidR="00555D9C">
        <w:t xml:space="preserve">cadre </w:t>
      </w:r>
      <w:r w:rsidR="002D7716">
        <w:t>25</w:t>
      </w:r>
      <w:r w:rsidR="00D54C3A">
        <w:t>-0</w:t>
      </w:r>
      <w:r w:rsidR="002D7716">
        <w:t>1</w:t>
      </w:r>
      <w:r w:rsidR="00555D9C">
        <w:t>-</w:t>
      </w:r>
      <w:r w:rsidR="00D54C3A">
        <w:t>Devolution</w:t>
      </w:r>
    </w:p>
    <w:p w14:paraId="7000EABC" w14:textId="77777777" w:rsidR="00D6547A" w:rsidRDefault="00D6547A">
      <w:pPr>
        <w:pStyle w:val="Standard"/>
      </w:pPr>
    </w:p>
    <w:p w14:paraId="6E3A20B6" w14:textId="77777777" w:rsidR="00D6547A" w:rsidRDefault="00D6547A">
      <w:pPr>
        <w:pStyle w:val="Standard"/>
      </w:pPr>
    </w:p>
    <w:p w14:paraId="16D1F9D5" w14:textId="77777777" w:rsidR="00FB2426" w:rsidRPr="00FB2426" w:rsidRDefault="00A26315">
      <w:pPr>
        <w:pStyle w:val="TM1"/>
        <w:tabs>
          <w:tab w:val="left" w:pos="1320"/>
          <w:tab w:val="right" w:leader="dot" w:pos="9627"/>
        </w:tabs>
        <w:rPr>
          <w:rFonts w:ascii="Arial" w:eastAsiaTheme="minorEastAsia" w:hAnsi="Arial" w:cs="Arial"/>
          <w:noProof/>
          <w:kern w:val="0"/>
          <w:sz w:val="20"/>
          <w:szCs w:val="20"/>
          <w:lang w:eastAsia="fr-FR" w:bidi="ar-SA"/>
        </w:rPr>
      </w:pPr>
      <w:r w:rsidRPr="00FB2426">
        <w:rPr>
          <w:rFonts w:ascii="Arial" w:hAnsi="Arial" w:cs="Arial"/>
          <w:b/>
          <w:bCs/>
          <w:sz w:val="20"/>
          <w:szCs w:val="20"/>
        </w:rPr>
        <w:fldChar w:fldCharType="begin"/>
      </w:r>
      <w:r w:rsidRPr="00FB2426">
        <w:rPr>
          <w:rFonts w:ascii="Arial" w:hAnsi="Arial" w:cs="Arial"/>
          <w:sz w:val="20"/>
          <w:szCs w:val="20"/>
        </w:rPr>
        <w:instrText xml:space="preserve"> TOC \o "1-2" \l 1-2 \h </w:instrText>
      </w:r>
      <w:r w:rsidRPr="00FB2426">
        <w:rPr>
          <w:rFonts w:ascii="Arial" w:hAnsi="Arial" w:cs="Arial"/>
          <w:b/>
          <w:bCs/>
          <w:sz w:val="20"/>
          <w:szCs w:val="20"/>
        </w:rPr>
        <w:fldChar w:fldCharType="separate"/>
      </w:r>
      <w:hyperlink w:anchor="_Toc15656153" w:history="1">
        <w:r w:rsidR="00FB2426" w:rsidRPr="00FB2426">
          <w:rPr>
            <w:rStyle w:val="Lienhypertexte"/>
            <w:rFonts w:ascii="Arial" w:hAnsi="Arial" w:cs="Arial"/>
            <w:noProof/>
            <w:sz w:val="20"/>
            <w:szCs w:val="20"/>
          </w:rPr>
          <w:t>Article 1 -</w:t>
        </w:r>
        <w:r w:rsidR="00FB2426" w:rsidRPr="00FB2426">
          <w:rPr>
            <w:rFonts w:ascii="Arial" w:eastAsiaTheme="minorEastAsia" w:hAnsi="Arial" w:cs="Arial"/>
            <w:noProof/>
            <w:kern w:val="0"/>
            <w:sz w:val="20"/>
            <w:szCs w:val="20"/>
            <w:lang w:eastAsia="fr-FR" w:bidi="ar-SA"/>
          </w:rPr>
          <w:tab/>
        </w:r>
        <w:r w:rsidR="00FB2426" w:rsidRPr="00FB2426">
          <w:rPr>
            <w:rStyle w:val="Lienhypertexte"/>
            <w:rFonts w:ascii="Arial" w:hAnsi="Arial" w:cs="Arial"/>
            <w:noProof/>
            <w:sz w:val="20"/>
            <w:szCs w:val="20"/>
          </w:rPr>
          <w:t>PREAMBULE - CONTEXTE</w:t>
        </w:r>
        <w:r w:rsidR="00FB2426" w:rsidRPr="00FB2426">
          <w:rPr>
            <w:rFonts w:ascii="Arial" w:hAnsi="Arial" w:cs="Arial"/>
            <w:noProof/>
            <w:sz w:val="20"/>
            <w:szCs w:val="20"/>
          </w:rPr>
          <w:tab/>
        </w:r>
        <w:r w:rsidR="00FB2426" w:rsidRPr="00FB2426">
          <w:rPr>
            <w:rFonts w:ascii="Arial" w:hAnsi="Arial" w:cs="Arial"/>
            <w:noProof/>
            <w:sz w:val="20"/>
            <w:szCs w:val="20"/>
          </w:rPr>
          <w:fldChar w:fldCharType="begin"/>
        </w:r>
        <w:r w:rsidR="00FB2426" w:rsidRPr="00FB2426">
          <w:rPr>
            <w:rFonts w:ascii="Arial" w:hAnsi="Arial" w:cs="Arial"/>
            <w:noProof/>
            <w:sz w:val="20"/>
            <w:szCs w:val="20"/>
          </w:rPr>
          <w:instrText xml:space="preserve"> PAGEREF _Toc15656153 \h </w:instrText>
        </w:r>
        <w:r w:rsidR="00FB2426" w:rsidRPr="00FB2426">
          <w:rPr>
            <w:rFonts w:ascii="Arial" w:hAnsi="Arial" w:cs="Arial"/>
            <w:noProof/>
            <w:sz w:val="20"/>
            <w:szCs w:val="20"/>
          </w:rPr>
        </w:r>
        <w:r w:rsidR="00FB2426" w:rsidRPr="00FB2426">
          <w:rPr>
            <w:rFonts w:ascii="Arial" w:hAnsi="Arial" w:cs="Arial"/>
            <w:noProof/>
            <w:sz w:val="20"/>
            <w:szCs w:val="20"/>
          </w:rPr>
          <w:fldChar w:fldCharType="separate"/>
        </w:r>
        <w:r w:rsidR="00FB2426" w:rsidRPr="00FB2426">
          <w:rPr>
            <w:rFonts w:ascii="Arial" w:hAnsi="Arial" w:cs="Arial"/>
            <w:noProof/>
            <w:sz w:val="20"/>
            <w:szCs w:val="20"/>
          </w:rPr>
          <w:t>2</w:t>
        </w:r>
        <w:r w:rsidR="00FB2426" w:rsidRPr="00FB2426">
          <w:rPr>
            <w:rFonts w:ascii="Arial" w:hAnsi="Arial" w:cs="Arial"/>
            <w:noProof/>
            <w:sz w:val="20"/>
            <w:szCs w:val="20"/>
          </w:rPr>
          <w:fldChar w:fldCharType="end"/>
        </w:r>
      </w:hyperlink>
    </w:p>
    <w:p w14:paraId="106A19C7" w14:textId="77777777" w:rsidR="00FB2426" w:rsidRPr="00FB2426" w:rsidRDefault="007533D9">
      <w:pPr>
        <w:pStyle w:val="TM1"/>
        <w:tabs>
          <w:tab w:val="left" w:pos="1320"/>
          <w:tab w:val="right" w:leader="dot" w:pos="9627"/>
        </w:tabs>
        <w:rPr>
          <w:rFonts w:ascii="Arial" w:eastAsiaTheme="minorEastAsia" w:hAnsi="Arial" w:cs="Arial"/>
          <w:noProof/>
          <w:kern w:val="0"/>
          <w:sz w:val="20"/>
          <w:szCs w:val="20"/>
          <w:lang w:eastAsia="fr-FR" w:bidi="ar-SA"/>
        </w:rPr>
      </w:pPr>
      <w:hyperlink w:anchor="_Toc15656154" w:history="1">
        <w:r w:rsidR="00FB2426" w:rsidRPr="00FB2426">
          <w:rPr>
            <w:rStyle w:val="Lienhypertexte"/>
            <w:rFonts w:ascii="Arial" w:hAnsi="Arial" w:cs="Arial"/>
            <w:noProof/>
            <w:sz w:val="20"/>
            <w:szCs w:val="20"/>
          </w:rPr>
          <w:t>Article 2 -</w:t>
        </w:r>
        <w:r w:rsidR="00FB2426" w:rsidRPr="00FB2426">
          <w:rPr>
            <w:rFonts w:ascii="Arial" w:eastAsiaTheme="minorEastAsia" w:hAnsi="Arial" w:cs="Arial"/>
            <w:noProof/>
            <w:kern w:val="0"/>
            <w:sz w:val="20"/>
            <w:szCs w:val="20"/>
            <w:lang w:eastAsia="fr-FR" w:bidi="ar-SA"/>
          </w:rPr>
          <w:tab/>
        </w:r>
        <w:r w:rsidR="00FB2426" w:rsidRPr="00FB2426">
          <w:rPr>
            <w:rStyle w:val="Lienhypertexte"/>
            <w:rFonts w:ascii="Arial" w:hAnsi="Arial" w:cs="Arial"/>
            <w:noProof/>
            <w:sz w:val="20"/>
            <w:szCs w:val="20"/>
          </w:rPr>
          <w:t>CLAUSES ADMINISTRATIVES</w:t>
        </w:r>
        <w:r w:rsidR="00FB2426" w:rsidRPr="00FB2426">
          <w:rPr>
            <w:rFonts w:ascii="Arial" w:hAnsi="Arial" w:cs="Arial"/>
            <w:noProof/>
            <w:sz w:val="20"/>
            <w:szCs w:val="20"/>
          </w:rPr>
          <w:tab/>
        </w:r>
        <w:r w:rsidR="00FB2426" w:rsidRPr="00FB2426">
          <w:rPr>
            <w:rFonts w:ascii="Arial" w:hAnsi="Arial" w:cs="Arial"/>
            <w:noProof/>
            <w:sz w:val="20"/>
            <w:szCs w:val="20"/>
          </w:rPr>
          <w:fldChar w:fldCharType="begin"/>
        </w:r>
        <w:r w:rsidR="00FB2426" w:rsidRPr="00FB2426">
          <w:rPr>
            <w:rFonts w:ascii="Arial" w:hAnsi="Arial" w:cs="Arial"/>
            <w:noProof/>
            <w:sz w:val="20"/>
            <w:szCs w:val="20"/>
          </w:rPr>
          <w:instrText xml:space="preserve"> PAGEREF _Toc15656154 \h </w:instrText>
        </w:r>
        <w:r w:rsidR="00FB2426" w:rsidRPr="00FB2426">
          <w:rPr>
            <w:rFonts w:ascii="Arial" w:hAnsi="Arial" w:cs="Arial"/>
            <w:noProof/>
            <w:sz w:val="20"/>
            <w:szCs w:val="20"/>
          </w:rPr>
        </w:r>
        <w:r w:rsidR="00FB2426" w:rsidRPr="00FB2426">
          <w:rPr>
            <w:rFonts w:ascii="Arial" w:hAnsi="Arial" w:cs="Arial"/>
            <w:noProof/>
            <w:sz w:val="20"/>
            <w:szCs w:val="20"/>
          </w:rPr>
          <w:fldChar w:fldCharType="separate"/>
        </w:r>
        <w:r w:rsidR="00FB2426" w:rsidRPr="00FB2426">
          <w:rPr>
            <w:rFonts w:ascii="Arial" w:hAnsi="Arial" w:cs="Arial"/>
            <w:noProof/>
            <w:sz w:val="20"/>
            <w:szCs w:val="20"/>
          </w:rPr>
          <w:t>2</w:t>
        </w:r>
        <w:r w:rsidR="00FB2426" w:rsidRPr="00FB2426">
          <w:rPr>
            <w:rFonts w:ascii="Arial" w:hAnsi="Arial" w:cs="Arial"/>
            <w:noProof/>
            <w:sz w:val="20"/>
            <w:szCs w:val="20"/>
          </w:rPr>
          <w:fldChar w:fldCharType="end"/>
        </w:r>
      </w:hyperlink>
    </w:p>
    <w:p w14:paraId="516BA003" w14:textId="77777777" w:rsidR="00FB2426" w:rsidRPr="00FB2426" w:rsidRDefault="007533D9">
      <w:pPr>
        <w:pStyle w:val="TM2"/>
        <w:tabs>
          <w:tab w:val="left" w:pos="880"/>
          <w:tab w:val="right" w:leader="dot" w:pos="9627"/>
        </w:tabs>
        <w:rPr>
          <w:rFonts w:ascii="Arial" w:eastAsiaTheme="minorEastAsia" w:hAnsi="Arial" w:cs="Arial"/>
          <w:noProof/>
          <w:kern w:val="0"/>
          <w:sz w:val="20"/>
          <w:szCs w:val="20"/>
          <w:lang w:eastAsia="fr-FR" w:bidi="ar-SA"/>
        </w:rPr>
      </w:pPr>
      <w:hyperlink w:anchor="_Toc15656155" w:history="1">
        <w:r w:rsidR="00FB2426" w:rsidRPr="00FB2426">
          <w:rPr>
            <w:rStyle w:val="Lienhypertexte"/>
            <w:rFonts w:ascii="Arial" w:hAnsi="Arial" w:cs="Arial"/>
            <w:noProof/>
            <w:sz w:val="20"/>
            <w:szCs w:val="20"/>
          </w:rPr>
          <w:t>2.1</w:t>
        </w:r>
        <w:r w:rsidR="00FB2426" w:rsidRPr="00FB2426">
          <w:rPr>
            <w:rFonts w:ascii="Arial" w:eastAsiaTheme="minorEastAsia" w:hAnsi="Arial" w:cs="Arial"/>
            <w:noProof/>
            <w:kern w:val="0"/>
            <w:sz w:val="20"/>
            <w:szCs w:val="20"/>
            <w:lang w:eastAsia="fr-FR" w:bidi="ar-SA"/>
          </w:rPr>
          <w:tab/>
        </w:r>
        <w:r w:rsidR="00FB2426" w:rsidRPr="00FB2426">
          <w:rPr>
            <w:rStyle w:val="Lienhypertexte"/>
            <w:rFonts w:ascii="Arial" w:hAnsi="Arial" w:cs="Arial"/>
            <w:noProof/>
            <w:sz w:val="20"/>
            <w:szCs w:val="20"/>
          </w:rPr>
          <w:t>Objet du marché</w:t>
        </w:r>
        <w:r w:rsidR="00FB2426" w:rsidRPr="00FB2426">
          <w:rPr>
            <w:rFonts w:ascii="Arial" w:hAnsi="Arial" w:cs="Arial"/>
            <w:noProof/>
            <w:sz w:val="20"/>
            <w:szCs w:val="20"/>
          </w:rPr>
          <w:tab/>
        </w:r>
        <w:r w:rsidR="00FB2426" w:rsidRPr="00FB2426">
          <w:rPr>
            <w:rFonts w:ascii="Arial" w:hAnsi="Arial" w:cs="Arial"/>
            <w:noProof/>
            <w:sz w:val="20"/>
            <w:szCs w:val="20"/>
          </w:rPr>
          <w:fldChar w:fldCharType="begin"/>
        </w:r>
        <w:r w:rsidR="00FB2426" w:rsidRPr="00FB2426">
          <w:rPr>
            <w:rFonts w:ascii="Arial" w:hAnsi="Arial" w:cs="Arial"/>
            <w:noProof/>
            <w:sz w:val="20"/>
            <w:szCs w:val="20"/>
          </w:rPr>
          <w:instrText xml:space="preserve"> PAGEREF _Toc15656155 \h </w:instrText>
        </w:r>
        <w:r w:rsidR="00FB2426" w:rsidRPr="00FB2426">
          <w:rPr>
            <w:rFonts w:ascii="Arial" w:hAnsi="Arial" w:cs="Arial"/>
            <w:noProof/>
            <w:sz w:val="20"/>
            <w:szCs w:val="20"/>
          </w:rPr>
        </w:r>
        <w:r w:rsidR="00FB2426" w:rsidRPr="00FB2426">
          <w:rPr>
            <w:rFonts w:ascii="Arial" w:hAnsi="Arial" w:cs="Arial"/>
            <w:noProof/>
            <w:sz w:val="20"/>
            <w:szCs w:val="20"/>
          </w:rPr>
          <w:fldChar w:fldCharType="separate"/>
        </w:r>
        <w:r w:rsidR="00FB2426" w:rsidRPr="00FB2426">
          <w:rPr>
            <w:rFonts w:ascii="Arial" w:hAnsi="Arial" w:cs="Arial"/>
            <w:noProof/>
            <w:sz w:val="20"/>
            <w:szCs w:val="20"/>
          </w:rPr>
          <w:t>2</w:t>
        </w:r>
        <w:r w:rsidR="00FB2426" w:rsidRPr="00FB2426">
          <w:rPr>
            <w:rFonts w:ascii="Arial" w:hAnsi="Arial" w:cs="Arial"/>
            <w:noProof/>
            <w:sz w:val="20"/>
            <w:szCs w:val="20"/>
          </w:rPr>
          <w:fldChar w:fldCharType="end"/>
        </w:r>
      </w:hyperlink>
    </w:p>
    <w:p w14:paraId="28E68030" w14:textId="77777777" w:rsidR="00FB2426" w:rsidRPr="00FB2426" w:rsidRDefault="007533D9">
      <w:pPr>
        <w:pStyle w:val="TM2"/>
        <w:tabs>
          <w:tab w:val="left" w:pos="880"/>
          <w:tab w:val="right" w:leader="dot" w:pos="9627"/>
        </w:tabs>
        <w:rPr>
          <w:rFonts w:ascii="Arial" w:eastAsiaTheme="minorEastAsia" w:hAnsi="Arial" w:cs="Arial"/>
          <w:noProof/>
          <w:kern w:val="0"/>
          <w:sz w:val="20"/>
          <w:szCs w:val="20"/>
          <w:lang w:eastAsia="fr-FR" w:bidi="ar-SA"/>
        </w:rPr>
      </w:pPr>
      <w:hyperlink w:anchor="_Toc15656156" w:history="1">
        <w:r w:rsidR="00FB2426" w:rsidRPr="00FB2426">
          <w:rPr>
            <w:rStyle w:val="Lienhypertexte"/>
            <w:rFonts w:ascii="Arial" w:hAnsi="Arial" w:cs="Arial"/>
            <w:noProof/>
            <w:sz w:val="20"/>
            <w:szCs w:val="20"/>
          </w:rPr>
          <w:t>2.2</w:t>
        </w:r>
        <w:r w:rsidR="00FB2426" w:rsidRPr="00FB2426">
          <w:rPr>
            <w:rFonts w:ascii="Arial" w:eastAsiaTheme="minorEastAsia" w:hAnsi="Arial" w:cs="Arial"/>
            <w:noProof/>
            <w:kern w:val="0"/>
            <w:sz w:val="20"/>
            <w:szCs w:val="20"/>
            <w:lang w:eastAsia="fr-FR" w:bidi="ar-SA"/>
          </w:rPr>
          <w:tab/>
        </w:r>
        <w:r w:rsidR="00FB2426" w:rsidRPr="00FB2426">
          <w:rPr>
            <w:rStyle w:val="Lienhypertexte"/>
            <w:rFonts w:ascii="Arial" w:hAnsi="Arial" w:cs="Arial"/>
            <w:noProof/>
            <w:sz w:val="20"/>
            <w:szCs w:val="20"/>
          </w:rPr>
          <w:t>Allotissement</w:t>
        </w:r>
        <w:r w:rsidR="00FB2426" w:rsidRPr="00FB2426">
          <w:rPr>
            <w:rFonts w:ascii="Arial" w:hAnsi="Arial" w:cs="Arial"/>
            <w:noProof/>
            <w:sz w:val="20"/>
            <w:szCs w:val="20"/>
          </w:rPr>
          <w:tab/>
        </w:r>
        <w:r w:rsidR="00FB2426" w:rsidRPr="00FB2426">
          <w:rPr>
            <w:rFonts w:ascii="Arial" w:hAnsi="Arial" w:cs="Arial"/>
            <w:noProof/>
            <w:sz w:val="20"/>
            <w:szCs w:val="20"/>
          </w:rPr>
          <w:fldChar w:fldCharType="begin"/>
        </w:r>
        <w:r w:rsidR="00FB2426" w:rsidRPr="00FB2426">
          <w:rPr>
            <w:rFonts w:ascii="Arial" w:hAnsi="Arial" w:cs="Arial"/>
            <w:noProof/>
            <w:sz w:val="20"/>
            <w:szCs w:val="20"/>
          </w:rPr>
          <w:instrText xml:space="preserve"> PAGEREF _Toc15656156 \h </w:instrText>
        </w:r>
        <w:r w:rsidR="00FB2426" w:rsidRPr="00FB2426">
          <w:rPr>
            <w:rFonts w:ascii="Arial" w:hAnsi="Arial" w:cs="Arial"/>
            <w:noProof/>
            <w:sz w:val="20"/>
            <w:szCs w:val="20"/>
          </w:rPr>
        </w:r>
        <w:r w:rsidR="00FB2426" w:rsidRPr="00FB2426">
          <w:rPr>
            <w:rFonts w:ascii="Arial" w:hAnsi="Arial" w:cs="Arial"/>
            <w:noProof/>
            <w:sz w:val="20"/>
            <w:szCs w:val="20"/>
          </w:rPr>
          <w:fldChar w:fldCharType="separate"/>
        </w:r>
        <w:r w:rsidR="00FB2426" w:rsidRPr="00FB2426">
          <w:rPr>
            <w:rFonts w:ascii="Arial" w:hAnsi="Arial" w:cs="Arial"/>
            <w:noProof/>
            <w:sz w:val="20"/>
            <w:szCs w:val="20"/>
          </w:rPr>
          <w:t>2</w:t>
        </w:r>
        <w:r w:rsidR="00FB2426" w:rsidRPr="00FB2426">
          <w:rPr>
            <w:rFonts w:ascii="Arial" w:hAnsi="Arial" w:cs="Arial"/>
            <w:noProof/>
            <w:sz w:val="20"/>
            <w:szCs w:val="20"/>
          </w:rPr>
          <w:fldChar w:fldCharType="end"/>
        </w:r>
      </w:hyperlink>
    </w:p>
    <w:p w14:paraId="2DD076E6" w14:textId="77777777" w:rsidR="00FB2426" w:rsidRPr="00FB2426" w:rsidRDefault="007533D9">
      <w:pPr>
        <w:pStyle w:val="TM2"/>
        <w:tabs>
          <w:tab w:val="left" w:pos="880"/>
          <w:tab w:val="right" w:leader="dot" w:pos="9627"/>
        </w:tabs>
        <w:rPr>
          <w:rFonts w:ascii="Arial" w:eastAsiaTheme="minorEastAsia" w:hAnsi="Arial" w:cs="Arial"/>
          <w:noProof/>
          <w:kern w:val="0"/>
          <w:sz w:val="20"/>
          <w:szCs w:val="20"/>
          <w:lang w:eastAsia="fr-FR" w:bidi="ar-SA"/>
        </w:rPr>
      </w:pPr>
      <w:hyperlink w:anchor="_Toc15656157" w:history="1">
        <w:r w:rsidR="00FB2426" w:rsidRPr="00FB2426">
          <w:rPr>
            <w:rStyle w:val="Lienhypertexte"/>
            <w:rFonts w:ascii="Arial" w:hAnsi="Arial" w:cs="Arial"/>
            <w:noProof/>
            <w:sz w:val="20"/>
            <w:szCs w:val="20"/>
          </w:rPr>
          <w:t>2.3</w:t>
        </w:r>
        <w:r w:rsidR="00FB2426" w:rsidRPr="00FB2426">
          <w:rPr>
            <w:rFonts w:ascii="Arial" w:eastAsiaTheme="minorEastAsia" w:hAnsi="Arial" w:cs="Arial"/>
            <w:noProof/>
            <w:kern w:val="0"/>
            <w:sz w:val="20"/>
            <w:szCs w:val="20"/>
            <w:lang w:eastAsia="fr-FR" w:bidi="ar-SA"/>
          </w:rPr>
          <w:tab/>
        </w:r>
        <w:r w:rsidR="00FB2426" w:rsidRPr="00FB2426">
          <w:rPr>
            <w:rStyle w:val="Lienhypertexte"/>
            <w:rFonts w:ascii="Arial" w:hAnsi="Arial" w:cs="Arial"/>
            <w:noProof/>
            <w:sz w:val="20"/>
            <w:szCs w:val="20"/>
          </w:rPr>
          <w:t>Etendue du marché</w:t>
        </w:r>
        <w:r w:rsidR="00FB2426" w:rsidRPr="00FB2426">
          <w:rPr>
            <w:rFonts w:ascii="Arial" w:hAnsi="Arial" w:cs="Arial"/>
            <w:noProof/>
            <w:sz w:val="20"/>
            <w:szCs w:val="20"/>
          </w:rPr>
          <w:tab/>
        </w:r>
        <w:r w:rsidR="00FB2426" w:rsidRPr="00FB2426">
          <w:rPr>
            <w:rFonts w:ascii="Arial" w:hAnsi="Arial" w:cs="Arial"/>
            <w:noProof/>
            <w:sz w:val="20"/>
            <w:szCs w:val="20"/>
          </w:rPr>
          <w:fldChar w:fldCharType="begin"/>
        </w:r>
        <w:r w:rsidR="00FB2426" w:rsidRPr="00FB2426">
          <w:rPr>
            <w:rFonts w:ascii="Arial" w:hAnsi="Arial" w:cs="Arial"/>
            <w:noProof/>
            <w:sz w:val="20"/>
            <w:szCs w:val="20"/>
          </w:rPr>
          <w:instrText xml:space="preserve"> PAGEREF _Toc15656157 \h </w:instrText>
        </w:r>
        <w:r w:rsidR="00FB2426" w:rsidRPr="00FB2426">
          <w:rPr>
            <w:rFonts w:ascii="Arial" w:hAnsi="Arial" w:cs="Arial"/>
            <w:noProof/>
            <w:sz w:val="20"/>
            <w:szCs w:val="20"/>
          </w:rPr>
        </w:r>
        <w:r w:rsidR="00FB2426" w:rsidRPr="00FB2426">
          <w:rPr>
            <w:rFonts w:ascii="Arial" w:hAnsi="Arial" w:cs="Arial"/>
            <w:noProof/>
            <w:sz w:val="20"/>
            <w:szCs w:val="20"/>
          </w:rPr>
          <w:fldChar w:fldCharType="separate"/>
        </w:r>
        <w:r w:rsidR="00FB2426" w:rsidRPr="00FB2426">
          <w:rPr>
            <w:rFonts w:ascii="Arial" w:hAnsi="Arial" w:cs="Arial"/>
            <w:noProof/>
            <w:sz w:val="20"/>
            <w:szCs w:val="20"/>
          </w:rPr>
          <w:t>2</w:t>
        </w:r>
        <w:r w:rsidR="00FB2426" w:rsidRPr="00FB2426">
          <w:rPr>
            <w:rFonts w:ascii="Arial" w:hAnsi="Arial" w:cs="Arial"/>
            <w:noProof/>
            <w:sz w:val="20"/>
            <w:szCs w:val="20"/>
          </w:rPr>
          <w:fldChar w:fldCharType="end"/>
        </w:r>
      </w:hyperlink>
    </w:p>
    <w:p w14:paraId="316E17A5" w14:textId="77777777" w:rsidR="00FB2426" w:rsidRPr="00FB2426" w:rsidRDefault="007533D9">
      <w:pPr>
        <w:pStyle w:val="TM2"/>
        <w:tabs>
          <w:tab w:val="left" w:pos="880"/>
          <w:tab w:val="right" w:leader="dot" w:pos="9627"/>
        </w:tabs>
        <w:rPr>
          <w:rFonts w:ascii="Arial" w:eastAsiaTheme="minorEastAsia" w:hAnsi="Arial" w:cs="Arial"/>
          <w:noProof/>
          <w:kern w:val="0"/>
          <w:sz w:val="20"/>
          <w:szCs w:val="20"/>
          <w:lang w:eastAsia="fr-FR" w:bidi="ar-SA"/>
        </w:rPr>
      </w:pPr>
      <w:hyperlink w:anchor="_Toc15656158" w:history="1">
        <w:r w:rsidR="00FB2426" w:rsidRPr="00FB2426">
          <w:rPr>
            <w:rStyle w:val="Lienhypertexte"/>
            <w:rFonts w:ascii="Arial" w:hAnsi="Arial" w:cs="Arial"/>
            <w:noProof/>
            <w:sz w:val="20"/>
            <w:szCs w:val="20"/>
          </w:rPr>
          <w:t>2.4</w:t>
        </w:r>
        <w:r w:rsidR="00FB2426" w:rsidRPr="00FB2426">
          <w:rPr>
            <w:rFonts w:ascii="Arial" w:eastAsiaTheme="minorEastAsia" w:hAnsi="Arial" w:cs="Arial"/>
            <w:noProof/>
            <w:kern w:val="0"/>
            <w:sz w:val="20"/>
            <w:szCs w:val="20"/>
            <w:lang w:eastAsia="fr-FR" w:bidi="ar-SA"/>
          </w:rPr>
          <w:tab/>
        </w:r>
        <w:r w:rsidR="00FB2426" w:rsidRPr="00FB2426">
          <w:rPr>
            <w:rStyle w:val="Lienhypertexte"/>
            <w:rFonts w:ascii="Arial" w:hAnsi="Arial" w:cs="Arial"/>
            <w:noProof/>
            <w:sz w:val="20"/>
            <w:szCs w:val="20"/>
          </w:rPr>
          <w:t>Durée du marché</w:t>
        </w:r>
        <w:r w:rsidR="00FB2426" w:rsidRPr="00FB2426">
          <w:rPr>
            <w:rFonts w:ascii="Arial" w:hAnsi="Arial" w:cs="Arial"/>
            <w:noProof/>
            <w:sz w:val="20"/>
            <w:szCs w:val="20"/>
          </w:rPr>
          <w:tab/>
        </w:r>
        <w:r w:rsidR="00FB2426" w:rsidRPr="00FB2426">
          <w:rPr>
            <w:rFonts w:ascii="Arial" w:hAnsi="Arial" w:cs="Arial"/>
            <w:noProof/>
            <w:sz w:val="20"/>
            <w:szCs w:val="20"/>
          </w:rPr>
          <w:fldChar w:fldCharType="begin"/>
        </w:r>
        <w:r w:rsidR="00FB2426" w:rsidRPr="00FB2426">
          <w:rPr>
            <w:rFonts w:ascii="Arial" w:hAnsi="Arial" w:cs="Arial"/>
            <w:noProof/>
            <w:sz w:val="20"/>
            <w:szCs w:val="20"/>
          </w:rPr>
          <w:instrText xml:space="preserve"> PAGEREF _Toc15656158 \h </w:instrText>
        </w:r>
        <w:r w:rsidR="00FB2426" w:rsidRPr="00FB2426">
          <w:rPr>
            <w:rFonts w:ascii="Arial" w:hAnsi="Arial" w:cs="Arial"/>
            <w:noProof/>
            <w:sz w:val="20"/>
            <w:szCs w:val="20"/>
          </w:rPr>
        </w:r>
        <w:r w:rsidR="00FB2426" w:rsidRPr="00FB2426">
          <w:rPr>
            <w:rFonts w:ascii="Arial" w:hAnsi="Arial" w:cs="Arial"/>
            <w:noProof/>
            <w:sz w:val="20"/>
            <w:szCs w:val="20"/>
          </w:rPr>
          <w:fldChar w:fldCharType="separate"/>
        </w:r>
        <w:r w:rsidR="00FB2426" w:rsidRPr="00FB2426">
          <w:rPr>
            <w:rFonts w:ascii="Arial" w:hAnsi="Arial" w:cs="Arial"/>
            <w:noProof/>
            <w:sz w:val="20"/>
            <w:szCs w:val="20"/>
          </w:rPr>
          <w:t>2</w:t>
        </w:r>
        <w:r w:rsidR="00FB2426" w:rsidRPr="00FB2426">
          <w:rPr>
            <w:rFonts w:ascii="Arial" w:hAnsi="Arial" w:cs="Arial"/>
            <w:noProof/>
            <w:sz w:val="20"/>
            <w:szCs w:val="20"/>
          </w:rPr>
          <w:fldChar w:fldCharType="end"/>
        </w:r>
      </w:hyperlink>
    </w:p>
    <w:p w14:paraId="678DD05C" w14:textId="77777777" w:rsidR="00FB2426" w:rsidRPr="00FB2426" w:rsidRDefault="007533D9">
      <w:pPr>
        <w:pStyle w:val="TM2"/>
        <w:tabs>
          <w:tab w:val="left" w:pos="880"/>
          <w:tab w:val="right" w:leader="dot" w:pos="9627"/>
        </w:tabs>
        <w:rPr>
          <w:rFonts w:ascii="Arial" w:eastAsiaTheme="minorEastAsia" w:hAnsi="Arial" w:cs="Arial"/>
          <w:noProof/>
          <w:kern w:val="0"/>
          <w:sz w:val="20"/>
          <w:szCs w:val="20"/>
          <w:lang w:eastAsia="fr-FR" w:bidi="ar-SA"/>
        </w:rPr>
      </w:pPr>
      <w:hyperlink w:anchor="_Toc15656159" w:history="1">
        <w:r w:rsidR="00FB2426" w:rsidRPr="00FB2426">
          <w:rPr>
            <w:rStyle w:val="Lienhypertexte"/>
            <w:rFonts w:ascii="Arial" w:hAnsi="Arial" w:cs="Arial"/>
            <w:noProof/>
            <w:sz w:val="20"/>
            <w:szCs w:val="20"/>
          </w:rPr>
          <w:t>2.5</w:t>
        </w:r>
        <w:r w:rsidR="00FB2426" w:rsidRPr="00FB2426">
          <w:rPr>
            <w:rFonts w:ascii="Arial" w:eastAsiaTheme="minorEastAsia" w:hAnsi="Arial" w:cs="Arial"/>
            <w:noProof/>
            <w:kern w:val="0"/>
            <w:sz w:val="20"/>
            <w:szCs w:val="20"/>
            <w:lang w:eastAsia="fr-FR" w:bidi="ar-SA"/>
          </w:rPr>
          <w:tab/>
        </w:r>
        <w:r w:rsidR="00FB2426" w:rsidRPr="00FB2426">
          <w:rPr>
            <w:rStyle w:val="Lienhypertexte"/>
            <w:rFonts w:ascii="Arial" w:hAnsi="Arial" w:cs="Arial"/>
            <w:noProof/>
            <w:sz w:val="20"/>
            <w:szCs w:val="20"/>
          </w:rPr>
          <w:t>Lieu d'exécution</w:t>
        </w:r>
        <w:r w:rsidR="00FB2426" w:rsidRPr="00FB2426">
          <w:rPr>
            <w:rFonts w:ascii="Arial" w:hAnsi="Arial" w:cs="Arial"/>
            <w:noProof/>
            <w:sz w:val="20"/>
            <w:szCs w:val="20"/>
          </w:rPr>
          <w:tab/>
        </w:r>
        <w:r w:rsidR="00FB2426" w:rsidRPr="00FB2426">
          <w:rPr>
            <w:rFonts w:ascii="Arial" w:hAnsi="Arial" w:cs="Arial"/>
            <w:noProof/>
            <w:sz w:val="20"/>
            <w:szCs w:val="20"/>
          </w:rPr>
          <w:fldChar w:fldCharType="begin"/>
        </w:r>
        <w:r w:rsidR="00FB2426" w:rsidRPr="00FB2426">
          <w:rPr>
            <w:rFonts w:ascii="Arial" w:hAnsi="Arial" w:cs="Arial"/>
            <w:noProof/>
            <w:sz w:val="20"/>
            <w:szCs w:val="20"/>
          </w:rPr>
          <w:instrText xml:space="preserve"> PAGEREF _Toc15656159 \h </w:instrText>
        </w:r>
        <w:r w:rsidR="00FB2426" w:rsidRPr="00FB2426">
          <w:rPr>
            <w:rFonts w:ascii="Arial" w:hAnsi="Arial" w:cs="Arial"/>
            <w:noProof/>
            <w:sz w:val="20"/>
            <w:szCs w:val="20"/>
          </w:rPr>
        </w:r>
        <w:r w:rsidR="00FB2426" w:rsidRPr="00FB2426">
          <w:rPr>
            <w:rFonts w:ascii="Arial" w:hAnsi="Arial" w:cs="Arial"/>
            <w:noProof/>
            <w:sz w:val="20"/>
            <w:szCs w:val="20"/>
          </w:rPr>
          <w:fldChar w:fldCharType="separate"/>
        </w:r>
        <w:r w:rsidR="00FB2426" w:rsidRPr="00FB2426">
          <w:rPr>
            <w:rFonts w:ascii="Arial" w:hAnsi="Arial" w:cs="Arial"/>
            <w:noProof/>
            <w:sz w:val="20"/>
            <w:szCs w:val="20"/>
          </w:rPr>
          <w:t>2</w:t>
        </w:r>
        <w:r w:rsidR="00FB2426" w:rsidRPr="00FB2426">
          <w:rPr>
            <w:rFonts w:ascii="Arial" w:hAnsi="Arial" w:cs="Arial"/>
            <w:noProof/>
            <w:sz w:val="20"/>
            <w:szCs w:val="20"/>
          </w:rPr>
          <w:fldChar w:fldCharType="end"/>
        </w:r>
      </w:hyperlink>
    </w:p>
    <w:p w14:paraId="467F34D6" w14:textId="77777777" w:rsidR="00FB2426" w:rsidRPr="00FB2426" w:rsidRDefault="007533D9">
      <w:pPr>
        <w:pStyle w:val="TM2"/>
        <w:tabs>
          <w:tab w:val="left" w:pos="880"/>
          <w:tab w:val="right" w:leader="dot" w:pos="9627"/>
        </w:tabs>
        <w:rPr>
          <w:rFonts w:ascii="Arial" w:eastAsiaTheme="minorEastAsia" w:hAnsi="Arial" w:cs="Arial"/>
          <w:noProof/>
          <w:kern w:val="0"/>
          <w:sz w:val="20"/>
          <w:szCs w:val="20"/>
          <w:lang w:eastAsia="fr-FR" w:bidi="ar-SA"/>
        </w:rPr>
      </w:pPr>
      <w:hyperlink w:anchor="_Toc15656160" w:history="1">
        <w:r w:rsidR="00FB2426" w:rsidRPr="00FB2426">
          <w:rPr>
            <w:rStyle w:val="Lienhypertexte"/>
            <w:rFonts w:ascii="Arial" w:hAnsi="Arial" w:cs="Arial"/>
            <w:noProof/>
            <w:sz w:val="20"/>
            <w:szCs w:val="20"/>
          </w:rPr>
          <w:t>2.6</w:t>
        </w:r>
        <w:r w:rsidR="00FB2426" w:rsidRPr="00FB2426">
          <w:rPr>
            <w:rFonts w:ascii="Arial" w:eastAsiaTheme="minorEastAsia" w:hAnsi="Arial" w:cs="Arial"/>
            <w:noProof/>
            <w:kern w:val="0"/>
            <w:sz w:val="20"/>
            <w:szCs w:val="20"/>
            <w:lang w:eastAsia="fr-FR" w:bidi="ar-SA"/>
          </w:rPr>
          <w:tab/>
        </w:r>
        <w:r w:rsidR="00FB2426" w:rsidRPr="00FB2426">
          <w:rPr>
            <w:rStyle w:val="Lienhypertexte"/>
            <w:rFonts w:ascii="Arial" w:hAnsi="Arial" w:cs="Arial"/>
            <w:noProof/>
            <w:sz w:val="20"/>
            <w:szCs w:val="20"/>
          </w:rPr>
          <w:t>Documents contractuels</w:t>
        </w:r>
        <w:r w:rsidR="00FB2426" w:rsidRPr="00FB2426">
          <w:rPr>
            <w:rFonts w:ascii="Arial" w:hAnsi="Arial" w:cs="Arial"/>
            <w:noProof/>
            <w:sz w:val="20"/>
            <w:szCs w:val="20"/>
          </w:rPr>
          <w:tab/>
        </w:r>
        <w:r w:rsidR="00FB2426" w:rsidRPr="00FB2426">
          <w:rPr>
            <w:rFonts w:ascii="Arial" w:hAnsi="Arial" w:cs="Arial"/>
            <w:noProof/>
            <w:sz w:val="20"/>
            <w:szCs w:val="20"/>
          </w:rPr>
          <w:fldChar w:fldCharType="begin"/>
        </w:r>
        <w:r w:rsidR="00FB2426" w:rsidRPr="00FB2426">
          <w:rPr>
            <w:rFonts w:ascii="Arial" w:hAnsi="Arial" w:cs="Arial"/>
            <w:noProof/>
            <w:sz w:val="20"/>
            <w:szCs w:val="20"/>
          </w:rPr>
          <w:instrText xml:space="preserve"> PAGEREF _Toc15656160 \h </w:instrText>
        </w:r>
        <w:r w:rsidR="00FB2426" w:rsidRPr="00FB2426">
          <w:rPr>
            <w:rFonts w:ascii="Arial" w:hAnsi="Arial" w:cs="Arial"/>
            <w:noProof/>
            <w:sz w:val="20"/>
            <w:szCs w:val="20"/>
          </w:rPr>
        </w:r>
        <w:r w:rsidR="00FB2426" w:rsidRPr="00FB2426">
          <w:rPr>
            <w:rFonts w:ascii="Arial" w:hAnsi="Arial" w:cs="Arial"/>
            <w:noProof/>
            <w:sz w:val="20"/>
            <w:szCs w:val="20"/>
          </w:rPr>
          <w:fldChar w:fldCharType="separate"/>
        </w:r>
        <w:r w:rsidR="00FB2426" w:rsidRPr="00FB2426">
          <w:rPr>
            <w:rFonts w:ascii="Arial" w:hAnsi="Arial" w:cs="Arial"/>
            <w:noProof/>
            <w:sz w:val="20"/>
            <w:szCs w:val="20"/>
          </w:rPr>
          <w:t>3</w:t>
        </w:r>
        <w:r w:rsidR="00FB2426" w:rsidRPr="00FB2426">
          <w:rPr>
            <w:rFonts w:ascii="Arial" w:hAnsi="Arial" w:cs="Arial"/>
            <w:noProof/>
            <w:sz w:val="20"/>
            <w:szCs w:val="20"/>
          </w:rPr>
          <w:fldChar w:fldCharType="end"/>
        </w:r>
      </w:hyperlink>
    </w:p>
    <w:p w14:paraId="191AC04C" w14:textId="77777777" w:rsidR="00FB2426" w:rsidRPr="00FB2426" w:rsidRDefault="007533D9">
      <w:pPr>
        <w:pStyle w:val="TM2"/>
        <w:tabs>
          <w:tab w:val="left" w:pos="880"/>
          <w:tab w:val="right" w:leader="dot" w:pos="9627"/>
        </w:tabs>
        <w:rPr>
          <w:rFonts w:ascii="Arial" w:eastAsiaTheme="minorEastAsia" w:hAnsi="Arial" w:cs="Arial"/>
          <w:noProof/>
          <w:kern w:val="0"/>
          <w:sz w:val="20"/>
          <w:szCs w:val="20"/>
          <w:lang w:eastAsia="fr-FR" w:bidi="ar-SA"/>
        </w:rPr>
      </w:pPr>
      <w:hyperlink w:anchor="_Toc15656161" w:history="1">
        <w:r w:rsidR="00FB2426" w:rsidRPr="00FB2426">
          <w:rPr>
            <w:rStyle w:val="Lienhypertexte"/>
            <w:rFonts w:ascii="Arial" w:hAnsi="Arial" w:cs="Arial"/>
            <w:noProof/>
            <w:sz w:val="20"/>
            <w:szCs w:val="20"/>
          </w:rPr>
          <w:t>2.7</w:t>
        </w:r>
        <w:r w:rsidR="00FB2426" w:rsidRPr="00FB2426">
          <w:rPr>
            <w:rFonts w:ascii="Arial" w:eastAsiaTheme="minorEastAsia" w:hAnsi="Arial" w:cs="Arial"/>
            <w:noProof/>
            <w:kern w:val="0"/>
            <w:sz w:val="20"/>
            <w:szCs w:val="20"/>
            <w:lang w:eastAsia="fr-FR" w:bidi="ar-SA"/>
          </w:rPr>
          <w:tab/>
        </w:r>
        <w:r w:rsidR="00FB2426" w:rsidRPr="00FB2426">
          <w:rPr>
            <w:rStyle w:val="Lienhypertexte"/>
            <w:rFonts w:ascii="Arial" w:hAnsi="Arial" w:cs="Arial"/>
            <w:noProof/>
            <w:sz w:val="20"/>
            <w:szCs w:val="20"/>
          </w:rPr>
          <w:t>Modalités d'exécution des prestations</w:t>
        </w:r>
        <w:r w:rsidR="00FB2426" w:rsidRPr="00FB2426">
          <w:rPr>
            <w:rFonts w:ascii="Arial" w:hAnsi="Arial" w:cs="Arial"/>
            <w:noProof/>
            <w:sz w:val="20"/>
            <w:szCs w:val="20"/>
          </w:rPr>
          <w:tab/>
        </w:r>
        <w:r w:rsidR="00FB2426" w:rsidRPr="00FB2426">
          <w:rPr>
            <w:rFonts w:ascii="Arial" w:hAnsi="Arial" w:cs="Arial"/>
            <w:noProof/>
            <w:sz w:val="20"/>
            <w:szCs w:val="20"/>
          </w:rPr>
          <w:fldChar w:fldCharType="begin"/>
        </w:r>
        <w:r w:rsidR="00FB2426" w:rsidRPr="00FB2426">
          <w:rPr>
            <w:rFonts w:ascii="Arial" w:hAnsi="Arial" w:cs="Arial"/>
            <w:noProof/>
            <w:sz w:val="20"/>
            <w:szCs w:val="20"/>
          </w:rPr>
          <w:instrText xml:space="preserve"> PAGEREF _Toc15656161 \h </w:instrText>
        </w:r>
        <w:r w:rsidR="00FB2426" w:rsidRPr="00FB2426">
          <w:rPr>
            <w:rFonts w:ascii="Arial" w:hAnsi="Arial" w:cs="Arial"/>
            <w:noProof/>
            <w:sz w:val="20"/>
            <w:szCs w:val="20"/>
          </w:rPr>
        </w:r>
        <w:r w:rsidR="00FB2426" w:rsidRPr="00FB2426">
          <w:rPr>
            <w:rFonts w:ascii="Arial" w:hAnsi="Arial" w:cs="Arial"/>
            <w:noProof/>
            <w:sz w:val="20"/>
            <w:szCs w:val="20"/>
          </w:rPr>
          <w:fldChar w:fldCharType="separate"/>
        </w:r>
        <w:r w:rsidR="00FB2426" w:rsidRPr="00FB2426">
          <w:rPr>
            <w:rFonts w:ascii="Arial" w:hAnsi="Arial" w:cs="Arial"/>
            <w:noProof/>
            <w:sz w:val="20"/>
            <w:szCs w:val="20"/>
          </w:rPr>
          <w:t>3</w:t>
        </w:r>
        <w:r w:rsidR="00FB2426" w:rsidRPr="00FB2426">
          <w:rPr>
            <w:rFonts w:ascii="Arial" w:hAnsi="Arial" w:cs="Arial"/>
            <w:noProof/>
            <w:sz w:val="20"/>
            <w:szCs w:val="20"/>
          </w:rPr>
          <w:fldChar w:fldCharType="end"/>
        </w:r>
      </w:hyperlink>
    </w:p>
    <w:p w14:paraId="324FF32F" w14:textId="77777777" w:rsidR="00FB2426" w:rsidRPr="00FB2426" w:rsidRDefault="007533D9">
      <w:pPr>
        <w:pStyle w:val="TM2"/>
        <w:tabs>
          <w:tab w:val="left" w:pos="880"/>
          <w:tab w:val="right" w:leader="dot" w:pos="9627"/>
        </w:tabs>
        <w:rPr>
          <w:rFonts w:ascii="Arial" w:eastAsiaTheme="minorEastAsia" w:hAnsi="Arial" w:cs="Arial"/>
          <w:noProof/>
          <w:kern w:val="0"/>
          <w:sz w:val="20"/>
          <w:szCs w:val="20"/>
          <w:lang w:eastAsia="fr-FR" w:bidi="ar-SA"/>
        </w:rPr>
      </w:pPr>
      <w:hyperlink w:anchor="_Toc15656162" w:history="1">
        <w:r w:rsidR="00FB2426" w:rsidRPr="00FB2426">
          <w:rPr>
            <w:rStyle w:val="Lienhypertexte"/>
            <w:rFonts w:ascii="Arial" w:hAnsi="Arial" w:cs="Arial"/>
            <w:noProof/>
            <w:sz w:val="20"/>
            <w:szCs w:val="20"/>
          </w:rPr>
          <w:t>2.8</w:t>
        </w:r>
        <w:r w:rsidR="00FB2426" w:rsidRPr="00FB2426">
          <w:rPr>
            <w:rFonts w:ascii="Arial" w:eastAsiaTheme="minorEastAsia" w:hAnsi="Arial" w:cs="Arial"/>
            <w:noProof/>
            <w:kern w:val="0"/>
            <w:sz w:val="20"/>
            <w:szCs w:val="20"/>
            <w:lang w:eastAsia="fr-FR" w:bidi="ar-SA"/>
          </w:rPr>
          <w:tab/>
        </w:r>
        <w:r w:rsidR="00FB2426" w:rsidRPr="00FB2426">
          <w:rPr>
            <w:rStyle w:val="Lienhypertexte"/>
            <w:rFonts w:ascii="Arial" w:hAnsi="Arial" w:cs="Arial"/>
            <w:noProof/>
            <w:sz w:val="20"/>
            <w:szCs w:val="20"/>
          </w:rPr>
          <w:t>Régime financier</w:t>
        </w:r>
        <w:r w:rsidR="00FB2426" w:rsidRPr="00FB2426">
          <w:rPr>
            <w:rFonts w:ascii="Arial" w:hAnsi="Arial" w:cs="Arial"/>
            <w:noProof/>
            <w:sz w:val="20"/>
            <w:szCs w:val="20"/>
          </w:rPr>
          <w:tab/>
        </w:r>
        <w:r w:rsidR="00FB2426" w:rsidRPr="00FB2426">
          <w:rPr>
            <w:rFonts w:ascii="Arial" w:hAnsi="Arial" w:cs="Arial"/>
            <w:noProof/>
            <w:sz w:val="20"/>
            <w:szCs w:val="20"/>
          </w:rPr>
          <w:fldChar w:fldCharType="begin"/>
        </w:r>
        <w:r w:rsidR="00FB2426" w:rsidRPr="00FB2426">
          <w:rPr>
            <w:rFonts w:ascii="Arial" w:hAnsi="Arial" w:cs="Arial"/>
            <w:noProof/>
            <w:sz w:val="20"/>
            <w:szCs w:val="20"/>
          </w:rPr>
          <w:instrText xml:space="preserve"> PAGEREF _Toc15656162 \h </w:instrText>
        </w:r>
        <w:r w:rsidR="00FB2426" w:rsidRPr="00FB2426">
          <w:rPr>
            <w:rFonts w:ascii="Arial" w:hAnsi="Arial" w:cs="Arial"/>
            <w:noProof/>
            <w:sz w:val="20"/>
            <w:szCs w:val="20"/>
          </w:rPr>
        </w:r>
        <w:r w:rsidR="00FB2426" w:rsidRPr="00FB2426">
          <w:rPr>
            <w:rFonts w:ascii="Arial" w:hAnsi="Arial" w:cs="Arial"/>
            <w:noProof/>
            <w:sz w:val="20"/>
            <w:szCs w:val="20"/>
          </w:rPr>
          <w:fldChar w:fldCharType="separate"/>
        </w:r>
        <w:r w:rsidR="00FB2426" w:rsidRPr="00FB2426">
          <w:rPr>
            <w:rFonts w:ascii="Arial" w:hAnsi="Arial" w:cs="Arial"/>
            <w:noProof/>
            <w:sz w:val="20"/>
            <w:szCs w:val="20"/>
          </w:rPr>
          <w:t>7</w:t>
        </w:r>
        <w:r w:rsidR="00FB2426" w:rsidRPr="00FB2426">
          <w:rPr>
            <w:rFonts w:ascii="Arial" w:hAnsi="Arial" w:cs="Arial"/>
            <w:noProof/>
            <w:sz w:val="20"/>
            <w:szCs w:val="20"/>
          </w:rPr>
          <w:fldChar w:fldCharType="end"/>
        </w:r>
      </w:hyperlink>
    </w:p>
    <w:p w14:paraId="4031282B" w14:textId="77777777" w:rsidR="00FB2426" w:rsidRPr="00FB2426" w:rsidRDefault="007533D9">
      <w:pPr>
        <w:pStyle w:val="TM2"/>
        <w:tabs>
          <w:tab w:val="left" w:pos="880"/>
          <w:tab w:val="right" w:leader="dot" w:pos="9627"/>
        </w:tabs>
        <w:rPr>
          <w:rFonts w:ascii="Arial" w:eastAsiaTheme="minorEastAsia" w:hAnsi="Arial" w:cs="Arial"/>
          <w:noProof/>
          <w:kern w:val="0"/>
          <w:sz w:val="20"/>
          <w:szCs w:val="20"/>
          <w:lang w:eastAsia="fr-FR" w:bidi="ar-SA"/>
        </w:rPr>
      </w:pPr>
      <w:hyperlink w:anchor="_Toc15656163" w:history="1">
        <w:r w:rsidR="00FB2426" w:rsidRPr="00FB2426">
          <w:rPr>
            <w:rStyle w:val="Lienhypertexte"/>
            <w:rFonts w:ascii="Arial" w:hAnsi="Arial" w:cs="Arial"/>
            <w:noProof/>
            <w:sz w:val="20"/>
            <w:szCs w:val="20"/>
          </w:rPr>
          <w:t>2.9</w:t>
        </w:r>
        <w:r w:rsidR="00FB2426" w:rsidRPr="00FB2426">
          <w:rPr>
            <w:rFonts w:ascii="Arial" w:eastAsiaTheme="minorEastAsia" w:hAnsi="Arial" w:cs="Arial"/>
            <w:noProof/>
            <w:kern w:val="0"/>
            <w:sz w:val="20"/>
            <w:szCs w:val="20"/>
            <w:lang w:eastAsia="fr-FR" w:bidi="ar-SA"/>
          </w:rPr>
          <w:tab/>
        </w:r>
        <w:r w:rsidR="00FB2426" w:rsidRPr="00FB2426">
          <w:rPr>
            <w:rStyle w:val="Lienhypertexte"/>
            <w:rFonts w:ascii="Arial" w:hAnsi="Arial" w:cs="Arial"/>
            <w:noProof/>
            <w:sz w:val="20"/>
            <w:szCs w:val="20"/>
          </w:rPr>
          <w:t>Régime des droits de propriété intellectuelle</w:t>
        </w:r>
        <w:r w:rsidR="00FB2426" w:rsidRPr="00FB2426">
          <w:rPr>
            <w:rFonts w:ascii="Arial" w:hAnsi="Arial" w:cs="Arial"/>
            <w:noProof/>
            <w:sz w:val="20"/>
            <w:szCs w:val="20"/>
          </w:rPr>
          <w:tab/>
        </w:r>
        <w:r w:rsidR="00FB2426" w:rsidRPr="00FB2426">
          <w:rPr>
            <w:rFonts w:ascii="Arial" w:hAnsi="Arial" w:cs="Arial"/>
            <w:noProof/>
            <w:sz w:val="20"/>
            <w:szCs w:val="20"/>
          </w:rPr>
          <w:fldChar w:fldCharType="begin"/>
        </w:r>
        <w:r w:rsidR="00FB2426" w:rsidRPr="00FB2426">
          <w:rPr>
            <w:rFonts w:ascii="Arial" w:hAnsi="Arial" w:cs="Arial"/>
            <w:noProof/>
            <w:sz w:val="20"/>
            <w:szCs w:val="20"/>
          </w:rPr>
          <w:instrText xml:space="preserve"> PAGEREF _Toc15656163 \h </w:instrText>
        </w:r>
        <w:r w:rsidR="00FB2426" w:rsidRPr="00FB2426">
          <w:rPr>
            <w:rFonts w:ascii="Arial" w:hAnsi="Arial" w:cs="Arial"/>
            <w:noProof/>
            <w:sz w:val="20"/>
            <w:szCs w:val="20"/>
          </w:rPr>
        </w:r>
        <w:r w:rsidR="00FB2426" w:rsidRPr="00FB2426">
          <w:rPr>
            <w:rFonts w:ascii="Arial" w:hAnsi="Arial" w:cs="Arial"/>
            <w:noProof/>
            <w:sz w:val="20"/>
            <w:szCs w:val="20"/>
          </w:rPr>
          <w:fldChar w:fldCharType="separate"/>
        </w:r>
        <w:r w:rsidR="00FB2426" w:rsidRPr="00FB2426">
          <w:rPr>
            <w:rFonts w:ascii="Arial" w:hAnsi="Arial" w:cs="Arial"/>
            <w:noProof/>
            <w:sz w:val="20"/>
            <w:szCs w:val="20"/>
          </w:rPr>
          <w:t>9</w:t>
        </w:r>
        <w:r w:rsidR="00FB2426" w:rsidRPr="00FB2426">
          <w:rPr>
            <w:rFonts w:ascii="Arial" w:hAnsi="Arial" w:cs="Arial"/>
            <w:noProof/>
            <w:sz w:val="20"/>
            <w:szCs w:val="20"/>
          </w:rPr>
          <w:fldChar w:fldCharType="end"/>
        </w:r>
      </w:hyperlink>
    </w:p>
    <w:p w14:paraId="38DEC826" w14:textId="77777777" w:rsidR="00FB2426" w:rsidRPr="00FB2426" w:rsidRDefault="007533D9">
      <w:pPr>
        <w:pStyle w:val="TM2"/>
        <w:tabs>
          <w:tab w:val="left" w:pos="1100"/>
          <w:tab w:val="right" w:leader="dot" w:pos="9627"/>
        </w:tabs>
        <w:rPr>
          <w:rFonts w:ascii="Arial" w:eastAsiaTheme="minorEastAsia" w:hAnsi="Arial" w:cs="Arial"/>
          <w:noProof/>
          <w:kern w:val="0"/>
          <w:sz w:val="20"/>
          <w:szCs w:val="20"/>
          <w:lang w:eastAsia="fr-FR" w:bidi="ar-SA"/>
        </w:rPr>
      </w:pPr>
      <w:hyperlink w:anchor="_Toc15656164" w:history="1">
        <w:r w:rsidR="00FB2426" w:rsidRPr="00FB2426">
          <w:rPr>
            <w:rStyle w:val="Lienhypertexte"/>
            <w:rFonts w:ascii="Arial" w:hAnsi="Arial" w:cs="Arial"/>
            <w:noProof/>
            <w:sz w:val="20"/>
            <w:szCs w:val="20"/>
          </w:rPr>
          <w:t>2.10</w:t>
        </w:r>
        <w:r w:rsidR="00FB2426" w:rsidRPr="00FB2426">
          <w:rPr>
            <w:rFonts w:ascii="Arial" w:eastAsiaTheme="minorEastAsia" w:hAnsi="Arial" w:cs="Arial"/>
            <w:noProof/>
            <w:kern w:val="0"/>
            <w:sz w:val="20"/>
            <w:szCs w:val="20"/>
            <w:lang w:eastAsia="fr-FR" w:bidi="ar-SA"/>
          </w:rPr>
          <w:tab/>
        </w:r>
        <w:r w:rsidR="00FB2426" w:rsidRPr="00FB2426">
          <w:rPr>
            <w:rStyle w:val="Lienhypertexte"/>
            <w:rFonts w:ascii="Arial" w:hAnsi="Arial" w:cs="Arial"/>
            <w:noProof/>
            <w:sz w:val="20"/>
            <w:szCs w:val="20"/>
          </w:rPr>
          <w:t>Dispositions diverses</w:t>
        </w:r>
        <w:r w:rsidR="00FB2426" w:rsidRPr="00FB2426">
          <w:rPr>
            <w:rFonts w:ascii="Arial" w:hAnsi="Arial" w:cs="Arial"/>
            <w:noProof/>
            <w:sz w:val="20"/>
            <w:szCs w:val="20"/>
          </w:rPr>
          <w:tab/>
        </w:r>
        <w:r w:rsidR="00FB2426" w:rsidRPr="00FB2426">
          <w:rPr>
            <w:rFonts w:ascii="Arial" w:hAnsi="Arial" w:cs="Arial"/>
            <w:noProof/>
            <w:sz w:val="20"/>
            <w:szCs w:val="20"/>
          </w:rPr>
          <w:fldChar w:fldCharType="begin"/>
        </w:r>
        <w:r w:rsidR="00FB2426" w:rsidRPr="00FB2426">
          <w:rPr>
            <w:rFonts w:ascii="Arial" w:hAnsi="Arial" w:cs="Arial"/>
            <w:noProof/>
            <w:sz w:val="20"/>
            <w:szCs w:val="20"/>
          </w:rPr>
          <w:instrText xml:space="preserve"> PAGEREF _Toc15656164 \h </w:instrText>
        </w:r>
        <w:r w:rsidR="00FB2426" w:rsidRPr="00FB2426">
          <w:rPr>
            <w:rFonts w:ascii="Arial" w:hAnsi="Arial" w:cs="Arial"/>
            <w:noProof/>
            <w:sz w:val="20"/>
            <w:szCs w:val="20"/>
          </w:rPr>
        </w:r>
        <w:r w:rsidR="00FB2426" w:rsidRPr="00FB2426">
          <w:rPr>
            <w:rFonts w:ascii="Arial" w:hAnsi="Arial" w:cs="Arial"/>
            <w:noProof/>
            <w:sz w:val="20"/>
            <w:szCs w:val="20"/>
          </w:rPr>
          <w:fldChar w:fldCharType="separate"/>
        </w:r>
        <w:r w:rsidR="00FB2426" w:rsidRPr="00FB2426">
          <w:rPr>
            <w:rFonts w:ascii="Arial" w:hAnsi="Arial" w:cs="Arial"/>
            <w:noProof/>
            <w:sz w:val="20"/>
            <w:szCs w:val="20"/>
          </w:rPr>
          <w:t>10</w:t>
        </w:r>
        <w:r w:rsidR="00FB2426" w:rsidRPr="00FB2426">
          <w:rPr>
            <w:rFonts w:ascii="Arial" w:hAnsi="Arial" w:cs="Arial"/>
            <w:noProof/>
            <w:sz w:val="20"/>
            <w:szCs w:val="20"/>
          </w:rPr>
          <w:fldChar w:fldCharType="end"/>
        </w:r>
      </w:hyperlink>
    </w:p>
    <w:p w14:paraId="55B11B11" w14:textId="77777777" w:rsidR="00FB2426" w:rsidRPr="00FB2426" w:rsidRDefault="007533D9">
      <w:pPr>
        <w:pStyle w:val="TM1"/>
        <w:tabs>
          <w:tab w:val="left" w:pos="1320"/>
          <w:tab w:val="right" w:leader="dot" w:pos="9627"/>
        </w:tabs>
        <w:rPr>
          <w:rFonts w:ascii="Arial" w:eastAsiaTheme="minorEastAsia" w:hAnsi="Arial" w:cs="Arial"/>
          <w:noProof/>
          <w:kern w:val="0"/>
          <w:sz w:val="20"/>
          <w:szCs w:val="20"/>
          <w:lang w:eastAsia="fr-FR" w:bidi="ar-SA"/>
        </w:rPr>
      </w:pPr>
      <w:hyperlink w:anchor="_Toc15656165" w:history="1">
        <w:r w:rsidR="00FB2426" w:rsidRPr="00FB2426">
          <w:rPr>
            <w:rStyle w:val="Lienhypertexte"/>
            <w:rFonts w:ascii="Arial" w:hAnsi="Arial" w:cs="Arial"/>
            <w:noProof/>
            <w:sz w:val="20"/>
            <w:szCs w:val="20"/>
          </w:rPr>
          <w:t>Article 3 -</w:t>
        </w:r>
        <w:r w:rsidR="00FB2426" w:rsidRPr="00FB2426">
          <w:rPr>
            <w:rFonts w:ascii="Arial" w:eastAsiaTheme="minorEastAsia" w:hAnsi="Arial" w:cs="Arial"/>
            <w:noProof/>
            <w:kern w:val="0"/>
            <w:sz w:val="20"/>
            <w:szCs w:val="20"/>
            <w:lang w:eastAsia="fr-FR" w:bidi="ar-SA"/>
          </w:rPr>
          <w:tab/>
        </w:r>
        <w:r w:rsidR="00FB2426" w:rsidRPr="00FB2426">
          <w:rPr>
            <w:rStyle w:val="Lienhypertexte"/>
            <w:rFonts w:ascii="Arial" w:hAnsi="Arial" w:cs="Arial"/>
            <w:noProof/>
            <w:sz w:val="20"/>
            <w:szCs w:val="20"/>
          </w:rPr>
          <w:t>CLAUSES TECHNIQUES</w:t>
        </w:r>
        <w:r w:rsidR="00FB2426" w:rsidRPr="00FB2426">
          <w:rPr>
            <w:rFonts w:ascii="Arial" w:hAnsi="Arial" w:cs="Arial"/>
            <w:noProof/>
            <w:sz w:val="20"/>
            <w:szCs w:val="20"/>
          </w:rPr>
          <w:tab/>
        </w:r>
        <w:r w:rsidR="00FB2426" w:rsidRPr="00FB2426">
          <w:rPr>
            <w:rFonts w:ascii="Arial" w:hAnsi="Arial" w:cs="Arial"/>
            <w:noProof/>
            <w:sz w:val="20"/>
            <w:szCs w:val="20"/>
          </w:rPr>
          <w:fldChar w:fldCharType="begin"/>
        </w:r>
        <w:r w:rsidR="00FB2426" w:rsidRPr="00FB2426">
          <w:rPr>
            <w:rFonts w:ascii="Arial" w:hAnsi="Arial" w:cs="Arial"/>
            <w:noProof/>
            <w:sz w:val="20"/>
            <w:szCs w:val="20"/>
          </w:rPr>
          <w:instrText xml:space="preserve"> PAGEREF _Toc15656165 \h </w:instrText>
        </w:r>
        <w:r w:rsidR="00FB2426" w:rsidRPr="00FB2426">
          <w:rPr>
            <w:rFonts w:ascii="Arial" w:hAnsi="Arial" w:cs="Arial"/>
            <w:noProof/>
            <w:sz w:val="20"/>
            <w:szCs w:val="20"/>
          </w:rPr>
        </w:r>
        <w:r w:rsidR="00FB2426" w:rsidRPr="00FB2426">
          <w:rPr>
            <w:rFonts w:ascii="Arial" w:hAnsi="Arial" w:cs="Arial"/>
            <w:noProof/>
            <w:sz w:val="20"/>
            <w:szCs w:val="20"/>
          </w:rPr>
          <w:fldChar w:fldCharType="separate"/>
        </w:r>
        <w:r w:rsidR="00FB2426" w:rsidRPr="00FB2426">
          <w:rPr>
            <w:rFonts w:ascii="Arial" w:hAnsi="Arial" w:cs="Arial"/>
            <w:noProof/>
            <w:sz w:val="20"/>
            <w:szCs w:val="20"/>
          </w:rPr>
          <w:t>11</w:t>
        </w:r>
        <w:r w:rsidR="00FB2426" w:rsidRPr="00FB2426">
          <w:rPr>
            <w:rFonts w:ascii="Arial" w:hAnsi="Arial" w:cs="Arial"/>
            <w:noProof/>
            <w:sz w:val="20"/>
            <w:szCs w:val="20"/>
          </w:rPr>
          <w:fldChar w:fldCharType="end"/>
        </w:r>
      </w:hyperlink>
    </w:p>
    <w:p w14:paraId="22A0CBF3" w14:textId="77777777" w:rsidR="00D6547A" w:rsidRPr="00FB2426" w:rsidRDefault="00A26315" w:rsidP="0098166B">
      <w:pPr>
        <w:pStyle w:val="Contents3"/>
        <w:rPr>
          <w:rFonts w:cs="Arial"/>
          <w:szCs w:val="20"/>
        </w:rPr>
      </w:pPr>
      <w:r w:rsidRPr="00FB2426">
        <w:rPr>
          <w:rFonts w:cs="Arial"/>
          <w:szCs w:val="20"/>
        </w:rPr>
        <w:fldChar w:fldCharType="end"/>
      </w:r>
      <w:r w:rsidRPr="00FB2426">
        <w:rPr>
          <w:rFonts w:cs="Arial"/>
          <w:szCs w:val="20"/>
        </w:rPr>
        <w:t xml:space="preserve"> </w:t>
      </w:r>
      <w:r w:rsidRPr="00FB2426">
        <w:rPr>
          <w:rFonts w:cs="Arial"/>
          <w:szCs w:val="20"/>
        </w:rPr>
        <w:br w:type="page"/>
      </w:r>
    </w:p>
    <w:p w14:paraId="0DBCE719" w14:textId="4D5955ED" w:rsidR="00D6547A" w:rsidRDefault="00A26315">
      <w:pPr>
        <w:pStyle w:val="Titre1"/>
      </w:pPr>
      <w:bookmarkStart w:id="0" w:name="_Toc15656153"/>
      <w:r>
        <w:lastRenderedPageBreak/>
        <w:t>PREAMBULE - CONTEXTE</w:t>
      </w:r>
      <w:bookmarkEnd w:id="0"/>
    </w:p>
    <w:p w14:paraId="22FA57F1" w14:textId="77777777" w:rsidR="00D6547A" w:rsidRDefault="00D6547A">
      <w:pPr>
        <w:pStyle w:val="Standard"/>
      </w:pPr>
    </w:p>
    <w:p w14:paraId="790C7251" w14:textId="62D164B5" w:rsidR="00D6547A" w:rsidRDefault="00A26315">
      <w:pPr>
        <w:pStyle w:val="Standard"/>
      </w:pPr>
      <w:r>
        <w:t>Le présent marché subséquent se fonde sur l'</w:t>
      </w:r>
      <w:proofErr w:type="spellStart"/>
      <w:r w:rsidR="00366D22">
        <w:t>accod-cadre</w:t>
      </w:r>
      <w:proofErr w:type="spellEnd"/>
      <w:r>
        <w:t xml:space="preserve"> </w:t>
      </w:r>
      <w:r w:rsidR="002D7716">
        <w:t>25</w:t>
      </w:r>
      <w:r w:rsidR="00520A36">
        <w:t>-0</w:t>
      </w:r>
      <w:r w:rsidR="002D7716">
        <w:t>1</w:t>
      </w:r>
      <w:r w:rsidR="00D54C3A">
        <w:t>-Devolution</w:t>
      </w:r>
      <w:r>
        <w:t xml:space="preserve"> conclu par l'</w:t>
      </w:r>
      <w:proofErr w:type="spellStart"/>
      <w:r>
        <w:t>Amue</w:t>
      </w:r>
      <w:proofErr w:type="spellEnd"/>
      <w:r>
        <w:t>, centrale d'achat, afin de permettre à ses adhérents de réaliser les opérations de transfert de propriété dans le cadre de la dévolution de patrimoine prévue à l'article L.719-14 du code de l'éducation</w:t>
      </w:r>
      <w:r w:rsidR="0014148D">
        <w:t>.</w:t>
      </w:r>
    </w:p>
    <w:p w14:paraId="6D8A8F59" w14:textId="77777777" w:rsidR="00520A36" w:rsidRDefault="00520A36">
      <w:pPr>
        <w:pStyle w:val="Standard"/>
      </w:pPr>
    </w:p>
    <w:p w14:paraId="77AA4855" w14:textId="0D5B163C" w:rsidR="00D6547A" w:rsidRDefault="00A26315">
      <w:pPr>
        <w:pStyle w:val="Titre1"/>
      </w:pPr>
      <w:bookmarkStart w:id="1" w:name="_Toc15656154"/>
      <w:r>
        <w:t>CLAUSES ADMINISTRATIVES</w:t>
      </w:r>
      <w:bookmarkEnd w:id="1"/>
    </w:p>
    <w:p w14:paraId="5AA5E096" w14:textId="3E312000" w:rsidR="00D6547A" w:rsidRDefault="00A26315">
      <w:pPr>
        <w:pStyle w:val="Titre2"/>
      </w:pPr>
      <w:bookmarkStart w:id="2" w:name="_Toc15656155"/>
      <w:r>
        <w:t>Objet du marché</w:t>
      </w:r>
      <w:bookmarkEnd w:id="2"/>
    </w:p>
    <w:p w14:paraId="7762F9CA" w14:textId="28863FCC" w:rsidR="00520A36" w:rsidRDefault="00A26315">
      <w:pPr>
        <w:pStyle w:val="Standard"/>
      </w:pPr>
      <w:r>
        <w:t xml:space="preserve">Le marché a pour objet : Prestations nécessaires à l'établissement des actes de transfert des biens immobiliers de l'Etat à l'université de </w:t>
      </w:r>
      <w:r w:rsidRPr="002D7716">
        <w:rPr>
          <w:highlight w:val="yellow"/>
        </w:rPr>
        <w:t>XXXX</w:t>
      </w:r>
      <w:r>
        <w:t xml:space="preserve"> </w:t>
      </w:r>
      <w:r w:rsidR="002D7716">
        <w:t xml:space="preserve">concernant des </w:t>
      </w:r>
      <w:r w:rsidR="00520A36">
        <w:t>prestations notariales</w:t>
      </w:r>
    </w:p>
    <w:p w14:paraId="2B15BABD" w14:textId="77777777" w:rsidR="00520A36" w:rsidRDefault="00520A36">
      <w:pPr>
        <w:pStyle w:val="Standard"/>
      </w:pPr>
    </w:p>
    <w:p w14:paraId="7BA99DFA" w14:textId="5525C077" w:rsidR="00D6547A" w:rsidRDefault="00A26315">
      <w:pPr>
        <w:pStyle w:val="Standard"/>
      </w:pPr>
      <w:r>
        <w:t>Le marché est un marché de : Servic</w:t>
      </w:r>
      <w:r w:rsidR="00F827AC">
        <w:t>es</w:t>
      </w:r>
    </w:p>
    <w:p w14:paraId="351E7E4D" w14:textId="77777777" w:rsidR="00520A36" w:rsidRDefault="00520A36">
      <w:pPr>
        <w:pStyle w:val="Standard"/>
      </w:pPr>
    </w:p>
    <w:p w14:paraId="6DE01AD3" w14:textId="3623B1BC" w:rsidR="00D6547A" w:rsidRDefault="00A26315">
      <w:pPr>
        <w:pStyle w:val="Standard"/>
      </w:pPr>
      <w:r>
        <w:t xml:space="preserve">Le présent marché est conclu sur le fondement de l'accord-cadre </w:t>
      </w:r>
      <w:r w:rsidR="002D7716">
        <w:t>25</w:t>
      </w:r>
      <w:r w:rsidR="00D54C3A">
        <w:t>-</w:t>
      </w:r>
      <w:r w:rsidR="002D7716">
        <w:t>01</w:t>
      </w:r>
      <w:r w:rsidR="00D54C3A">
        <w:t xml:space="preserve">-Devolution </w:t>
      </w:r>
      <w:r>
        <w:t>permettant aux adhérents de l'</w:t>
      </w:r>
      <w:proofErr w:type="spellStart"/>
      <w:r>
        <w:t>Amue</w:t>
      </w:r>
      <w:proofErr w:type="spellEnd"/>
      <w:r>
        <w:t xml:space="preserve"> de recourir aux prestations nécessaires à l'établissement des actes notariés de transfert de propriété dans le cadre de la dévolution prévue à l'article L.719-14 du code de l'éducation.</w:t>
      </w:r>
    </w:p>
    <w:p w14:paraId="4971FC19" w14:textId="77777777" w:rsidR="00D6547A" w:rsidRDefault="00D6547A">
      <w:pPr>
        <w:pStyle w:val="Standard"/>
      </w:pPr>
    </w:p>
    <w:p w14:paraId="66ABC5AF" w14:textId="7E7DB90F" w:rsidR="00D6547A" w:rsidRDefault="00A26315">
      <w:pPr>
        <w:pStyle w:val="Titre2"/>
      </w:pPr>
      <w:bookmarkStart w:id="3" w:name="_Toc15244074"/>
      <w:bookmarkStart w:id="4" w:name="_Toc15244075"/>
      <w:bookmarkStart w:id="5" w:name="_Toc15244076"/>
      <w:bookmarkStart w:id="6" w:name="_Toc15656156"/>
      <w:bookmarkEnd w:id="3"/>
      <w:bookmarkEnd w:id="4"/>
      <w:bookmarkEnd w:id="5"/>
      <w:r>
        <w:t>Allotissement</w:t>
      </w:r>
      <w:bookmarkEnd w:id="6"/>
    </w:p>
    <w:p w14:paraId="66CBAD67" w14:textId="77777777" w:rsidR="00D6547A" w:rsidRDefault="00A26315">
      <w:pPr>
        <w:pStyle w:val="Standard"/>
      </w:pPr>
      <w:r>
        <w:t>Le marché n'est pas alloti.</w:t>
      </w:r>
    </w:p>
    <w:p w14:paraId="2EC838A9" w14:textId="33C76E53" w:rsidR="00D6547A" w:rsidRDefault="00A26315">
      <w:pPr>
        <w:pStyle w:val="Titre2"/>
      </w:pPr>
      <w:bookmarkStart w:id="7" w:name="_Toc15656157"/>
      <w:r>
        <w:t>Etendue du marché</w:t>
      </w:r>
      <w:bookmarkEnd w:id="7"/>
    </w:p>
    <w:p w14:paraId="523288FB" w14:textId="60B0E155" w:rsidR="00D6547A" w:rsidRDefault="00B2465F">
      <w:pPr>
        <w:pStyle w:val="Standard"/>
        <w:rPr>
          <w:b/>
        </w:rPr>
      </w:pPr>
      <w:r>
        <w:t>Préciser</w:t>
      </w:r>
      <w:r w:rsidR="00A26315">
        <w:t xml:space="preserve"> volumétrie du patrimoine ....</w:t>
      </w:r>
      <w:r w:rsidR="00450FC6">
        <w:t xml:space="preserve"> </w:t>
      </w:r>
      <w:r w:rsidR="00515E13">
        <w:t>(</w:t>
      </w:r>
      <w:r w:rsidR="00515E13" w:rsidRPr="0098166B">
        <w:rPr>
          <w:b/>
        </w:rPr>
        <w:t>A COMPLETER)</w:t>
      </w:r>
    </w:p>
    <w:p w14:paraId="065D9E9B" w14:textId="77777777" w:rsidR="00534E5E" w:rsidRDefault="00534E5E" w:rsidP="00534E5E">
      <w:pPr>
        <w:pStyle w:val="Standard"/>
        <w:numPr>
          <w:ilvl w:val="0"/>
          <w:numId w:val="26"/>
        </w:numPr>
      </w:pPr>
      <w:proofErr w:type="gramStart"/>
      <w:r>
        <w:t>implantation</w:t>
      </w:r>
      <w:proofErr w:type="gramEnd"/>
      <w:r>
        <w:t xml:space="preserve"> géographique</w:t>
      </w:r>
    </w:p>
    <w:p w14:paraId="509A452C" w14:textId="77777777" w:rsidR="00534E5E" w:rsidRDefault="00534E5E" w:rsidP="00534E5E">
      <w:pPr>
        <w:pStyle w:val="Standard"/>
        <w:numPr>
          <w:ilvl w:val="0"/>
          <w:numId w:val="26"/>
        </w:numPr>
      </w:pPr>
      <w:proofErr w:type="gramStart"/>
      <w:r>
        <w:t>surface</w:t>
      </w:r>
      <w:proofErr w:type="gramEnd"/>
      <w:r>
        <w:t xml:space="preserve"> non bâtie en hectares</w:t>
      </w:r>
    </w:p>
    <w:p w14:paraId="495C90E9" w14:textId="77777777" w:rsidR="00534E5E" w:rsidRDefault="00534E5E" w:rsidP="00534E5E">
      <w:pPr>
        <w:pStyle w:val="Standard"/>
        <w:numPr>
          <w:ilvl w:val="0"/>
          <w:numId w:val="26"/>
        </w:numPr>
      </w:pPr>
      <w:proofErr w:type="gramStart"/>
      <w:r>
        <w:t>surface</w:t>
      </w:r>
      <w:proofErr w:type="gramEnd"/>
      <w:r>
        <w:t xml:space="preserve"> bâtie totale</w:t>
      </w:r>
    </w:p>
    <w:p w14:paraId="7F301202" w14:textId="77777777" w:rsidR="00534E5E" w:rsidRDefault="00534E5E" w:rsidP="00534E5E">
      <w:pPr>
        <w:pStyle w:val="Standard"/>
        <w:numPr>
          <w:ilvl w:val="0"/>
          <w:numId w:val="26"/>
        </w:numPr>
      </w:pPr>
      <w:proofErr w:type="gramStart"/>
      <w:r>
        <w:t>part</w:t>
      </w:r>
      <w:proofErr w:type="gramEnd"/>
      <w:r>
        <w:t xml:space="preserve"> du patrimoine bâti appartenant à l'Etat</w:t>
      </w:r>
    </w:p>
    <w:p w14:paraId="722FCEFC" w14:textId="77777777" w:rsidR="00534E5E" w:rsidRDefault="00534E5E" w:rsidP="00534E5E">
      <w:pPr>
        <w:pStyle w:val="Standard"/>
        <w:numPr>
          <w:ilvl w:val="0"/>
          <w:numId w:val="26"/>
        </w:numPr>
      </w:pPr>
      <w:proofErr w:type="gramStart"/>
      <w:r>
        <w:t>nombre</w:t>
      </w:r>
      <w:proofErr w:type="gramEnd"/>
      <w:r>
        <w:t xml:space="preserve"> de bâtiments</w:t>
      </w:r>
    </w:p>
    <w:p w14:paraId="2F2487EB" w14:textId="77777777" w:rsidR="00534E5E" w:rsidRDefault="00534E5E" w:rsidP="00534E5E">
      <w:pPr>
        <w:pStyle w:val="Standard"/>
        <w:numPr>
          <w:ilvl w:val="0"/>
          <w:numId w:val="26"/>
        </w:numPr>
      </w:pPr>
      <w:proofErr w:type="gramStart"/>
      <w:r>
        <w:t>état</w:t>
      </w:r>
      <w:proofErr w:type="gramEnd"/>
      <w:r>
        <w:t xml:space="preserve"> du bâti</w:t>
      </w:r>
    </w:p>
    <w:p w14:paraId="4674B557" w14:textId="77777777" w:rsidR="00534E5E" w:rsidRDefault="00534E5E">
      <w:pPr>
        <w:pStyle w:val="Standard"/>
      </w:pPr>
    </w:p>
    <w:p w14:paraId="77BDDA00" w14:textId="3395C1DE" w:rsidR="00D6547A" w:rsidRDefault="00B2465F">
      <w:pPr>
        <w:pStyle w:val="Standard"/>
      </w:pPr>
      <w:r>
        <w:t>Éléments</w:t>
      </w:r>
      <w:r w:rsidR="00A26315">
        <w:t xml:space="preserve"> factuels</w:t>
      </w:r>
      <w:r w:rsidR="00515E13">
        <w:t xml:space="preserve"> </w:t>
      </w:r>
      <w:r w:rsidR="00515E13" w:rsidRPr="0098166B">
        <w:rPr>
          <w:b/>
          <w:i/>
        </w:rPr>
        <w:t>(A COMPLETER)</w:t>
      </w:r>
    </w:p>
    <w:p w14:paraId="49612384" w14:textId="08B19969" w:rsidR="00D6547A" w:rsidRDefault="00A26315">
      <w:pPr>
        <w:pStyle w:val="Titre2"/>
      </w:pPr>
      <w:bookmarkStart w:id="8" w:name="_Toc15656158"/>
      <w:r>
        <w:t>Durée du marché</w:t>
      </w:r>
      <w:bookmarkEnd w:id="8"/>
    </w:p>
    <w:p w14:paraId="2E9C5FFD" w14:textId="77777777" w:rsidR="00D6547A" w:rsidRDefault="00A26315">
      <w:pPr>
        <w:pStyle w:val="Titre3"/>
      </w:pPr>
      <w:r>
        <w:t>Cadre général</w:t>
      </w:r>
    </w:p>
    <w:p w14:paraId="401B2901" w14:textId="7835A189" w:rsidR="00D6547A" w:rsidRDefault="000D49FB">
      <w:pPr>
        <w:pStyle w:val="Standard"/>
      </w:pPr>
      <w:r>
        <w:t>Le marché subséquent est conclu de sa date de notification jusqu’à achèvement complet de la mission</w:t>
      </w:r>
      <w:r w:rsidR="006A0575">
        <w:t xml:space="preserve"> décrite dans le présent document et ses annexes.</w:t>
      </w:r>
    </w:p>
    <w:p w14:paraId="6D00D8C3" w14:textId="77777777" w:rsidR="00D6547A" w:rsidRDefault="00A26315">
      <w:pPr>
        <w:pStyle w:val="Titre3"/>
      </w:pPr>
      <w:r>
        <w:t>Reconduction du marché</w:t>
      </w:r>
    </w:p>
    <w:p w14:paraId="5488A308" w14:textId="77777777" w:rsidR="00D6547A" w:rsidRDefault="00A26315">
      <w:pPr>
        <w:pStyle w:val="Standard"/>
      </w:pPr>
      <w:r>
        <w:t>Le marché ne fait l'objet d'aucune reconduction.</w:t>
      </w:r>
    </w:p>
    <w:p w14:paraId="18E33CDB" w14:textId="358EA4D9" w:rsidR="00D6547A" w:rsidRDefault="00A26315">
      <w:pPr>
        <w:pStyle w:val="Titre2"/>
      </w:pPr>
      <w:bookmarkStart w:id="9" w:name="_Toc15656159"/>
      <w:r>
        <w:t>Lieu d'exécution</w:t>
      </w:r>
      <w:bookmarkEnd w:id="9"/>
    </w:p>
    <w:p w14:paraId="60A253F4" w14:textId="77777777" w:rsidR="00D6547A" w:rsidRDefault="00A26315">
      <w:pPr>
        <w:pStyle w:val="Standard"/>
      </w:pPr>
      <w:r>
        <w:t>Les prestations s'exécutent indifféremment dans les locaux des titulaires ou au sein de l'établissement.</w:t>
      </w:r>
    </w:p>
    <w:p w14:paraId="4E7BB2E6" w14:textId="77777777" w:rsidR="00D6547A" w:rsidRDefault="00A26315">
      <w:pPr>
        <w:pStyle w:val="Standard"/>
      </w:pPr>
      <w:r>
        <w:t>Afin de permettre l'accomplissement de la mission, l'établissement s'engage à permettre un accès total à l'ensemble des bâtiments et emprises concernées.</w:t>
      </w:r>
    </w:p>
    <w:p w14:paraId="7A8AF3AC" w14:textId="47031F7C" w:rsidR="00D6547A" w:rsidRDefault="00A26315">
      <w:pPr>
        <w:pStyle w:val="Titre2"/>
      </w:pPr>
      <w:bookmarkStart w:id="10" w:name="_Toc15656160"/>
      <w:r>
        <w:lastRenderedPageBreak/>
        <w:t>Documents contractuels</w:t>
      </w:r>
      <w:bookmarkEnd w:id="10"/>
    </w:p>
    <w:p w14:paraId="3FB310AF" w14:textId="77777777" w:rsidR="00D6547A" w:rsidRPr="006A0575" w:rsidRDefault="00A26315">
      <w:pPr>
        <w:pStyle w:val="Standard"/>
      </w:pPr>
      <w:r w:rsidRPr="006A0575">
        <w:t>Le marché est constitué des éléments contractuels énumérés ci-dessous, par ordre de priorité décroissante :</w:t>
      </w:r>
    </w:p>
    <w:p w14:paraId="5393E583" w14:textId="554FE95A" w:rsidR="00FD608C" w:rsidRPr="00FB2426" w:rsidRDefault="00FD608C" w:rsidP="00FB2426">
      <w:pPr>
        <w:pStyle w:val="Standard"/>
        <w:numPr>
          <w:ilvl w:val="0"/>
          <w:numId w:val="16"/>
        </w:numPr>
      </w:pPr>
      <w:r w:rsidRPr="00FB2426">
        <w:t xml:space="preserve">L’acte d’engagement de </w:t>
      </w:r>
      <w:r w:rsidR="00933767" w:rsidRPr="00FB2426">
        <w:t xml:space="preserve">l’accord-cadre </w:t>
      </w:r>
      <w:r w:rsidR="002D7716">
        <w:t>25</w:t>
      </w:r>
      <w:r w:rsidR="00933767" w:rsidRPr="00FB2426">
        <w:t>-0</w:t>
      </w:r>
      <w:r w:rsidR="002D7716">
        <w:t>1-</w:t>
      </w:r>
      <w:r w:rsidR="00933767" w:rsidRPr="00FB2426">
        <w:t>Devolution</w:t>
      </w:r>
      <w:r w:rsidR="0014148D" w:rsidRPr="00FB2426">
        <w:t> ;</w:t>
      </w:r>
    </w:p>
    <w:p w14:paraId="420B0E59" w14:textId="77777777" w:rsidR="00450FC6" w:rsidRPr="00FB2426" w:rsidRDefault="00FD608C" w:rsidP="00FB2426">
      <w:pPr>
        <w:pStyle w:val="Standard"/>
        <w:numPr>
          <w:ilvl w:val="0"/>
          <w:numId w:val="16"/>
        </w:numPr>
      </w:pPr>
      <w:proofErr w:type="gramStart"/>
      <w:r w:rsidRPr="00FB2426">
        <w:t>le</w:t>
      </w:r>
      <w:proofErr w:type="gramEnd"/>
      <w:r w:rsidRPr="00FB2426">
        <w:t xml:space="preserve"> cahier des clauses particulières de l’accord-cadre </w:t>
      </w:r>
    </w:p>
    <w:p w14:paraId="13D4F034" w14:textId="77777777" w:rsidR="00450FC6" w:rsidRPr="00FB2426" w:rsidRDefault="00450FC6" w:rsidP="00FB2426">
      <w:pPr>
        <w:pStyle w:val="Standard"/>
        <w:numPr>
          <w:ilvl w:val="0"/>
          <w:numId w:val="16"/>
        </w:numPr>
      </w:pPr>
      <w:r w:rsidRPr="00FB2426">
        <w:t>L’</w:t>
      </w:r>
      <w:r w:rsidR="0014148D" w:rsidRPr="00FB2426">
        <w:t>annexe financière</w:t>
      </w:r>
      <w:r w:rsidRPr="00FB2426">
        <w:t xml:space="preserve"> du CCP</w:t>
      </w:r>
      <w:r w:rsidR="0014148D" w:rsidRPr="00FB2426">
        <w:t> ;</w:t>
      </w:r>
    </w:p>
    <w:p w14:paraId="6BD8A78E" w14:textId="73BAF44E" w:rsidR="00FD608C" w:rsidRPr="00FB2426" w:rsidRDefault="00450FC6" w:rsidP="00FB2426">
      <w:pPr>
        <w:pStyle w:val="Standard"/>
        <w:numPr>
          <w:ilvl w:val="0"/>
          <w:numId w:val="16"/>
        </w:numPr>
      </w:pPr>
      <w:r w:rsidRPr="00FB2426">
        <w:t>L’annexe technique du CCP (cadre de réponse technique)</w:t>
      </w:r>
    </w:p>
    <w:p w14:paraId="71A0F209" w14:textId="663B4BD8" w:rsidR="00FD608C" w:rsidRPr="00FB2426" w:rsidRDefault="00FD608C" w:rsidP="00FB2426">
      <w:pPr>
        <w:pStyle w:val="Standard"/>
        <w:numPr>
          <w:ilvl w:val="0"/>
          <w:numId w:val="16"/>
        </w:numPr>
      </w:pPr>
      <w:proofErr w:type="gramStart"/>
      <w:r w:rsidRPr="00FB2426">
        <w:t>l’offre</w:t>
      </w:r>
      <w:proofErr w:type="gramEnd"/>
      <w:r w:rsidRPr="00FB2426">
        <w:t xml:space="preserve"> du titulaire remise lors de la conclusion de l’accord cadre</w:t>
      </w:r>
      <w:r w:rsidR="0014148D" w:rsidRPr="00FB2426">
        <w:t xml:space="preserve"> initial</w:t>
      </w:r>
      <w:r w:rsidRPr="00FB2426">
        <w:t> ;</w:t>
      </w:r>
    </w:p>
    <w:p w14:paraId="0931EA65" w14:textId="62D1F4CF" w:rsidR="00B6218B" w:rsidRPr="00FB2426" w:rsidRDefault="00B6218B" w:rsidP="00FB2426">
      <w:pPr>
        <w:pStyle w:val="Standard"/>
        <w:numPr>
          <w:ilvl w:val="0"/>
          <w:numId w:val="16"/>
        </w:numPr>
      </w:pPr>
      <w:r w:rsidRPr="00FB2426">
        <w:t xml:space="preserve">Le présent CCP </w:t>
      </w:r>
      <w:r w:rsidR="00FD7506">
        <w:t>du marché</w:t>
      </w:r>
      <w:r w:rsidRPr="00FB2426">
        <w:t xml:space="preserve"> subséquent à l’accord-cadre </w:t>
      </w:r>
      <w:r w:rsidR="002D7716">
        <w:t>25</w:t>
      </w:r>
      <w:r w:rsidRPr="00FB2426">
        <w:t>-0</w:t>
      </w:r>
      <w:r w:rsidR="002D7716">
        <w:t>1</w:t>
      </w:r>
      <w:r w:rsidRPr="00FB2426">
        <w:t xml:space="preserve">-Devolution ; </w:t>
      </w:r>
    </w:p>
    <w:p w14:paraId="5AF9CEE0" w14:textId="36F1E9A5" w:rsidR="00B6218B" w:rsidRPr="00FB2426" w:rsidRDefault="00B6218B" w:rsidP="00FB2426">
      <w:pPr>
        <w:pStyle w:val="Standard"/>
        <w:numPr>
          <w:ilvl w:val="0"/>
          <w:numId w:val="16"/>
        </w:numPr>
      </w:pPr>
      <w:proofErr w:type="gramStart"/>
      <w:r w:rsidRPr="00FB2426">
        <w:t>l’annexe</w:t>
      </w:r>
      <w:proofErr w:type="gramEnd"/>
      <w:r w:rsidRPr="00FB2426">
        <w:t xml:space="preserve"> financière du CCP </w:t>
      </w:r>
      <w:r w:rsidR="00FD7506">
        <w:t>du marché</w:t>
      </w:r>
      <w:r w:rsidRPr="00FB2426">
        <w:t xml:space="preserve"> subséquent ;</w:t>
      </w:r>
    </w:p>
    <w:p w14:paraId="3C824B54" w14:textId="799D1D0E" w:rsidR="00B6218B" w:rsidRPr="00FB2426" w:rsidRDefault="00B6218B" w:rsidP="00FB2426">
      <w:pPr>
        <w:pStyle w:val="Standard"/>
        <w:numPr>
          <w:ilvl w:val="0"/>
          <w:numId w:val="16"/>
        </w:numPr>
      </w:pPr>
      <w:proofErr w:type="gramStart"/>
      <w:r w:rsidRPr="00FB2426">
        <w:t>l’annexe</w:t>
      </w:r>
      <w:proofErr w:type="gramEnd"/>
      <w:r w:rsidRPr="00FB2426">
        <w:t xml:space="preserve"> technique du CCP (Cadre de réponse) </w:t>
      </w:r>
      <w:r w:rsidR="00FD7506">
        <w:t>du marché</w:t>
      </w:r>
      <w:r w:rsidRPr="00FB2426">
        <w:t xml:space="preserve"> subséquent ;</w:t>
      </w:r>
    </w:p>
    <w:p w14:paraId="6D90BB31" w14:textId="2BA99207" w:rsidR="00B6218B" w:rsidRPr="00FB2426" w:rsidRDefault="00B6218B" w:rsidP="00FB2426">
      <w:pPr>
        <w:pStyle w:val="Standard"/>
        <w:numPr>
          <w:ilvl w:val="0"/>
          <w:numId w:val="16"/>
        </w:numPr>
      </w:pPr>
      <w:r w:rsidRPr="00FB2426">
        <w:t>L’offre du titulaire remise lors de la conclusion d</w:t>
      </w:r>
      <w:r w:rsidR="00FD7506">
        <w:t>u marché</w:t>
      </w:r>
      <w:r w:rsidR="002D7716">
        <w:t xml:space="preserve"> </w:t>
      </w:r>
      <w:r w:rsidRPr="00FB2426">
        <w:t>subséquent,</w:t>
      </w:r>
    </w:p>
    <w:p w14:paraId="46E39C85" w14:textId="7DC6904D" w:rsidR="001648EC" w:rsidRPr="00FB2426" w:rsidRDefault="001648EC" w:rsidP="00FB2426">
      <w:pPr>
        <w:pStyle w:val="Standard"/>
        <w:numPr>
          <w:ilvl w:val="0"/>
          <w:numId w:val="16"/>
        </w:numPr>
      </w:pPr>
      <w:proofErr w:type="gramStart"/>
      <w:r w:rsidRPr="00FB2426">
        <w:t>le</w:t>
      </w:r>
      <w:proofErr w:type="gramEnd"/>
      <w:r w:rsidRPr="00FB2426">
        <w:t xml:space="preserve"> Cahier des Clauses Administratives Générales (CCAG-PI) issu de l’Arrêté du </w:t>
      </w:r>
      <w:r w:rsidR="002D7716">
        <w:t xml:space="preserve">30 mars 2021 </w:t>
      </w:r>
      <w:r w:rsidRPr="00FB2426">
        <w:t xml:space="preserve">portant approbation du cahier des clauses administratives générales applicables aux marchés publics de prestations intellectuelles </w:t>
      </w:r>
    </w:p>
    <w:p w14:paraId="6AEEAFCE" w14:textId="77B87FA9" w:rsidR="001648EC" w:rsidRPr="0098166B" w:rsidRDefault="001648EC" w:rsidP="00FB2426">
      <w:pPr>
        <w:pStyle w:val="Standard"/>
        <w:numPr>
          <w:ilvl w:val="0"/>
          <w:numId w:val="16"/>
        </w:numPr>
        <w:rPr>
          <w:rFonts w:cs="Arial"/>
          <w:szCs w:val="20"/>
        </w:rPr>
      </w:pPr>
      <w:r w:rsidRPr="00FB2426">
        <w:t>Les actes spéciaux</w:t>
      </w:r>
      <w:r w:rsidRPr="0098166B">
        <w:rPr>
          <w:rFonts w:cs="Arial"/>
          <w:szCs w:val="20"/>
        </w:rPr>
        <w:t xml:space="preserve"> de sous-traitance et leurs avenants, postérieurs à la notification du marché et conclus conformément aux dispositions </w:t>
      </w:r>
      <w:r w:rsidR="00894757">
        <w:rPr>
          <w:rFonts w:cs="Arial"/>
          <w:szCs w:val="20"/>
        </w:rPr>
        <w:t xml:space="preserve">de </w:t>
      </w:r>
      <w:r w:rsidR="00933767">
        <w:rPr>
          <w:rFonts w:cs="Arial"/>
          <w:szCs w:val="20"/>
        </w:rPr>
        <w:t xml:space="preserve">l’accord-cadre </w:t>
      </w:r>
      <w:r w:rsidR="002D7716">
        <w:rPr>
          <w:rFonts w:cs="Arial"/>
          <w:szCs w:val="20"/>
        </w:rPr>
        <w:t>25-01</w:t>
      </w:r>
      <w:r w:rsidR="00933767">
        <w:rPr>
          <w:rFonts w:cs="Arial"/>
          <w:szCs w:val="20"/>
        </w:rPr>
        <w:t>-Devolution</w:t>
      </w:r>
      <w:r w:rsidR="00894757">
        <w:rPr>
          <w:rFonts w:cs="Arial"/>
          <w:szCs w:val="20"/>
        </w:rPr>
        <w:t>.</w:t>
      </w:r>
    </w:p>
    <w:p w14:paraId="61DB5890" w14:textId="5C73D61D" w:rsidR="001648EC" w:rsidRPr="00D54C3A" w:rsidRDefault="001648EC" w:rsidP="0098166B">
      <w:pPr>
        <w:pStyle w:val="Paragraphedeliste"/>
        <w:rPr>
          <w:rFonts w:cstheme="minorHAnsi"/>
        </w:rPr>
      </w:pPr>
    </w:p>
    <w:p w14:paraId="0046B5C6" w14:textId="77777777" w:rsidR="00D6547A" w:rsidRDefault="00A26315">
      <w:pPr>
        <w:pStyle w:val="Titre2"/>
      </w:pPr>
      <w:bookmarkStart w:id="11" w:name="_Toc15656161"/>
      <w:r>
        <w:t>Modalités d'exécution des prestations</w:t>
      </w:r>
      <w:bookmarkEnd w:id="11"/>
    </w:p>
    <w:p w14:paraId="33B82ABF" w14:textId="77777777" w:rsidR="00D6547A" w:rsidRDefault="00A26315">
      <w:pPr>
        <w:pStyle w:val="Titre3"/>
      </w:pPr>
      <w:r>
        <w:t>Représentation des parties</w:t>
      </w:r>
    </w:p>
    <w:p w14:paraId="3B4CB59C" w14:textId="77777777" w:rsidR="00D6547A" w:rsidRDefault="00A26315">
      <w:pPr>
        <w:pStyle w:val="Titre4"/>
      </w:pPr>
      <w:r>
        <w:t>Représentation de l'acheteur</w:t>
      </w:r>
    </w:p>
    <w:p w14:paraId="08DFE9D5" w14:textId="77777777" w:rsidR="00D6547A" w:rsidRDefault="00A26315">
      <w:pPr>
        <w:pStyle w:val="Standard"/>
      </w:pPr>
      <w:r>
        <w:t>L'interlocuteur désigné par l'acheteur est chargé du suivi de l'exécution des prestations. Il est désigné lors de la notification du marché.</w:t>
      </w:r>
    </w:p>
    <w:p w14:paraId="111A40C9" w14:textId="587DEAAF" w:rsidR="00862504" w:rsidRDefault="00A26315">
      <w:pPr>
        <w:pStyle w:val="Standard"/>
      </w:pPr>
      <w:r>
        <w:t>L'acheteur notifie to</w:t>
      </w:r>
      <w:r w:rsidR="001648EC">
        <w:t>ute modification dans les conditions précisées à l’article 6.1 de l’accord-cadre</w:t>
      </w:r>
      <w:r w:rsidR="00141B43">
        <w:t xml:space="preserve"> </w:t>
      </w:r>
      <w:r w:rsidR="002D7716">
        <w:t>25-01</w:t>
      </w:r>
      <w:r w:rsidR="00862504">
        <w:t>-Devolution.</w:t>
      </w:r>
    </w:p>
    <w:p w14:paraId="65AA8D4E" w14:textId="77777777" w:rsidR="00D6547A" w:rsidRDefault="00A26315">
      <w:pPr>
        <w:pStyle w:val="Standard"/>
      </w:pPr>
      <w:r>
        <w:t>Représentation du titulaire</w:t>
      </w:r>
    </w:p>
    <w:p w14:paraId="5AFBCE90" w14:textId="77777777" w:rsidR="00D6547A" w:rsidRDefault="00A26315">
      <w:pPr>
        <w:pStyle w:val="Standard"/>
      </w:pPr>
      <w:r>
        <w:t>Le titulaire désigne un ou plusieurs interlocuteurs, habilités à le représenter auprès de l'acheteur, pour les besoins de l'exécution du marché.</w:t>
      </w:r>
    </w:p>
    <w:p w14:paraId="0930535E" w14:textId="77777777" w:rsidR="00D6547A" w:rsidRDefault="00A26315">
      <w:pPr>
        <w:pStyle w:val="Standard"/>
      </w:pPr>
      <w:r>
        <w:t xml:space="preserve">Cet ou ces interlocuteurs sont </w:t>
      </w:r>
      <w:proofErr w:type="gramStart"/>
      <w:r>
        <w:t>désignés  dans</w:t>
      </w:r>
      <w:proofErr w:type="gramEnd"/>
      <w:r>
        <w:t xml:space="preserve"> l'offre du titulaire.</w:t>
      </w:r>
    </w:p>
    <w:p w14:paraId="1DFAE397" w14:textId="1CA1EF5F" w:rsidR="00D6547A" w:rsidRDefault="00A26315">
      <w:pPr>
        <w:pStyle w:val="Standard"/>
      </w:pPr>
      <w:r>
        <w:t>Le titulaire s'engage à informer, sans délai, l'acheteur de toute modification d'interlocuteur désigné</w:t>
      </w:r>
      <w:r w:rsidR="00141B43">
        <w:t xml:space="preserve"> conformément aux dispositions de l’article 6.2 de l’accord-cadre </w:t>
      </w:r>
      <w:r w:rsidR="002D7716">
        <w:t>25</w:t>
      </w:r>
      <w:r w:rsidR="00D54C3A">
        <w:t>-</w:t>
      </w:r>
      <w:r w:rsidR="002D7716">
        <w:t>01</w:t>
      </w:r>
      <w:r w:rsidR="00D54C3A">
        <w:t>-Devolution</w:t>
      </w:r>
      <w:r>
        <w:t>.</w:t>
      </w:r>
    </w:p>
    <w:p w14:paraId="3CF9D24D" w14:textId="77777777" w:rsidR="00D6547A" w:rsidRDefault="00A26315">
      <w:pPr>
        <w:pStyle w:val="Titre3"/>
      </w:pPr>
      <w:r>
        <w:t>Conditions d'exécution</w:t>
      </w:r>
    </w:p>
    <w:p w14:paraId="5705A186" w14:textId="77777777" w:rsidR="00D6547A" w:rsidRDefault="00A26315">
      <w:pPr>
        <w:pStyle w:val="Titre4"/>
      </w:pPr>
      <w:r>
        <w:t>Mise en place de l'équipe technique</w:t>
      </w:r>
    </w:p>
    <w:p w14:paraId="0E126B72" w14:textId="52D5F204" w:rsidR="00D6547A" w:rsidRDefault="00A26315">
      <w:pPr>
        <w:pStyle w:val="Standard"/>
      </w:pPr>
      <w:r>
        <w:t>Le titulaire s'engage à mettre en place, pendant toute la durée du marché, des intervenants dont les profils doivent impérativement respecter ceux mentionnés dans la composition de l'équipe affectée au projet (représentant du titulaire et son équipe) laquelle figure dans son offre technique.</w:t>
      </w:r>
    </w:p>
    <w:p w14:paraId="73B0BF1D" w14:textId="77777777" w:rsidR="00D6547A" w:rsidRDefault="00A26315">
      <w:pPr>
        <w:pStyle w:val="Standard"/>
      </w:pPr>
      <w:r>
        <w:t>Cette composition de l'équipe affectée au projet indique le détail des attributions, du niveau et des rôles respectifs des membres de l'équipe.</w:t>
      </w:r>
    </w:p>
    <w:p w14:paraId="5EA0BF68" w14:textId="77777777" w:rsidR="00D6547A" w:rsidRDefault="00A26315">
      <w:pPr>
        <w:pStyle w:val="Titre4"/>
      </w:pPr>
      <w:r>
        <w:t>Remplacement des intervenants</w:t>
      </w:r>
    </w:p>
    <w:p w14:paraId="57DBECFE" w14:textId="48A4BE5C" w:rsidR="00D6547A" w:rsidRDefault="00A26315">
      <w:pPr>
        <w:pStyle w:val="Standard"/>
      </w:pPr>
      <w:r>
        <w:t xml:space="preserve">Pendant toute la durée d'exécution </w:t>
      </w:r>
      <w:r w:rsidR="002C0542">
        <w:t>du marché</w:t>
      </w:r>
      <w:r>
        <w:t xml:space="preserve"> subséquent, l'</w:t>
      </w:r>
      <w:proofErr w:type="spellStart"/>
      <w:r>
        <w:t>Amue</w:t>
      </w:r>
      <w:proofErr w:type="spellEnd"/>
      <w:r>
        <w:t xml:space="preserve"> se réserve le droit de demander le remplacement motivé d'un ou de plusieurs intervenants du titulaire. De même, le titulaire peut proposer le remplacement d'un ou de plusieurs de ses intervenants.</w:t>
      </w:r>
    </w:p>
    <w:p w14:paraId="2B1FC1EA" w14:textId="77777777" w:rsidR="00D6547A" w:rsidRDefault="00A26315">
      <w:pPr>
        <w:pStyle w:val="Standard"/>
      </w:pPr>
      <w:r>
        <w:t>Le remplaçant est soumis à l'approbation de l'</w:t>
      </w:r>
      <w:proofErr w:type="spellStart"/>
      <w:r>
        <w:t>Amue</w:t>
      </w:r>
      <w:proofErr w:type="spellEnd"/>
      <w:r>
        <w:t>. Tout refus sera motivé.</w:t>
      </w:r>
    </w:p>
    <w:p w14:paraId="7C5EE839" w14:textId="77777777" w:rsidR="00D6547A" w:rsidRDefault="00A26315">
      <w:pPr>
        <w:pStyle w:val="Standard"/>
      </w:pPr>
      <w:r>
        <w:t xml:space="preserve">Le titulaire procède alors au remplacement des intervenants dans le délai 10 jours à compter de la demande </w:t>
      </w:r>
      <w:r>
        <w:lastRenderedPageBreak/>
        <w:t>ou de la proposition de remplacement.</w:t>
      </w:r>
    </w:p>
    <w:p w14:paraId="5FFFD814" w14:textId="77777777" w:rsidR="00D6547A" w:rsidRDefault="00A26315">
      <w:pPr>
        <w:pStyle w:val="Standard"/>
      </w:pPr>
      <w:r>
        <w:t>En aucun cas, le remplacement du personnel ne pourra justifier une augmentation du montant des prestations.</w:t>
      </w:r>
    </w:p>
    <w:p w14:paraId="75115D64" w14:textId="77777777" w:rsidR="00D6547A" w:rsidRDefault="00A26315">
      <w:pPr>
        <w:pStyle w:val="Titre4"/>
      </w:pPr>
      <w:r>
        <w:t>Délais d'exécution</w:t>
      </w:r>
    </w:p>
    <w:p w14:paraId="3638B546" w14:textId="77777777" w:rsidR="00D6547A" w:rsidRDefault="00A26315">
      <w:pPr>
        <w:pStyle w:val="Standard"/>
      </w:pPr>
      <w:r>
        <w:t xml:space="preserve">Les délais d'exécution </w:t>
      </w:r>
      <w:proofErr w:type="gramStart"/>
      <w:r>
        <w:t>sont  fixés</w:t>
      </w:r>
      <w:proofErr w:type="gramEnd"/>
      <w:r>
        <w:t xml:space="preserve"> dans l'offre du titulaire.</w:t>
      </w:r>
    </w:p>
    <w:p w14:paraId="0DE0B54F" w14:textId="0BC6B6B9" w:rsidR="00FE7DAD" w:rsidRPr="000E74D5" w:rsidRDefault="00A26315" w:rsidP="00FE7DAD">
      <w:pPr>
        <w:pStyle w:val="Standard"/>
        <w:rPr>
          <w:b/>
        </w:rPr>
      </w:pPr>
      <w:r>
        <w:t xml:space="preserve">Le point de départ du délai d'exécution </w:t>
      </w:r>
      <w:proofErr w:type="gramStart"/>
      <w:r>
        <w:t xml:space="preserve">est  </w:t>
      </w:r>
      <w:r w:rsidR="00FE7DAD" w:rsidRPr="000E74D5">
        <w:rPr>
          <w:b/>
        </w:rPr>
        <w:t>(</w:t>
      </w:r>
      <w:proofErr w:type="gramEnd"/>
      <w:r w:rsidR="00FE7DAD" w:rsidRPr="000E74D5">
        <w:rPr>
          <w:b/>
        </w:rPr>
        <w:t xml:space="preserve">A COMPLETER : la notification du présent </w:t>
      </w:r>
      <w:r w:rsidR="00FE7DAD">
        <w:rPr>
          <w:b/>
        </w:rPr>
        <w:t>marché</w:t>
      </w:r>
      <w:r w:rsidR="00FE7DAD" w:rsidRPr="000E74D5">
        <w:rPr>
          <w:b/>
        </w:rPr>
        <w:t xml:space="preserve"> ou</w:t>
      </w:r>
      <w:r w:rsidR="00FE7DAD">
        <w:rPr>
          <w:b/>
        </w:rPr>
        <w:t xml:space="preserve"> </w:t>
      </w:r>
      <w:r w:rsidR="00FE7DAD" w:rsidRPr="000E74D5">
        <w:rPr>
          <w:b/>
        </w:rPr>
        <w:t xml:space="preserve">la notification du premier </w:t>
      </w:r>
      <w:r w:rsidR="00FE7DAD">
        <w:rPr>
          <w:b/>
        </w:rPr>
        <w:t>ordre de service)</w:t>
      </w:r>
    </w:p>
    <w:p w14:paraId="610B0A1F" w14:textId="77777777" w:rsidR="00D6547A" w:rsidRPr="007805EB" w:rsidRDefault="00D6547A">
      <w:pPr>
        <w:pStyle w:val="Standard"/>
      </w:pPr>
    </w:p>
    <w:p w14:paraId="7F902F09" w14:textId="5C72A4B6" w:rsidR="00862504" w:rsidRPr="0098166B" w:rsidRDefault="0014148D">
      <w:pPr>
        <w:pStyle w:val="Normal1"/>
      </w:pPr>
      <w:r w:rsidRPr="002D7716">
        <w:rPr>
          <w:highlight w:val="yellow"/>
        </w:rPr>
        <w:t>(</w:t>
      </w:r>
      <w:r w:rsidR="00133598" w:rsidRPr="002D7716">
        <w:rPr>
          <w:highlight w:val="yellow"/>
        </w:rPr>
        <w:t>MODIFIER SI BESOIN</w:t>
      </w:r>
      <w:r w:rsidRPr="002D7716">
        <w:rPr>
          <w:highlight w:val="yellow"/>
        </w:rPr>
        <w:t>)</w:t>
      </w:r>
      <w:r w:rsidR="007805EB" w:rsidRPr="0098166B">
        <w:t xml:space="preserve"> </w:t>
      </w:r>
      <w:r w:rsidR="00862504" w:rsidRPr="0098166B">
        <w:t>Pour la phase 1, le délai de collecte commence à courir à compter de la réunion de lancement telle que décrit à l’</w:t>
      </w:r>
      <w:r w:rsidR="00862504" w:rsidRPr="0098166B">
        <w:fldChar w:fldCharType="begin"/>
      </w:r>
      <w:r w:rsidR="00862504" w:rsidRPr="0098166B">
        <w:instrText xml:space="preserve">REF _Ref524357631 \r \h \* MERGEFORMAT </w:instrText>
      </w:r>
      <w:r w:rsidR="00862504" w:rsidRPr="0098166B">
        <w:fldChar w:fldCharType="separate"/>
      </w:r>
      <w:r w:rsidR="00862504" w:rsidRPr="0098166B">
        <w:t>Article 25 -</w:t>
      </w:r>
      <w:r w:rsidR="00862504" w:rsidRPr="00FE7DAD">
        <w:t xml:space="preserve"> </w:t>
      </w:r>
      <w:r w:rsidR="00862504" w:rsidRPr="0098166B">
        <w:fldChar w:fldCharType="end"/>
      </w:r>
      <w:r w:rsidR="00862504" w:rsidRPr="0098166B">
        <w:t>lancement des opérations.</w:t>
      </w:r>
    </w:p>
    <w:p w14:paraId="59695C10" w14:textId="3D32FD49" w:rsidR="00862504" w:rsidRPr="0098166B" w:rsidRDefault="00862504">
      <w:pPr>
        <w:pStyle w:val="Normal1"/>
      </w:pPr>
      <w:r w:rsidRPr="0098166B">
        <w:t>Pour la phase 2</w:t>
      </w:r>
      <w:r w:rsidR="0014148D" w:rsidRPr="0098166B">
        <w:t>, l</w:t>
      </w:r>
      <w:r w:rsidRPr="0098166B">
        <w:t>e délai commence à courir à compter de l’émission d’un ordre de service.</w:t>
      </w:r>
    </w:p>
    <w:p w14:paraId="39FDABF4" w14:textId="77777777" w:rsidR="00862504" w:rsidRDefault="00862504">
      <w:pPr>
        <w:pStyle w:val="Standard"/>
      </w:pPr>
    </w:p>
    <w:p w14:paraId="53BA76D2" w14:textId="77777777" w:rsidR="00D6547A" w:rsidRDefault="00A26315">
      <w:pPr>
        <w:pStyle w:val="Standard"/>
      </w:pPr>
      <w:r>
        <w:t>Lorsque le titulaire est mis dans l'impossibilité de respecter le délai contractuel, il doit formuler une demande expresse de report de délai exposant clairement les circonstances du retard prévu, la date de survenance du fait générateur et le délai supplémentaire demandé dans les conditions prévues du CCAG de référence.</w:t>
      </w:r>
    </w:p>
    <w:p w14:paraId="02124EAD" w14:textId="37F0AA50" w:rsidR="00D6547A" w:rsidRDefault="00A26315">
      <w:pPr>
        <w:pStyle w:val="Standard"/>
      </w:pPr>
      <w:r>
        <w:t xml:space="preserve"> </w:t>
      </w:r>
    </w:p>
    <w:p w14:paraId="13610084" w14:textId="77777777" w:rsidR="00D6547A" w:rsidRDefault="00A26315">
      <w:pPr>
        <w:pStyle w:val="Titre4"/>
      </w:pPr>
      <w:r>
        <w:t>Les exigences relatives aux prestations</w:t>
      </w:r>
    </w:p>
    <w:p w14:paraId="0B5D8E3E" w14:textId="77777777" w:rsidR="00D6547A" w:rsidRDefault="00A26315">
      <w:pPr>
        <w:pStyle w:val="Standard"/>
      </w:pPr>
      <w:r>
        <w:t>Le titulaire est responsable de tout élément qui lui est confié. Il ne peut en disposer qu'aux fins prévues par le marché.</w:t>
      </w:r>
    </w:p>
    <w:p w14:paraId="1F26932D" w14:textId="77777777" w:rsidR="00D6547A" w:rsidRDefault="00A26315">
      <w:pPr>
        <w:pStyle w:val="Standard"/>
      </w:pPr>
      <w:r>
        <w:t xml:space="preserve">En cas de groupement d'opérateurs économiques, le co-traitant </w:t>
      </w:r>
      <w:r>
        <w:rPr>
          <w:b/>
        </w:rPr>
        <w:t xml:space="preserve">(A </w:t>
      </w:r>
      <w:proofErr w:type="gramStart"/>
      <w:r>
        <w:rPr>
          <w:b/>
        </w:rPr>
        <w:t xml:space="preserve">COMPLETER </w:t>
      </w:r>
      <w:r>
        <w:t>)</w:t>
      </w:r>
      <w:proofErr w:type="gramEnd"/>
      <w:r>
        <w:t xml:space="preserve"> devra exécuter les tâches essentielles suivantes</w:t>
      </w:r>
      <w:r>
        <w:rPr>
          <w:b/>
        </w:rPr>
        <w:t xml:space="preserve"> (A COMPLETER)</w:t>
      </w:r>
      <w:r>
        <w:t>.</w:t>
      </w:r>
    </w:p>
    <w:p w14:paraId="25E8F719" w14:textId="77777777" w:rsidR="00D6547A" w:rsidRDefault="00A26315">
      <w:pPr>
        <w:pStyle w:val="Standard"/>
      </w:pPr>
      <w:r>
        <w:t>Lorsque le co-traitant en charge de la réalisation des tâches essentielles est défaillant, qu'il soit par exemple en liquidation judiciaire ou dans l'impossibilité d'accomplir sa tâche pour des raisons qui ne sont pas de son fait, la mission qui lui a été confiée pourra être prise en charge soit par un autre membre du groupement, soit par un sous-traitant après accord de l'acheteur.</w:t>
      </w:r>
    </w:p>
    <w:p w14:paraId="755C3413" w14:textId="77777777" w:rsidR="00D6547A" w:rsidRDefault="00A26315">
      <w:pPr>
        <w:pStyle w:val="Titre3"/>
      </w:pPr>
      <w:r>
        <w:t>Obligations du titulaire</w:t>
      </w:r>
    </w:p>
    <w:p w14:paraId="6D46AD5E" w14:textId="77777777" w:rsidR="00D6547A" w:rsidRDefault="00A26315">
      <w:pPr>
        <w:pStyle w:val="Titre4"/>
      </w:pPr>
      <w:r>
        <w:t>Obligation de conseil</w:t>
      </w:r>
    </w:p>
    <w:p w14:paraId="4B75E1B7" w14:textId="77777777" w:rsidR="00D6547A" w:rsidRDefault="00A26315">
      <w:pPr>
        <w:pStyle w:val="Standard"/>
      </w:pPr>
      <w:r>
        <w:t>Le titulaire a un devoir de conseil s'il se rend compte, lors de ses interventions, de risques potentiels au titre de ses prestations.</w:t>
      </w:r>
    </w:p>
    <w:p w14:paraId="0460F8FC" w14:textId="77777777" w:rsidR="00D6547A" w:rsidRDefault="00A26315">
      <w:pPr>
        <w:pStyle w:val="Standard"/>
      </w:pPr>
      <w:r>
        <w:t>Ce devoir de conseil est formel et fondé sur la production d'un rapport qui décrit les risques et menaces et propose des actions pour les réduire.</w:t>
      </w:r>
    </w:p>
    <w:p w14:paraId="173C8450" w14:textId="77777777" w:rsidR="00D6547A" w:rsidRDefault="00A26315">
      <w:pPr>
        <w:pStyle w:val="Titre4"/>
      </w:pPr>
      <w:r>
        <w:t>Obligation d'information</w:t>
      </w:r>
    </w:p>
    <w:p w14:paraId="07AC9D59" w14:textId="77777777" w:rsidR="00D6547A" w:rsidRDefault="00A26315">
      <w:pPr>
        <w:pStyle w:val="Standard"/>
      </w:pPr>
      <w:r>
        <w:t>Le titulaire est tenu de signaler à l'acheteur tous les éléments qui lui paraissent de nature à compromettre la bonne exécution de la prestation.</w:t>
      </w:r>
    </w:p>
    <w:p w14:paraId="041D2039" w14:textId="77777777" w:rsidR="00D6547A" w:rsidRDefault="00A26315">
      <w:pPr>
        <w:pStyle w:val="Titre4"/>
      </w:pPr>
      <w:r>
        <w:t>Obligations de confidentialité</w:t>
      </w:r>
    </w:p>
    <w:p w14:paraId="6C69E9B8" w14:textId="77777777" w:rsidR="00D6547A" w:rsidRDefault="00A26315">
      <w:pPr>
        <w:pStyle w:val="Standard"/>
      </w:pPr>
      <w:r>
        <w:t xml:space="preserve">Le titulaire s'engage à mettre en </w:t>
      </w:r>
      <w:r w:rsidR="00141B43">
        <w:t>œuvre</w:t>
      </w:r>
      <w:r>
        <w:t xml:space="preserve"> les moyens appropriés afin de garder confidentiels les informations, les documents et les objets auxquels il aura eu accès lors de l'exécution du marché, sans qu'il soit besoin d'en expliciter systématiquement le caractère confidentiel. Ces informations, documents ou objets ne peuvent être, sans autorisation expresse de l'acheteur, divulgués, publiés, communiqués à des tiers ou être utilisés directement par le titulaire, hors du marché ou à l'issue de son exécution.</w:t>
      </w:r>
    </w:p>
    <w:p w14:paraId="36382ED5" w14:textId="77777777" w:rsidR="00D6547A" w:rsidRDefault="00A26315">
      <w:pPr>
        <w:pStyle w:val="Standard"/>
      </w:pPr>
      <w:r>
        <w:t>Le titulaire s'engage à faire respecter ces obligations à l'ensemble de son personnel, le cas échéant à ses sous-traitants et fournisseurs.</w:t>
      </w:r>
    </w:p>
    <w:p w14:paraId="246965F1" w14:textId="77777777" w:rsidR="00D6547A" w:rsidRDefault="00A26315">
      <w:pPr>
        <w:pStyle w:val="Standard"/>
      </w:pPr>
      <w:r>
        <w:t>L'acheteur pourra demander, à tout moment, au titulaire, de lui retourner les éléments ou supports d'informations confidentielles qui lui auraient été fournis.</w:t>
      </w:r>
    </w:p>
    <w:p w14:paraId="7A7889BE" w14:textId="77777777" w:rsidR="00D6547A" w:rsidRDefault="00A26315">
      <w:pPr>
        <w:pStyle w:val="Standard"/>
      </w:pPr>
      <w:r>
        <w:t>La violation de l'obligation de confidentialité par le titulaire pourra entraîner la résiliation du marché aux torts du titulaire.</w:t>
      </w:r>
    </w:p>
    <w:p w14:paraId="7D492AE4" w14:textId="77777777" w:rsidR="00D6547A" w:rsidRDefault="00A26315">
      <w:pPr>
        <w:pStyle w:val="Titre4"/>
      </w:pPr>
      <w:r>
        <w:lastRenderedPageBreak/>
        <w:t>Mesures de sécurité</w:t>
      </w:r>
    </w:p>
    <w:p w14:paraId="7AFF6A2E" w14:textId="77777777" w:rsidR="00D6547A" w:rsidRDefault="00A26315">
      <w:pPr>
        <w:pStyle w:val="Standard"/>
      </w:pPr>
      <w:r>
        <w:t>Toute personne relevant du titulaire est soumise à des mesures de sécurité qu'il s'agisse d'accès physiques à des locaux ou d'accès logiques à des informations.</w:t>
      </w:r>
    </w:p>
    <w:p w14:paraId="33996292" w14:textId="77777777" w:rsidR="00D6547A" w:rsidRDefault="00A26315">
      <w:pPr>
        <w:pStyle w:val="Titre4"/>
      </w:pPr>
      <w:r>
        <w:t>Responsabilité du titulaire</w:t>
      </w:r>
    </w:p>
    <w:p w14:paraId="1E673842" w14:textId="77777777" w:rsidR="00D6547A" w:rsidRDefault="00A26315">
      <w:pPr>
        <w:pStyle w:val="Standard"/>
      </w:pPr>
      <w:r>
        <w:t xml:space="preserve">Le titulaire est tenu de mettre en </w:t>
      </w:r>
      <w:r w:rsidR="00141B43">
        <w:t>œuvre</w:t>
      </w:r>
      <w:r>
        <w:t>,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 Cette disposition vaut non seulement pour les normes en vigueur au jour de la passation du marché mais également pour toutes les nouvelles normes qui deviendraient effectives en cours d'exécution du marché.</w:t>
      </w:r>
    </w:p>
    <w:p w14:paraId="78E5FECF" w14:textId="77777777" w:rsidR="00D6547A" w:rsidRDefault="00A26315">
      <w:pPr>
        <w:pStyle w:val="Titre3"/>
      </w:pPr>
      <w:r>
        <w:t>Pilotage des prestations</w:t>
      </w:r>
    </w:p>
    <w:p w14:paraId="2A6D4C4D" w14:textId="77777777" w:rsidR="00D6547A" w:rsidRDefault="00A26315">
      <w:pPr>
        <w:pStyle w:val="Standard"/>
      </w:pPr>
      <w:r>
        <w:t>Le pilotage des prestations est réalisé au travers de réunions régulières entre le représentant du pouvoir adjudicateur et le titulaire :</w:t>
      </w:r>
    </w:p>
    <w:p w14:paraId="3E14FE9D" w14:textId="77777777" w:rsidR="00B2465F" w:rsidRDefault="00B2465F">
      <w:pPr>
        <w:pStyle w:val="Standard"/>
      </w:pPr>
    </w:p>
    <w:p w14:paraId="4678A24E" w14:textId="77777777" w:rsidR="00D6547A" w:rsidRPr="0098166B" w:rsidRDefault="00A26315">
      <w:pPr>
        <w:pStyle w:val="Standard"/>
        <w:rPr>
          <w:u w:val="single"/>
        </w:rPr>
      </w:pPr>
      <w:r w:rsidRPr="0098166B">
        <w:rPr>
          <w:u w:val="single"/>
        </w:rPr>
        <w:t>Réunion de démarrage</w:t>
      </w:r>
    </w:p>
    <w:p w14:paraId="1CF758F0" w14:textId="77777777" w:rsidR="00D6547A" w:rsidRDefault="00A26315">
      <w:pPr>
        <w:pStyle w:val="Standard"/>
        <w:rPr>
          <w:u w:val="single"/>
        </w:rPr>
      </w:pPr>
      <w:r>
        <w:t>La prestation débute par une réunion de démarrage au cours de laquelle le représentant du pouvoir adjudicateur présente son organisation, son activité et les données disponibles (documents, supports...) relatives à la prestation.</w:t>
      </w:r>
    </w:p>
    <w:p w14:paraId="581BB76B" w14:textId="77777777" w:rsidR="00D6547A" w:rsidRDefault="00A26315">
      <w:pPr>
        <w:pStyle w:val="Standard"/>
        <w:rPr>
          <w:u w:val="single"/>
        </w:rPr>
      </w:pPr>
      <w:r>
        <w:t>L'objet de cette réunion est de :</w:t>
      </w:r>
    </w:p>
    <w:p w14:paraId="6BA55A10" w14:textId="77777777" w:rsidR="00D6547A" w:rsidRDefault="00D6547A">
      <w:pPr>
        <w:pStyle w:val="Standard"/>
      </w:pPr>
    </w:p>
    <w:p w14:paraId="417D0116" w14:textId="277CEC75" w:rsidR="00D6547A" w:rsidRPr="0098166B" w:rsidRDefault="00A26315" w:rsidP="0098166B">
      <w:pPr>
        <w:pStyle w:val="Paragraphedeliste"/>
        <w:numPr>
          <w:ilvl w:val="0"/>
          <w:numId w:val="15"/>
        </w:numPr>
        <w:spacing w:before="0"/>
        <w:ind w:left="720" w:hanging="360"/>
        <w:jc w:val="left"/>
        <w:rPr>
          <w:rFonts w:cs="Arial"/>
          <w:szCs w:val="20"/>
        </w:rPr>
      </w:pPr>
      <w:proofErr w:type="gramStart"/>
      <w:r w:rsidRPr="0098166B">
        <w:rPr>
          <w:rFonts w:ascii="Arial" w:hAnsi="Arial" w:cs="Arial"/>
          <w:sz w:val="20"/>
          <w:szCs w:val="20"/>
        </w:rPr>
        <w:t>pré</w:t>
      </w:r>
      <w:r w:rsidR="00A16DDE">
        <w:rPr>
          <w:rFonts w:ascii="Arial" w:hAnsi="Arial" w:cs="Arial"/>
          <w:sz w:val="20"/>
          <w:szCs w:val="20"/>
        </w:rPr>
        <w:t>senter</w:t>
      </w:r>
      <w:proofErr w:type="gramEnd"/>
      <w:r w:rsidR="00A16DDE">
        <w:rPr>
          <w:rFonts w:ascii="Arial" w:hAnsi="Arial" w:cs="Arial"/>
          <w:sz w:val="20"/>
          <w:szCs w:val="20"/>
        </w:rPr>
        <w:t xml:space="preserve"> l'organisation du projet ;</w:t>
      </w:r>
    </w:p>
    <w:p w14:paraId="739F8AC5" w14:textId="29327355" w:rsidR="00D6547A" w:rsidRPr="0098166B" w:rsidRDefault="00A26315" w:rsidP="0098166B">
      <w:pPr>
        <w:pStyle w:val="Paragraphedeliste"/>
        <w:numPr>
          <w:ilvl w:val="0"/>
          <w:numId w:val="15"/>
        </w:numPr>
        <w:spacing w:before="0"/>
        <w:ind w:left="720" w:hanging="360"/>
        <w:jc w:val="left"/>
        <w:rPr>
          <w:rFonts w:cs="Arial"/>
          <w:szCs w:val="20"/>
        </w:rPr>
      </w:pPr>
      <w:proofErr w:type="gramStart"/>
      <w:r w:rsidRPr="0098166B">
        <w:rPr>
          <w:rFonts w:ascii="Arial" w:hAnsi="Arial" w:cs="Arial"/>
          <w:sz w:val="20"/>
          <w:szCs w:val="20"/>
        </w:rPr>
        <w:t>s'assurer</w:t>
      </w:r>
      <w:proofErr w:type="gramEnd"/>
      <w:r w:rsidRPr="0098166B">
        <w:rPr>
          <w:rFonts w:ascii="Arial" w:hAnsi="Arial" w:cs="Arial"/>
          <w:sz w:val="20"/>
          <w:szCs w:val="20"/>
        </w:rPr>
        <w:t xml:space="preserve"> de la bonne compréhension mutuelle de la prestation à mener (hypothèses,</w:t>
      </w:r>
      <w:r w:rsidR="009D483C" w:rsidRPr="0098166B">
        <w:rPr>
          <w:rFonts w:ascii="Arial" w:hAnsi="Arial" w:cs="Arial"/>
          <w:sz w:val="20"/>
          <w:szCs w:val="20"/>
        </w:rPr>
        <w:t xml:space="preserve"> </w:t>
      </w:r>
      <w:r w:rsidR="00A16DDE">
        <w:rPr>
          <w:rFonts w:ascii="Arial" w:hAnsi="Arial" w:cs="Arial"/>
          <w:sz w:val="20"/>
          <w:szCs w:val="20"/>
        </w:rPr>
        <w:t>périmètre et engagement) ;</w:t>
      </w:r>
    </w:p>
    <w:p w14:paraId="4A9BA958" w14:textId="54FBDF15" w:rsidR="00D6547A" w:rsidRPr="0098166B" w:rsidRDefault="00A26315" w:rsidP="0098166B">
      <w:pPr>
        <w:pStyle w:val="Paragraphedeliste"/>
        <w:numPr>
          <w:ilvl w:val="0"/>
          <w:numId w:val="15"/>
        </w:numPr>
        <w:spacing w:before="0"/>
        <w:ind w:left="720" w:hanging="360"/>
        <w:jc w:val="left"/>
        <w:rPr>
          <w:rFonts w:cs="Arial"/>
          <w:szCs w:val="20"/>
        </w:rPr>
      </w:pPr>
      <w:proofErr w:type="gramStart"/>
      <w:r w:rsidRPr="0098166B">
        <w:rPr>
          <w:rFonts w:ascii="Arial" w:hAnsi="Arial" w:cs="Arial"/>
          <w:sz w:val="20"/>
          <w:szCs w:val="20"/>
        </w:rPr>
        <w:t>rappeler</w:t>
      </w:r>
      <w:proofErr w:type="gramEnd"/>
      <w:r w:rsidRPr="0098166B">
        <w:rPr>
          <w:rFonts w:ascii="Arial" w:hAnsi="Arial" w:cs="Arial"/>
          <w:sz w:val="20"/>
          <w:szCs w:val="20"/>
        </w:rPr>
        <w:t xml:space="preserve"> la nature des l</w:t>
      </w:r>
      <w:r w:rsidR="00A16DDE">
        <w:rPr>
          <w:rFonts w:ascii="Arial" w:hAnsi="Arial" w:cs="Arial"/>
          <w:sz w:val="20"/>
          <w:szCs w:val="20"/>
        </w:rPr>
        <w:t>ivrables et le planning associé ;</w:t>
      </w:r>
    </w:p>
    <w:p w14:paraId="50BC5F86" w14:textId="5EC95A8C" w:rsidR="00D6547A" w:rsidRPr="0098166B" w:rsidRDefault="00A26315" w:rsidP="0098166B">
      <w:pPr>
        <w:pStyle w:val="Paragraphedeliste"/>
        <w:numPr>
          <w:ilvl w:val="0"/>
          <w:numId w:val="15"/>
        </w:numPr>
        <w:spacing w:before="0"/>
        <w:ind w:left="720" w:hanging="360"/>
        <w:jc w:val="left"/>
        <w:rPr>
          <w:rFonts w:cs="Arial"/>
          <w:szCs w:val="20"/>
        </w:rPr>
      </w:pPr>
      <w:proofErr w:type="gramStart"/>
      <w:r w:rsidRPr="0098166B">
        <w:rPr>
          <w:rFonts w:ascii="Arial" w:hAnsi="Arial" w:cs="Arial"/>
          <w:sz w:val="20"/>
          <w:szCs w:val="20"/>
        </w:rPr>
        <w:t>rappeler</w:t>
      </w:r>
      <w:proofErr w:type="gramEnd"/>
      <w:r w:rsidRPr="0098166B">
        <w:rPr>
          <w:rFonts w:ascii="Arial" w:hAnsi="Arial" w:cs="Arial"/>
          <w:sz w:val="20"/>
          <w:szCs w:val="20"/>
        </w:rPr>
        <w:t xml:space="preserve"> le processus de validat</w:t>
      </w:r>
      <w:r w:rsidR="00A16DDE">
        <w:rPr>
          <w:rFonts w:ascii="Arial" w:hAnsi="Arial" w:cs="Arial"/>
          <w:sz w:val="20"/>
          <w:szCs w:val="20"/>
        </w:rPr>
        <w:t>ion / acceptation des livrables ;</w:t>
      </w:r>
    </w:p>
    <w:p w14:paraId="65A96740" w14:textId="6C5BB411" w:rsidR="00D6547A" w:rsidRPr="0098166B" w:rsidRDefault="00A26315" w:rsidP="0098166B">
      <w:pPr>
        <w:pStyle w:val="Paragraphedeliste"/>
        <w:numPr>
          <w:ilvl w:val="0"/>
          <w:numId w:val="15"/>
        </w:numPr>
        <w:spacing w:before="0"/>
        <w:ind w:left="720" w:hanging="360"/>
        <w:jc w:val="left"/>
        <w:rPr>
          <w:rFonts w:cs="Arial"/>
          <w:szCs w:val="20"/>
        </w:rPr>
      </w:pPr>
      <w:proofErr w:type="gramStart"/>
      <w:r w:rsidRPr="0098166B">
        <w:rPr>
          <w:rFonts w:ascii="Arial" w:hAnsi="Arial" w:cs="Arial"/>
          <w:sz w:val="20"/>
          <w:szCs w:val="20"/>
        </w:rPr>
        <w:t>agréer</w:t>
      </w:r>
      <w:proofErr w:type="gramEnd"/>
      <w:r w:rsidRPr="0098166B">
        <w:rPr>
          <w:rFonts w:ascii="Arial" w:hAnsi="Arial" w:cs="Arial"/>
          <w:sz w:val="20"/>
          <w:szCs w:val="20"/>
        </w:rPr>
        <w:t xml:space="preserve"> le mode de </w:t>
      </w:r>
      <w:proofErr w:type="spellStart"/>
      <w:r w:rsidRPr="0098166B">
        <w:rPr>
          <w:rFonts w:ascii="Arial" w:hAnsi="Arial" w:cs="Arial"/>
          <w:sz w:val="20"/>
          <w:szCs w:val="20"/>
        </w:rPr>
        <w:t>reporting</w:t>
      </w:r>
      <w:proofErr w:type="spellEnd"/>
      <w:r w:rsidRPr="0098166B">
        <w:rPr>
          <w:rFonts w:ascii="Arial" w:hAnsi="Arial" w:cs="Arial"/>
          <w:sz w:val="20"/>
          <w:szCs w:val="20"/>
        </w:rPr>
        <w:t xml:space="preserve"> du prestataire (mise en </w:t>
      </w:r>
      <w:r w:rsidR="00B2465F" w:rsidRPr="0098166B">
        <w:rPr>
          <w:rFonts w:ascii="Arial" w:hAnsi="Arial" w:cs="Arial"/>
          <w:sz w:val="20"/>
          <w:szCs w:val="20"/>
        </w:rPr>
        <w:t>œuvre</w:t>
      </w:r>
      <w:r w:rsidRPr="0098166B">
        <w:rPr>
          <w:rFonts w:ascii="Arial" w:hAnsi="Arial" w:cs="Arial"/>
          <w:sz w:val="20"/>
          <w:szCs w:val="20"/>
        </w:rPr>
        <w:t xml:space="preserve"> pratique des dispositions stipulées</w:t>
      </w:r>
      <w:r w:rsidR="009D483C" w:rsidRPr="0098166B">
        <w:rPr>
          <w:rFonts w:ascii="Arial" w:hAnsi="Arial" w:cs="Arial"/>
          <w:sz w:val="20"/>
          <w:szCs w:val="20"/>
        </w:rPr>
        <w:t xml:space="preserve"> </w:t>
      </w:r>
      <w:r w:rsidRPr="0098166B">
        <w:rPr>
          <w:rFonts w:ascii="Arial" w:hAnsi="Arial" w:cs="Arial"/>
          <w:sz w:val="20"/>
          <w:szCs w:val="20"/>
        </w:rPr>
        <w:t xml:space="preserve">dans le marché : fréquence des réunions d'avancement, nature et formalisme des </w:t>
      </w:r>
      <w:r w:rsidR="00B2465F" w:rsidRPr="0098166B">
        <w:rPr>
          <w:rFonts w:ascii="Arial" w:hAnsi="Arial" w:cs="Arial"/>
          <w:sz w:val="20"/>
          <w:szCs w:val="20"/>
        </w:rPr>
        <w:t>compte</w:t>
      </w:r>
      <w:r w:rsidR="009D483C" w:rsidRPr="0098166B">
        <w:rPr>
          <w:rFonts w:ascii="Arial" w:hAnsi="Arial" w:cs="Arial"/>
          <w:sz w:val="20"/>
          <w:szCs w:val="20"/>
        </w:rPr>
        <w:t>-</w:t>
      </w:r>
      <w:r w:rsidR="00B2465F" w:rsidRPr="0098166B">
        <w:rPr>
          <w:rFonts w:ascii="Arial" w:hAnsi="Arial" w:cs="Arial"/>
          <w:sz w:val="20"/>
          <w:szCs w:val="20"/>
        </w:rPr>
        <w:t>rendu</w:t>
      </w:r>
      <w:r w:rsidRPr="0098166B">
        <w:rPr>
          <w:rFonts w:ascii="Arial" w:hAnsi="Arial" w:cs="Arial"/>
          <w:sz w:val="20"/>
          <w:szCs w:val="20"/>
        </w:rPr>
        <w:t xml:space="preserve">, </w:t>
      </w:r>
      <w:r w:rsidR="00A16DDE">
        <w:rPr>
          <w:rFonts w:ascii="Arial" w:hAnsi="Arial" w:cs="Arial"/>
          <w:sz w:val="20"/>
          <w:szCs w:val="20"/>
        </w:rPr>
        <w:t>etc.) ;</w:t>
      </w:r>
    </w:p>
    <w:p w14:paraId="2EEAFEB5" w14:textId="6FE040E5" w:rsidR="00D6547A" w:rsidRDefault="00A26315" w:rsidP="0098166B">
      <w:pPr>
        <w:pStyle w:val="Paragraphedeliste"/>
        <w:numPr>
          <w:ilvl w:val="0"/>
          <w:numId w:val="15"/>
        </w:numPr>
        <w:spacing w:before="0"/>
        <w:ind w:left="720" w:hanging="360"/>
        <w:jc w:val="left"/>
        <w:rPr>
          <w:rFonts w:cs="Arial"/>
          <w:szCs w:val="20"/>
        </w:rPr>
      </w:pPr>
      <w:proofErr w:type="gramStart"/>
      <w:r w:rsidRPr="0098166B">
        <w:rPr>
          <w:rFonts w:ascii="Arial" w:hAnsi="Arial" w:cs="Arial"/>
          <w:sz w:val="20"/>
          <w:szCs w:val="20"/>
        </w:rPr>
        <w:t>préciser</w:t>
      </w:r>
      <w:proofErr w:type="gramEnd"/>
      <w:r w:rsidRPr="0098166B">
        <w:rPr>
          <w:rFonts w:ascii="Arial" w:hAnsi="Arial" w:cs="Arial"/>
          <w:sz w:val="20"/>
          <w:szCs w:val="20"/>
        </w:rPr>
        <w:t xml:space="preserve"> les modes de communication et/ou de sollicitation du représentant du pouvoir</w:t>
      </w:r>
      <w:r w:rsidR="009D483C" w:rsidRPr="0098166B">
        <w:rPr>
          <w:rFonts w:ascii="Arial" w:hAnsi="Arial" w:cs="Arial"/>
          <w:sz w:val="20"/>
          <w:szCs w:val="20"/>
        </w:rPr>
        <w:t xml:space="preserve"> </w:t>
      </w:r>
      <w:r w:rsidRPr="0098166B">
        <w:rPr>
          <w:rFonts w:ascii="Arial" w:hAnsi="Arial" w:cs="Arial"/>
          <w:sz w:val="20"/>
          <w:szCs w:val="20"/>
        </w:rPr>
        <w:t>adj</w:t>
      </w:r>
      <w:r w:rsidR="00A16DDE">
        <w:rPr>
          <w:rFonts w:ascii="Arial" w:hAnsi="Arial" w:cs="Arial"/>
          <w:sz w:val="20"/>
          <w:szCs w:val="20"/>
        </w:rPr>
        <w:t>udicateur envers le prestataire ;</w:t>
      </w:r>
    </w:p>
    <w:p w14:paraId="3DFCD0E2" w14:textId="5FB0520A" w:rsidR="00DF19C5" w:rsidRPr="0098166B" w:rsidRDefault="00DF19C5" w:rsidP="0098166B">
      <w:pPr>
        <w:pStyle w:val="Paragraphedeliste"/>
        <w:numPr>
          <w:ilvl w:val="0"/>
          <w:numId w:val="15"/>
        </w:numPr>
        <w:spacing w:before="0"/>
        <w:ind w:left="720" w:hanging="360"/>
        <w:jc w:val="left"/>
        <w:rPr>
          <w:rFonts w:cs="Arial"/>
          <w:b/>
          <w:szCs w:val="20"/>
        </w:rPr>
      </w:pPr>
      <w:r>
        <w:rPr>
          <w:rFonts w:ascii="Arial" w:hAnsi="Arial" w:cs="Arial"/>
          <w:sz w:val="20"/>
          <w:szCs w:val="20"/>
        </w:rPr>
        <w:t>(</w:t>
      </w:r>
      <w:r w:rsidRPr="0098166B">
        <w:rPr>
          <w:rFonts w:ascii="Arial" w:hAnsi="Arial" w:cs="Arial"/>
          <w:b/>
          <w:sz w:val="20"/>
          <w:szCs w:val="20"/>
        </w:rPr>
        <w:t>A COMPLETER</w:t>
      </w:r>
      <w:r>
        <w:rPr>
          <w:rFonts w:ascii="Arial" w:hAnsi="Arial" w:cs="Arial"/>
          <w:sz w:val="20"/>
          <w:szCs w:val="20"/>
        </w:rPr>
        <w:t>)</w:t>
      </w:r>
    </w:p>
    <w:p w14:paraId="401BF177" w14:textId="77777777" w:rsidR="00FB2426" w:rsidRDefault="00FB2426" w:rsidP="00FB2426">
      <w:pPr>
        <w:pStyle w:val="Standard"/>
      </w:pPr>
    </w:p>
    <w:p w14:paraId="7D30BD5A" w14:textId="293DBA2C" w:rsidR="00FB2426" w:rsidRPr="00C832AA" w:rsidRDefault="00FB2426" w:rsidP="00FB2426">
      <w:pPr>
        <w:pStyle w:val="Standard"/>
      </w:pPr>
      <w:r w:rsidRPr="00C832AA">
        <w:t xml:space="preserve">Si l’établissement en a fait le choix, cette réunion sera organisée en concertation avec le titulaire du lot </w:t>
      </w:r>
      <w:r>
        <w:t>2</w:t>
      </w:r>
      <w:r w:rsidRPr="00C832AA">
        <w:t xml:space="preserve"> de l’accord-cadre.</w:t>
      </w:r>
    </w:p>
    <w:p w14:paraId="3629D081" w14:textId="77777777" w:rsidR="00FB2426" w:rsidRDefault="00FB2426">
      <w:pPr>
        <w:pStyle w:val="Standard"/>
      </w:pPr>
    </w:p>
    <w:p w14:paraId="2B633DBB" w14:textId="77777777" w:rsidR="00D6547A" w:rsidRPr="0098166B" w:rsidRDefault="00A26315">
      <w:pPr>
        <w:pStyle w:val="Standard"/>
        <w:rPr>
          <w:u w:val="single"/>
        </w:rPr>
      </w:pPr>
      <w:r w:rsidRPr="0098166B">
        <w:rPr>
          <w:u w:val="single"/>
        </w:rPr>
        <w:t>Réunion d'avancement et suivi de l'avancement de projet</w:t>
      </w:r>
    </w:p>
    <w:p w14:paraId="1943EAF4" w14:textId="2BAB121F" w:rsidR="00D6547A" w:rsidRDefault="00A26315">
      <w:pPr>
        <w:pStyle w:val="Standard"/>
        <w:rPr>
          <w:u w:val="single"/>
        </w:rPr>
      </w:pPr>
      <w:r>
        <w:t xml:space="preserve">En </w:t>
      </w:r>
      <w:r w:rsidR="00B2465F">
        <w:t>tant</w:t>
      </w:r>
      <w:r>
        <w:t xml:space="preserve"> que de besoin, et </w:t>
      </w:r>
      <w:r>
        <w:rPr>
          <w:b/>
        </w:rPr>
        <w:t>A COMPLETER</w:t>
      </w:r>
      <w:r>
        <w:t xml:space="preserve"> a minima, une réunion d'avancement assurera un suivi au plus près de l'état des prestations, afin de </w:t>
      </w:r>
      <w:r w:rsidR="00A16DDE">
        <w:t>garantir</w:t>
      </w:r>
      <w:r>
        <w:t xml:space="preserve"> l'adéquation entre le besoin exprimé et la prestation réalisée.</w:t>
      </w:r>
    </w:p>
    <w:p w14:paraId="5D995912" w14:textId="77777777" w:rsidR="00D6547A" w:rsidRDefault="00A26315">
      <w:pPr>
        <w:pStyle w:val="Standard"/>
        <w:rPr>
          <w:u w:val="single"/>
        </w:rPr>
      </w:pPr>
      <w:r>
        <w:t>Cette réunion abordera notamment les points suivants :</w:t>
      </w:r>
    </w:p>
    <w:p w14:paraId="5EFAFDD9" w14:textId="77777777" w:rsidR="00D6547A" w:rsidRDefault="00D6547A">
      <w:pPr>
        <w:pStyle w:val="Standard"/>
      </w:pPr>
    </w:p>
    <w:p w14:paraId="5E184D7C" w14:textId="6D874D9D" w:rsidR="00D6547A" w:rsidRPr="0098166B" w:rsidRDefault="00A26315" w:rsidP="0098166B">
      <w:pPr>
        <w:pStyle w:val="Paragraphedeliste"/>
        <w:numPr>
          <w:ilvl w:val="0"/>
          <w:numId w:val="15"/>
        </w:numPr>
        <w:spacing w:before="0"/>
        <w:ind w:left="720" w:hanging="360"/>
        <w:jc w:val="left"/>
        <w:rPr>
          <w:rFonts w:cs="Arial"/>
          <w:szCs w:val="20"/>
        </w:rPr>
      </w:pPr>
      <w:proofErr w:type="gramStart"/>
      <w:r w:rsidRPr="0098166B">
        <w:rPr>
          <w:rFonts w:ascii="Arial" w:hAnsi="Arial" w:cs="Arial"/>
          <w:sz w:val="20"/>
          <w:szCs w:val="20"/>
        </w:rPr>
        <w:t>respect</w:t>
      </w:r>
      <w:proofErr w:type="gramEnd"/>
      <w:r w:rsidRPr="0098166B">
        <w:rPr>
          <w:rFonts w:ascii="Arial" w:hAnsi="Arial" w:cs="Arial"/>
          <w:sz w:val="20"/>
          <w:szCs w:val="20"/>
        </w:rPr>
        <w:t xml:space="preserve"> du planning (tâches engagées, tâches closes), voir le système de pénal</w:t>
      </w:r>
      <w:r w:rsidR="00A16DDE">
        <w:rPr>
          <w:rFonts w:ascii="Arial" w:hAnsi="Arial" w:cs="Arial"/>
          <w:sz w:val="20"/>
          <w:szCs w:val="20"/>
        </w:rPr>
        <w:t>ités décrit dans le présent CCP ;</w:t>
      </w:r>
    </w:p>
    <w:p w14:paraId="6561778B" w14:textId="5349F43D" w:rsidR="00D6547A" w:rsidRPr="0098166B" w:rsidRDefault="00A26315" w:rsidP="0098166B">
      <w:pPr>
        <w:pStyle w:val="Paragraphedeliste"/>
        <w:numPr>
          <w:ilvl w:val="0"/>
          <w:numId w:val="15"/>
        </w:numPr>
        <w:spacing w:before="0"/>
        <w:ind w:left="720" w:hanging="360"/>
        <w:jc w:val="left"/>
        <w:rPr>
          <w:rFonts w:cs="Arial"/>
          <w:szCs w:val="20"/>
        </w:rPr>
      </w:pPr>
      <w:proofErr w:type="gramStart"/>
      <w:r w:rsidRPr="0098166B">
        <w:rPr>
          <w:rFonts w:ascii="Arial" w:hAnsi="Arial" w:cs="Arial"/>
          <w:sz w:val="20"/>
          <w:szCs w:val="20"/>
        </w:rPr>
        <w:t>mise</w:t>
      </w:r>
      <w:proofErr w:type="gramEnd"/>
      <w:r w:rsidRPr="0098166B">
        <w:rPr>
          <w:rFonts w:ascii="Arial" w:hAnsi="Arial" w:cs="Arial"/>
          <w:sz w:val="20"/>
          <w:szCs w:val="20"/>
        </w:rPr>
        <w:t xml:space="preserve"> à jour des écarts/dérives éventuels (besoin exprimé, prestation...) et identification des act</w:t>
      </w:r>
      <w:r w:rsidR="00A16DDE">
        <w:rPr>
          <w:rFonts w:ascii="Arial" w:hAnsi="Arial" w:cs="Arial"/>
          <w:sz w:val="20"/>
          <w:szCs w:val="20"/>
        </w:rPr>
        <w:t>ions correctives et préventives ;</w:t>
      </w:r>
    </w:p>
    <w:p w14:paraId="6734061B" w14:textId="12862B0E" w:rsidR="00D6547A" w:rsidRPr="0098166B" w:rsidRDefault="00A16DDE" w:rsidP="0098166B">
      <w:pPr>
        <w:pStyle w:val="Paragraphedeliste"/>
        <w:numPr>
          <w:ilvl w:val="0"/>
          <w:numId w:val="15"/>
        </w:numPr>
        <w:spacing w:before="0"/>
        <w:ind w:left="720" w:hanging="360"/>
        <w:jc w:val="left"/>
        <w:rPr>
          <w:rFonts w:cs="Arial"/>
          <w:szCs w:val="20"/>
        </w:rPr>
      </w:pPr>
      <w:proofErr w:type="gramStart"/>
      <w:r>
        <w:rPr>
          <w:rFonts w:ascii="Arial" w:hAnsi="Arial" w:cs="Arial"/>
          <w:sz w:val="20"/>
          <w:szCs w:val="20"/>
        </w:rPr>
        <w:t>points</w:t>
      </w:r>
      <w:proofErr w:type="gramEnd"/>
      <w:r>
        <w:rPr>
          <w:rFonts w:ascii="Arial" w:hAnsi="Arial" w:cs="Arial"/>
          <w:sz w:val="20"/>
          <w:szCs w:val="20"/>
        </w:rPr>
        <w:t xml:space="preserve"> techniques ouverts ;</w:t>
      </w:r>
    </w:p>
    <w:p w14:paraId="51DB2841" w14:textId="50D588C1" w:rsidR="00D6547A" w:rsidRPr="0098166B" w:rsidRDefault="00A26315" w:rsidP="0098166B">
      <w:pPr>
        <w:pStyle w:val="Paragraphedeliste"/>
        <w:numPr>
          <w:ilvl w:val="0"/>
          <w:numId w:val="15"/>
        </w:numPr>
        <w:spacing w:before="0"/>
        <w:ind w:left="720" w:hanging="360"/>
        <w:jc w:val="left"/>
        <w:rPr>
          <w:rFonts w:cs="Arial"/>
          <w:szCs w:val="20"/>
        </w:rPr>
      </w:pPr>
      <w:proofErr w:type="gramStart"/>
      <w:r w:rsidRPr="0098166B">
        <w:rPr>
          <w:rFonts w:ascii="Arial" w:hAnsi="Arial" w:cs="Arial"/>
          <w:sz w:val="20"/>
          <w:szCs w:val="20"/>
        </w:rPr>
        <w:t>bilan</w:t>
      </w:r>
      <w:proofErr w:type="gramEnd"/>
      <w:r w:rsidRPr="0098166B">
        <w:rPr>
          <w:rFonts w:ascii="Arial" w:hAnsi="Arial" w:cs="Arial"/>
          <w:sz w:val="20"/>
          <w:szCs w:val="20"/>
        </w:rPr>
        <w:t xml:space="preserve"> d</w:t>
      </w:r>
      <w:r w:rsidR="00A16DDE">
        <w:rPr>
          <w:rFonts w:ascii="Arial" w:hAnsi="Arial" w:cs="Arial"/>
          <w:sz w:val="20"/>
          <w:szCs w:val="20"/>
        </w:rPr>
        <w:t>es actions non closes ;</w:t>
      </w:r>
    </w:p>
    <w:p w14:paraId="5FA41569" w14:textId="6651F778" w:rsidR="00D6547A" w:rsidRPr="0098166B" w:rsidRDefault="00A26315" w:rsidP="0098166B">
      <w:pPr>
        <w:pStyle w:val="Paragraphedeliste"/>
        <w:numPr>
          <w:ilvl w:val="0"/>
          <w:numId w:val="15"/>
        </w:numPr>
        <w:spacing w:before="0"/>
        <w:ind w:left="720" w:hanging="360"/>
        <w:jc w:val="left"/>
        <w:rPr>
          <w:rFonts w:cs="Arial"/>
          <w:szCs w:val="20"/>
        </w:rPr>
      </w:pPr>
      <w:proofErr w:type="gramStart"/>
      <w:r w:rsidRPr="0098166B">
        <w:rPr>
          <w:rFonts w:ascii="Arial" w:hAnsi="Arial" w:cs="Arial"/>
          <w:sz w:val="20"/>
          <w:szCs w:val="20"/>
        </w:rPr>
        <w:t>échanges</w:t>
      </w:r>
      <w:proofErr w:type="gramEnd"/>
      <w:r w:rsidRPr="0098166B">
        <w:rPr>
          <w:rFonts w:ascii="Arial" w:hAnsi="Arial" w:cs="Arial"/>
          <w:sz w:val="20"/>
          <w:szCs w:val="20"/>
        </w:rPr>
        <w:t xml:space="preserve"> et avis sur les documents de travail du titulaire. Ces avis sont distincts </w:t>
      </w:r>
      <w:r w:rsidR="00A16DDE">
        <w:rPr>
          <w:rFonts w:ascii="Arial" w:hAnsi="Arial" w:cs="Arial"/>
          <w:sz w:val="20"/>
          <w:szCs w:val="20"/>
        </w:rPr>
        <w:t>des opérations de vérifications ;</w:t>
      </w:r>
    </w:p>
    <w:p w14:paraId="34D64825" w14:textId="60C2C410" w:rsidR="00D6547A" w:rsidRDefault="00A16DDE" w:rsidP="0098166B">
      <w:pPr>
        <w:pStyle w:val="Paragraphedeliste"/>
        <w:numPr>
          <w:ilvl w:val="0"/>
          <w:numId w:val="15"/>
        </w:numPr>
        <w:spacing w:before="0"/>
        <w:ind w:left="720" w:hanging="360"/>
        <w:jc w:val="left"/>
        <w:rPr>
          <w:rFonts w:cs="Arial"/>
          <w:szCs w:val="20"/>
        </w:rPr>
      </w:pPr>
      <w:proofErr w:type="gramStart"/>
      <w:r>
        <w:rPr>
          <w:rFonts w:ascii="Arial" w:hAnsi="Arial" w:cs="Arial"/>
          <w:sz w:val="20"/>
          <w:szCs w:val="20"/>
        </w:rPr>
        <w:lastRenderedPageBreak/>
        <w:t>définition</w:t>
      </w:r>
      <w:proofErr w:type="gramEnd"/>
      <w:r>
        <w:rPr>
          <w:rFonts w:ascii="Arial" w:hAnsi="Arial" w:cs="Arial"/>
          <w:sz w:val="20"/>
          <w:szCs w:val="20"/>
        </w:rPr>
        <w:t xml:space="preserve"> des tâches à venir ;</w:t>
      </w:r>
    </w:p>
    <w:p w14:paraId="4691388B" w14:textId="77777777" w:rsidR="00DF19C5" w:rsidRPr="00CE0011" w:rsidRDefault="00DF19C5" w:rsidP="00DF19C5">
      <w:pPr>
        <w:pStyle w:val="Paragraphedeliste"/>
        <w:numPr>
          <w:ilvl w:val="0"/>
          <w:numId w:val="15"/>
        </w:numPr>
        <w:spacing w:before="0"/>
        <w:ind w:left="720" w:hanging="360"/>
        <w:jc w:val="left"/>
        <w:rPr>
          <w:rFonts w:ascii="Arial" w:hAnsi="Arial" w:cs="Arial"/>
          <w:b/>
          <w:sz w:val="20"/>
          <w:szCs w:val="20"/>
        </w:rPr>
      </w:pPr>
      <w:r>
        <w:rPr>
          <w:rFonts w:ascii="Arial" w:hAnsi="Arial" w:cs="Arial"/>
          <w:sz w:val="20"/>
          <w:szCs w:val="20"/>
        </w:rPr>
        <w:t>(</w:t>
      </w:r>
      <w:r w:rsidRPr="00CE0011">
        <w:rPr>
          <w:rFonts w:ascii="Arial" w:hAnsi="Arial" w:cs="Arial"/>
          <w:b/>
          <w:sz w:val="20"/>
          <w:szCs w:val="20"/>
        </w:rPr>
        <w:t>A COMPLETER</w:t>
      </w:r>
      <w:r>
        <w:rPr>
          <w:rFonts w:ascii="Arial" w:hAnsi="Arial" w:cs="Arial"/>
          <w:sz w:val="20"/>
          <w:szCs w:val="20"/>
        </w:rPr>
        <w:t>)</w:t>
      </w:r>
    </w:p>
    <w:p w14:paraId="0F9E7DB3" w14:textId="77777777" w:rsidR="00D6547A" w:rsidRDefault="00D6547A">
      <w:pPr>
        <w:pStyle w:val="Standard"/>
      </w:pPr>
    </w:p>
    <w:p w14:paraId="4E48ECF4" w14:textId="77777777" w:rsidR="00D6547A" w:rsidRDefault="00A26315">
      <w:pPr>
        <w:pStyle w:val="Standard"/>
        <w:rPr>
          <w:u w:val="single"/>
        </w:rPr>
      </w:pPr>
      <w:r>
        <w:t xml:space="preserve">A l'issue de chaque réunion, la fiche liaison technique sera complétée. Les </w:t>
      </w:r>
      <w:r w:rsidR="00B2465F">
        <w:t>comptes rendus</w:t>
      </w:r>
      <w:r>
        <w:t xml:space="preserve"> sont rédigés par le titulaire.</w:t>
      </w:r>
    </w:p>
    <w:p w14:paraId="5EB73DEE" w14:textId="77777777" w:rsidR="00D6547A" w:rsidRDefault="00A26315">
      <w:pPr>
        <w:pStyle w:val="Standard"/>
        <w:rPr>
          <w:u w:val="single"/>
        </w:rPr>
      </w:pPr>
      <w:r>
        <w:t>La gestion des actions soulevées lors de ces réunions d'avancement sera faite par le représentant du titulaire.</w:t>
      </w:r>
    </w:p>
    <w:p w14:paraId="36CFC5E1" w14:textId="77777777" w:rsidR="00D6547A" w:rsidRDefault="00A26315">
      <w:pPr>
        <w:pStyle w:val="Standard"/>
        <w:rPr>
          <w:u w:val="single"/>
        </w:rPr>
      </w:pPr>
      <w:r>
        <w:t>Ces réunions ne donnent pas lieu à une facturation.</w:t>
      </w:r>
    </w:p>
    <w:p w14:paraId="5BE70A39" w14:textId="77777777" w:rsidR="00D6547A" w:rsidRDefault="00A26315">
      <w:pPr>
        <w:pStyle w:val="Titre3"/>
      </w:pPr>
      <w:r>
        <w:t>Echange et relecture des livrables</w:t>
      </w:r>
    </w:p>
    <w:p w14:paraId="49802378" w14:textId="77777777" w:rsidR="00D6547A" w:rsidRDefault="00A26315">
      <w:pPr>
        <w:pStyle w:val="Standard"/>
      </w:pPr>
      <w:r>
        <w:t>Durant la période de réalisation, et sur accord des parties, il peut y avoir des échanges entre le titulaire et l'acheteur. Ces demandes d'avis ne justifient pas une prolongation de délai d'exécution. Ils sont distincts des opérations de vérification.</w:t>
      </w:r>
    </w:p>
    <w:p w14:paraId="53DD889C" w14:textId="77777777" w:rsidR="00D6547A" w:rsidRDefault="00A26315">
      <w:pPr>
        <w:pStyle w:val="Standard"/>
      </w:pPr>
      <w:r w:rsidRPr="0098166B">
        <w:rPr>
          <w:b/>
        </w:rPr>
        <w:t>A COMPLETER</w:t>
      </w:r>
      <w:r>
        <w:t xml:space="preserve"> avec les modalités de transmission des livrables, tels que délais, nombre d'exemplaires...</w:t>
      </w:r>
    </w:p>
    <w:p w14:paraId="74CEB697" w14:textId="77777777" w:rsidR="00D6547A" w:rsidRDefault="00A26315">
      <w:pPr>
        <w:pStyle w:val="Titre3"/>
      </w:pPr>
      <w:r>
        <w:t>Constatation de l'exécution des prestations</w:t>
      </w:r>
    </w:p>
    <w:p w14:paraId="393FAA9A" w14:textId="77777777" w:rsidR="00D6547A" w:rsidRDefault="00A26315">
      <w:pPr>
        <w:pStyle w:val="Titre4"/>
      </w:pPr>
      <w:r>
        <w:t>Contrôle</w:t>
      </w:r>
    </w:p>
    <w:p w14:paraId="5A80B793" w14:textId="10AF358F" w:rsidR="00D6547A" w:rsidRPr="0098166B" w:rsidRDefault="00B2465F">
      <w:pPr>
        <w:pStyle w:val="Standard"/>
        <w:rPr>
          <w:i/>
        </w:rPr>
      </w:pPr>
      <w:r w:rsidRPr="0098166B">
        <w:rPr>
          <w:i/>
        </w:rPr>
        <w:t>Préciser</w:t>
      </w:r>
      <w:r w:rsidR="00A26315" w:rsidRPr="0098166B">
        <w:rPr>
          <w:i/>
        </w:rPr>
        <w:t xml:space="preserve"> des modalités de contrôle des prestations</w:t>
      </w:r>
      <w:r w:rsidR="00FB2426">
        <w:rPr>
          <w:i/>
        </w:rPr>
        <w:t xml:space="preserve"> </w:t>
      </w:r>
      <w:r w:rsidR="00FB2426" w:rsidRPr="0098166B">
        <w:rPr>
          <w:b/>
        </w:rPr>
        <w:t>A COMPLETER</w:t>
      </w:r>
    </w:p>
    <w:p w14:paraId="170F763F" w14:textId="77777777" w:rsidR="00D6547A" w:rsidRDefault="00A26315">
      <w:pPr>
        <w:pStyle w:val="Titre4"/>
      </w:pPr>
      <w:r>
        <w:t>Opérations de vérification</w:t>
      </w:r>
    </w:p>
    <w:p w14:paraId="4737FB52" w14:textId="2D014E8A" w:rsidR="00D6547A" w:rsidRDefault="00386967">
      <w:pPr>
        <w:pStyle w:val="Standard"/>
      </w:pPr>
      <w:r>
        <w:t xml:space="preserve">Les opérations de vérification se déroulent conformément au cahier des charges de </w:t>
      </w:r>
      <w:r w:rsidR="00933767">
        <w:t xml:space="preserve">l’accord-cadre </w:t>
      </w:r>
      <w:r w:rsidR="002D7716">
        <w:t>25</w:t>
      </w:r>
      <w:r w:rsidR="00933767">
        <w:t>-</w:t>
      </w:r>
      <w:r w:rsidR="002D7716">
        <w:t>01</w:t>
      </w:r>
      <w:r w:rsidR="00933767">
        <w:t>-Devolution</w:t>
      </w:r>
      <w:r>
        <w:t>.</w:t>
      </w:r>
    </w:p>
    <w:p w14:paraId="49B1479D" w14:textId="77777777" w:rsidR="00D6547A" w:rsidRDefault="00A26315">
      <w:pPr>
        <w:pStyle w:val="Titre4"/>
      </w:pPr>
      <w:r>
        <w:t>Décision après vérifications</w:t>
      </w:r>
    </w:p>
    <w:p w14:paraId="31152F2C" w14:textId="77777777" w:rsidR="00D6547A" w:rsidRDefault="00A26315">
      <w:pPr>
        <w:pStyle w:val="Standard"/>
      </w:pPr>
      <w:r>
        <w:t>Les décisions prises par le représentant du pouvoir adjudicateur, après vérification des prestations, conduisent soit :</w:t>
      </w:r>
    </w:p>
    <w:p w14:paraId="14BF7C5C" w14:textId="702377D9" w:rsidR="00D6547A" w:rsidRDefault="00A26315" w:rsidP="0098166B">
      <w:pPr>
        <w:pStyle w:val="Standard"/>
        <w:numPr>
          <w:ilvl w:val="0"/>
          <w:numId w:val="19"/>
        </w:numPr>
      </w:pPr>
      <w:proofErr w:type="gramStart"/>
      <w:r>
        <w:t>à</w:t>
      </w:r>
      <w:proofErr w:type="gramEnd"/>
      <w:r>
        <w:t xml:space="preserve"> une réception ;</w:t>
      </w:r>
    </w:p>
    <w:p w14:paraId="111292F1" w14:textId="1BB9C223" w:rsidR="00D6547A" w:rsidRDefault="00A26315" w:rsidP="0098166B">
      <w:pPr>
        <w:pStyle w:val="Standard"/>
        <w:numPr>
          <w:ilvl w:val="0"/>
          <w:numId w:val="19"/>
        </w:numPr>
      </w:pPr>
      <w:proofErr w:type="gramStart"/>
      <w:r>
        <w:t>à</w:t>
      </w:r>
      <w:proofErr w:type="gramEnd"/>
      <w:r>
        <w:t xml:space="preserve"> un ajournement ;</w:t>
      </w:r>
    </w:p>
    <w:p w14:paraId="109BDFE6" w14:textId="40596765" w:rsidR="00D6547A" w:rsidRDefault="00A26315" w:rsidP="0098166B">
      <w:pPr>
        <w:pStyle w:val="Standard"/>
        <w:numPr>
          <w:ilvl w:val="0"/>
          <w:numId w:val="19"/>
        </w:numPr>
      </w:pPr>
      <w:proofErr w:type="gramStart"/>
      <w:r>
        <w:t>à</w:t>
      </w:r>
      <w:proofErr w:type="gramEnd"/>
      <w:r>
        <w:t xml:space="preserve"> un rejet.</w:t>
      </w:r>
    </w:p>
    <w:p w14:paraId="211A04DF" w14:textId="77777777" w:rsidR="00386967" w:rsidRDefault="00386967" w:rsidP="0098166B">
      <w:pPr>
        <w:pStyle w:val="Standard"/>
        <w:ind w:left="720"/>
      </w:pPr>
    </w:p>
    <w:p w14:paraId="46E944CF" w14:textId="77777777" w:rsidR="00524860" w:rsidRPr="0098166B" w:rsidRDefault="00A26315" w:rsidP="00524860">
      <w:pPr>
        <w:rPr>
          <w:rFonts w:ascii="Arial" w:hAnsi="Arial"/>
          <w:color w:val="000000"/>
          <w:sz w:val="20"/>
        </w:rPr>
      </w:pPr>
      <w:r w:rsidRPr="0098166B">
        <w:rPr>
          <w:rFonts w:ascii="Arial" w:hAnsi="Arial"/>
          <w:color w:val="000000"/>
          <w:sz w:val="20"/>
        </w:rPr>
        <w:t xml:space="preserve">En cas d'ajournement, </w:t>
      </w:r>
      <w:r w:rsidR="00141B43" w:rsidRPr="0098166B">
        <w:rPr>
          <w:rFonts w:ascii="Arial" w:hAnsi="Arial"/>
          <w:color w:val="000000"/>
          <w:sz w:val="20"/>
        </w:rPr>
        <w:t>l</w:t>
      </w:r>
      <w:r w:rsidR="00524860" w:rsidRPr="0098166B">
        <w:rPr>
          <w:rFonts w:ascii="Arial" w:hAnsi="Arial"/>
          <w:color w:val="000000"/>
          <w:sz w:val="20"/>
        </w:rPr>
        <w:t>e titulaire a 10 jours ouvrés pour corriger. Le pouvoir adjudicateur dispose de 15 jours ouvrés pour donner son avis, après présentation par le titulaire des documents modifiés.</w:t>
      </w:r>
    </w:p>
    <w:p w14:paraId="7E019342" w14:textId="77777777" w:rsidR="00D6547A" w:rsidRDefault="00A26315">
      <w:pPr>
        <w:pStyle w:val="Standard"/>
      </w:pPr>
      <w:r>
        <w:t>Les décisions prises alors par le représentant de la personne publique, conduisent soit :</w:t>
      </w:r>
    </w:p>
    <w:p w14:paraId="1D7B57EB" w14:textId="40E06DC0" w:rsidR="00D6547A" w:rsidRDefault="00A26315" w:rsidP="0098166B">
      <w:pPr>
        <w:pStyle w:val="Standard"/>
        <w:numPr>
          <w:ilvl w:val="0"/>
          <w:numId w:val="20"/>
        </w:numPr>
      </w:pPr>
      <w:proofErr w:type="gramStart"/>
      <w:r>
        <w:t>à</w:t>
      </w:r>
      <w:proofErr w:type="gramEnd"/>
      <w:r>
        <w:t xml:space="preserve"> une réception ;</w:t>
      </w:r>
    </w:p>
    <w:p w14:paraId="1FE89F79" w14:textId="7CDF3357" w:rsidR="00D6547A" w:rsidRDefault="00A26315" w:rsidP="0098166B">
      <w:pPr>
        <w:pStyle w:val="Standard"/>
        <w:numPr>
          <w:ilvl w:val="0"/>
          <w:numId w:val="20"/>
        </w:numPr>
      </w:pPr>
      <w:proofErr w:type="gramStart"/>
      <w:r>
        <w:t>à</w:t>
      </w:r>
      <w:proofErr w:type="gramEnd"/>
      <w:r>
        <w:t xml:space="preserve"> un rejet.</w:t>
      </w:r>
    </w:p>
    <w:p w14:paraId="7E39A178" w14:textId="77777777" w:rsidR="00386967" w:rsidRDefault="00386967" w:rsidP="0098166B">
      <w:pPr>
        <w:pStyle w:val="Standard"/>
        <w:ind w:left="720"/>
      </w:pPr>
    </w:p>
    <w:p w14:paraId="3A3ABB46" w14:textId="77777777" w:rsidR="00D6547A" w:rsidRDefault="00A26315">
      <w:pPr>
        <w:pStyle w:val="Standard"/>
      </w:pPr>
      <w:r>
        <w:t>En cas de rejet des prestations, le pouvoir adjudicateur se réserve la possibilité de résilier le marché.</w:t>
      </w:r>
    </w:p>
    <w:p w14:paraId="7A2F4FDB" w14:textId="77777777" w:rsidR="00D6547A" w:rsidRDefault="00A26315">
      <w:pPr>
        <w:pStyle w:val="Titre4"/>
      </w:pPr>
      <w:r>
        <w:t>Arrêt de l'exécution des prestations</w:t>
      </w:r>
    </w:p>
    <w:p w14:paraId="04178630" w14:textId="19C19395" w:rsidR="00D6547A" w:rsidRDefault="00A26315">
      <w:pPr>
        <w:pStyle w:val="Standard"/>
      </w:pPr>
      <w:r>
        <w:t xml:space="preserve">L'acheteur se réserve la possibilité d'arrêter l'exécution des prestations, dans les conditions </w:t>
      </w:r>
      <w:r w:rsidR="000D49FB">
        <w:t>prévues</w:t>
      </w:r>
      <w:r>
        <w:t xml:space="preserve"> à l'article 20 du CCAG-PI. Il notifie alors sa décision au titulaire, et selon un préavis de 30 jours. Cet arrêt ne saurait donner lieu à indemnité au profit du titulaire et entraîne la résiliation du marché. Le paiement est effectué au prorata des prestations exécutées.</w:t>
      </w:r>
    </w:p>
    <w:p w14:paraId="15839C35" w14:textId="77777777" w:rsidR="00D6547A" w:rsidRDefault="00A26315">
      <w:pPr>
        <w:pStyle w:val="Titre3"/>
      </w:pPr>
      <w:r>
        <w:t>Pénalités</w:t>
      </w:r>
    </w:p>
    <w:p w14:paraId="750C5CA4" w14:textId="77777777" w:rsidR="00D6547A" w:rsidRDefault="00A26315">
      <w:pPr>
        <w:pStyle w:val="Standard"/>
      </w:pPr>
      <w:r>
        <w:t>Tout manquement du titulaire à ses obligations peut donner lieu à pénalité.</w:t>
      </w:r>
    </w:p>
    <w:p w14:paraId="764AF30A" w14:textId="77777777" w:rsidR="00D6547A" w:rsidRDefault="00A26315">
      <w:pPr>
        <w:pStyle w:val="Standard"/>
      </w:pPr>
      <w:r>
        <w:t>Les pénalités sont applicables de plein droit, sans mise en demeure préalable.</w:t>
      </w:r>
    </w:p>
    <w:p w14:paraId="345AC364" w14:textId="77777777" w:rsidR="00D6547A" w:rsidRDefault="00A26315">
      <w:pPr>
        <w:pStyle w:val="Standard"/>
      </w:pPr>
      <w:r>
        <w:t>Les pénalités ne présentent aucun caractère libératoire. Le titulaire est donc intégralement redevable de ses obligations contractuelles et notamment des prestations dont l'inexécution a donné lieu à l'application de pénalités. Il ne saurait se considérer comme libéré de son obligation, du fait du paiement desdites pénalités.</w:t>
      </w:r>
    </w:p>
    <w:p w14:paraId="19069771" w14:textId="77777777" w:rsidR="00D6547A" w:rsidRDefault="00A26315">
      <w:pPr>
        <w:pStyle w:val="Standard"/>
      </w:pPr>
      <w:r>
        <w:lastRenderedPageBreak/>
        <w:t>L'application de pénalités est effectuée sans préjudice de la faculté de la personne publique de prononcer toute autre sanction contractuelle et notamment de faire réaliser tout ou partie du marché aux frais et risques du titulaire.</w:t>
      </w:r>
    </w:p>
    <w:p w14:paraId="2CEC81CD" w14:textId="77777777" w:rsidR="00D6547A" w:rsidRDefault="00A26315">
      <w:pPr>
        <w:pStyle w:val="Standard"/>
      </w:pPr>
      <w:r>
        <w:t>Les pénalités peuvent être précomptées sur les acomptes versés au titulaire tout au long de l'exécution des prestations, lors de l'établissement des états d'acomptes, ou constituer un élément du décompte général.</w:t>
      </w:r>
    </w:p>
    <w:p w14:paraId="083C4E59" w14:textId="77777777" w:rsidR="00D6547A" w:rsidRDefault="00A26315">
      <w:pPr>
        <w:pStyle w:val="Titre4"/>
      </w:pPr>
      <w:r>
        <w:t>Pénalités liées à l'exécution des prestations</w:t>
      </w:r>
    </w:p>
    <w:p w14:paraId="0C965AA4" w14:textId="77777777" w:rsidR="00D6547A" w:rsidRDefault="00D6547A">
      <w:pPr>
        <w:pStyle w:val="Standard"/>
      </w:pPr>
    </w:p>
    <w:p w14:paraId="2A55709A" w14:textId="258D1900" w:rsidR="000F54B5" w:rsidRDefault="000F54B5">
      <w:pPr>
        <w:pStyle w:val="Standard"/>
      </w:pPr>
      <w:r w:rsidRPr="000F54B5">
        <w:t>Pénalité pour non-respect de la composition des équipes lors des remises en concurrence</w:t>
      </w:r>
    </w:p>
    <w:p w14:paraId="31DF86A3" w14:textId="51F8135A" w:rsidR="000F54B5" w:rsidRDefault="000F54B5" w:rsidP="000F54B5">
      <w:pPr>
        <w:pStyle w:val="Standard"/>
        <w:rPr>
          <w:b/>
        </w:rPr>
      </w:pPr>
      <w:r>
        <w:rPr>
          <w:b/>
        </w:rPr>
        <w:t xml:space="preserve">Conformément à l’accord-cadre </w:t>
      </w:r>
      <w:r w:rsidR="002D7716">
        <w:rPr>
          <w:b/>
        </w:rPr>
        <w:t>25</w:t>
      </w:r>
      <w:r>
        <w:rPr>
          <w:b/>
        </w:rPr>
        <w:t>-</w:t>
      </w:r>
      <w:r w:rsidR="002D7716">
        <w:rPr>
          <w:b/>
        </w:rPr>
        <w:t>01</w:t>
      </w:r>
      <w:r>
        <w:rPr>
          <w:b/>
        </w:rPr>
        <w:t>-Devolution</w:t>
      </w:r>
      <w:r w:rsidRPr="003763D2">
        <w:rPr>
          <w:b/>
        </w:rPr>
        <w:t xml:space="preserve"> </w:t>
      </w:r>
    </w:p>
    <w:p w14:paraId="3104D0B8" w14:textId="77777777" w:rsidR="000F54B5" w:rsidRDefault="000F54B5">
      <w:pPr>
        <w:pStyle w:val="Standard"/>
      </w:pPr>
    </w:p>
    <w:p w14:paraId="7F2002CA" w14:textId="77777777" w:rsidR="00D6547A" w:rsidRDefault="00A26315">
      <w:pPr>
        <w:pStyle w:val="Standard"/>
      </w:pPr>
      <w:r>
        <w:t>Pénalités de retard :</w:t>
      </w:r>
    </w:p>
    <w:p w14:paraId="79F1F485" w14:textId="3386203F" w:rsidR="00C53816" w:rsidRDefault="00C53816" w:rsidP="0098166B">
      <w:pPr>
        <w:pStyle w:val="Standard"/>
        <w:rPr>
          <w:b/>
        </w:rPr>
      </w:pPr>
      <w:r>
        <w:rPr>
          <w:b/>
        </w:rPr>
        <w:t xml:space="preserve">Conformément à l’accord-cadre </w:t>
      </w:r>
      <w:r w:rsidR="002D7716">
        <w:rPr>
          <w:b/>
        </w:rPr>
        <w:t>25</w:t>
      </w:r>
      <w:r>
        <w:rPr>
          <w:b/>
        </w:rPr>
        <w:t>-</w:t>
      </w:r>
      <w:r w:rsidR="002D7716">
        <w:rPr>
          <w:b/>
        </w:rPr>
        <w:t>01</w:t>
      </w:r>
      <w:r>
        <w:rPr>
          <w:b/>
        </w:rPr>
        <w:t>-Devolution</w:t>
      </w:r>
      <w:r w:rsidRPr="003763D2">
        <w:rPr>
          <w:b/>
        </w:rPr>
        <w:t xml:space="preserve"> </w:t>
      </w:r>
    </w:p>
    <w:p w14:paraId="59E67DAA" w14:textId="11ECC240" w:rsidR="00386967" w:rsidRDefault="00386967" w:rsidP="0098166B">
      <w:pPr>
        <w:pStyle w:val="Standard"/>
        <w:rPr>
          <w:u w:val="single"/>
        </w:rPr>
      </w:pPr>
    </w:p>
    <w:p w14:paraId="2744DEA0" w14:textId="77777777" w:rsidR="00D6547A" w:rsidRDefault="00A26315" w:rsidP="0098166B">
      <w:pPr>
        <w:pStyle w:val="Standard"/>
      </w:pPr>
      <w:r>
        <w:t xml:space="preserve">Pénalités pour sanctionner </w:t>
      </w:r>
      <w:proofErr w:type="gramStart"/>
      <w:r>
        <w:t>la non atteinte</w:t>
      </w:r>
      <w:proofErr w:type="gramEnd"/>
      <w:r>
        <w:t xml:space="preserve"> des objectifs prévus au marché :</w:t>
      </w:r>
    </w:p>
    <w:p w14:paraId="181D5C5F" w14:textId="1416D67E" w:rsidR="00D6547A" w:rsidRPr="0098166B" w:rsidRDefault="005B52AA" w:rsidP="0098166B">
      <w:pPr>
        <w:pStyle w:val="Standard"/>
        <w:rPr>
          <w:b/>
        </w:rPr>
      </w:pPr>
      <w:r>
        <w:rPr>
          <w:b/>
        </w:rPr>
        <w:t>C</w:t>
      </w:r>
      <w:r w:rsidR="005D4E7F">
        <w:rPr>
          <w:b/>
        </w:rPr>
        <w:t>onformément</w:t>
      </w:r>
      <w:r>
        <w:rPr>
          <w:b/>
        </w:rPr>
        <w:t xml:space="preserve"> à </w:t>
      </w:r>
      <w:r w:rsidR="00933767">
        <w:rPr>
          <w:b/>
        </w:rPr>
        <w:t xml:space="preserve">l’accord-cadre </w:t>
      </w:r>
      <w:r w:rsidR="002D7716">
        <w:rPr>
          <w:b/>
        </w:rPr>
        <w:t>25</w:t>
      </w:r>
      <w:r w:rsidR="00933767">
        <w:rPr>
          <w:b/>
        </w:rPr>
        <w:t>-</w:t>
      </w:r>
      <w:r w:rsidR="002D7716">
        <w:rPr>
          <w:b/>
        </w:rPr>
        <w:t>01</w:t>
      </w:r>
      <w:r w:rsidR="00933767">
        <w:rPr>
          <w:b/>
        </w:rPr>
        <w:t>-Devolution</w:t>
      </w:r>
      <w:r w:rsidR="007805EB" w:rsidRPr="0098166B">
        <w:rPr>
          <w:b/>
        </w:rPr>
        <w:t xml:space="preserve"> OU</w:t>
      </w:r>
      <w:r w:rsidR="007805EB" w:rsidRPr="0098166B">
        <w:rPr>
          <w:b/>
          <w:u w:val="single"/>
        </w:rPr>
        <w:t xml:space="preserve"> </w:t>
      </w:r>
      <w:r w:rsidR="007805EB" w:rsidRPr="0098166B">
        <w:rPr>
          <w:b/>
        </w:rPr>
        <w:t>A COMPLETER</w:t>
      </w:r>
    </w:p>
    <w:p w14:paraId="22FA71D6" w14:textId="77777777" w:rsidR="004E23AA" w:rsidRDefault="004E23AA" w:rsidP="0098166B">
      <w:pPr>
        <w:pStyle w:val="Standard"/>
        <w:rPr>
          <w:u w:val="single"/>
        </w:rPr>
      </w:pPr>
    </w:p>
    <w:p w14:paraId="396D5D7D" w14:textId="77777777" w:rsidR="00D6547A" w:rsidRDefault="00A26315" w:rsidP="0098166B">
      <w:pPr>
        <w:pStyle w:val="Standard"/>
      </w:pPr>
      <w:r>
        <w:t xml:space="preserve">Pénalités pour sanctionner le </w:t>
      </w:r>
      <w:proofErr w:type="spellStart"/>
      <w:r>
        <w:t>non respect</w:t>
      </w:r>
      <w:proofErr w:type="spellEnd"/>
      <w:r>
        <w:t xml:space="preserve"> des obligations de moyens prévus au marché :</w:t>
      </w:r>
    </w:p>
    <w:p w14:paraId="210A4DBD" w14:textId="7038DBC9" w:rsidR="007805EB" w:rsidRPr="0098166B" w:rsidRDefault="004E23AA" w:rsidP="0098166B">
      <w:pPr>
        <w:pStyle w:val="Standard"/>
        <w:rPr>
          <w:b/>
          <w:u w:val="single"/>
        </w:rPr>
      </w:pPr>
      <w:r w:rsidRPr="0098166B">
        <w:rPr>
          <w:b/>
        </w:rPr>
        <w:t>(</w:t>
      </w:r>
      <w:r w:rsidR="007805EB" w:rsidRPr="0098166B">
        <w:rPr>
          <w:b/>
        </w:rPr>
        <w:t>A COMPLETER</w:t>
      </w:r>
      <w:r w:rsidRPr="0098166B">
        <w:rPr>
          <w:b/>
        </w:rPr>
        <w:t>)</w:t>
      </w:r>
    </w:p>
    <w:p w14:paraId="33A847FF" w14:textId="5E2ADBEE" w:rsidR="00D6547A" w:rsidRDefault="00D6547A" w:rsidP="0098166B">
      <w:pPr>
        <w:pStyle w:val="Standard"/>
      </w:pPr>
    </w:p>
    <w:p w14:paraId="59DED555" w14:textId="77777777" w:rsidR="00D6547A" w:rsidRDefault="00A26315" w:rsidP="0098166B">
      <w:pPr>
        <w:pStyle w:val="Standard"/>
      </w:pPr>
      <w:r>
        <w:t>Pénalités pour sanctionner le retard dans la transmission des livrables :</w:t>
      </w:r>
    </w:p>
    <w:p w14:paraId="3DFFC117" w14:textId="77777777" w:rsidR="004E23AA" w:rsidRPr="00CE0011" w:rsidRDefault="004E23AA" w:rsidP="004E23AA">
      <w:pPr>
        <w:pStyle w:val="Standard"/>
        <w:rPr>
          <w:b/>
          <w:u w:val="single"/>
        </w:rPr>
      </w:pPr>
      <w:r w:rsidRPr="00CE0011">
        <w:rPr>
          <w:b/>
        </w:rPr>
        <w:t>(A COMPLETER)</w:t>
      </w:r>
    </w:p>
    <w:p w14:paraId="421B245B" w14:textId="77777777" w:rsidR="00D6547A" w:rsidRDefault="00D6547A" w:rsidP="0098166B">
      <w:pPr>
        <w:pStyle w:val="Standard"/>
      </w:pPr>
    </w:p>
    <w:p w14:paraId="264E970B" w14:textId="77777777" w:rsidR="00D6547A" w:rsidRDefault="00A26315">
      <w:pPr>
        <w:pStyle w:val="Titre4"/>
      </w:pPr>
      <w:r>
        <w:t>Pénalités liées à des obligations administratives</w:t>
      </w:r>
    </w:p>
    <w:p w14:paraId="22A81875" w14:textId="252EBCAB" w:rsidR="005C290E" w:rsidRDefault="005C290E" w:rsidP="005C290E">
      <w:pPr>
        <w:pStyle w:val="Standard"/>
      </w:pPr>
      <w:r>
        <w:t xml:space="preserve">Conformément à l’accord-cadre </w:t>
      </w:r>
      <w:bookmarkStart w:id="12" w:name="_Hlk187743201"/>
      <w:r w:rsidR="002D7716">
        <w:t>25</w:t>
      </w:r>
      <w:r>
        <w:t>-0</w:t>
      </w:r>
      <w:r w:rsidR="002D7716">
        <w:t>1</w:t>
      </w:r>
      <w:r>
        <w:t>-Devolution</w:t>
      </w:r>
      <w:bookmarkEnd w:id="12"/>
      <w:r>
        <w:t>.</w:t>
      </w:r>
    </w:p>
    <w:p w14:paraId="420A20BB" w14:textId="77777777" w:rsidR="00D6547A" w:rsidRDefault="00A26315">
      <w:pPr>
        <w:pStyle w:val="Titre4"/>
      </w:pPr>
      <w:r>
        <w:t>Plafonnement des pénalités</w:t>
      </w:r>
    </w:p>
    <w:p w14:paraId="19967044" w14:textId="5C7E4F13" w:rsidR="00D6547A" w:rsidRDefault="00A26315">
      <w:pPr>
        <w:pStyle w:val="Standard"/>
      </w:pPr>
      <w:r>
        <w:t xml:space="preserve">Le montant total des pénalités encourues est plafonné à </w:t>
      </w:r>
      <w:r>
        <w:rPr>
          <w:b/>
        </w:rPr>
        <w:t>A COMPLETER</w:t>
      </w:r>
      <w:r>
        <w:t xml:space="preserve"> % de la valeur des prestations</w:t>
      </w:r>
      <w:r w:rsidR="003678EC">
        <w:t>.</w:t>
      </w:r>
    </w:p>
    <w:p w14:paraId="576D907E" w14:textId="77777777" w:rsidR="00D6547A" w:rsidRDefault="00A26315">
      <w:pPr>
        <w:pStyle w:val="Titre4"/>
      </w:pPr>
      <w:r>
        <w:t>Seuil d'exonération des pénalités</w:t>
      </w:r>
    </w:p>
    <w:p w14:paraId="214D23F7" w14:textId="70B1390C" w:rsidR="00D6547A" w:rsidRDefault="00A26315">
      <w:pPr>
        <w:pStyle w:val="Standard"/>
      </w:pPr>
      <w:r>
        <w:t xml:space="preserve">Le seuil d'exonération des pénalités est fixé à </w:t>
      </w:r>
      <w:r>
        <w:rPr>
          <w:b/>
        </w:rPr>
        <w:t>(A COMPLETER</w:t>
      </w:r>
      <w:r w:rsidR="00386967">
        <w:rPr>
          <w:b/>
        </w:rPr>
        <w:t>, facultatif</w:t>
      </w:r>
      <w:r>
        <w:rPr>
          <w:b/>
        </w:rPr>
        <w:t>)</w:t>
      </w:r>
      <w:r>
        <w:t>.</w:t>
      </w:r>
    </w:p>
    <w:p w14:paraId="1AF11761" w14:textId="77777777" w:rsidR="00FB2426" w:rsidRDefault="00FB2426">
      <w:pPr>
        <w:pStyle w:val="Standard"/>
      </w:pPr>
    </w:p>
    <w:p w14:paraId="27698DAE" w14:textId="00FA1175" w:rsidR="00D6547A" w:rsidRDefault="00A26315">
      <w:pPr>
        <w:pStyle w:val="Titre2"/>
      </w:pPr>
      <w:bookmarkStart w:id="13" w:name="_Toc15656162"/>
      <w:r>
        <w:t>Régime financier</w:t>
      </w:r>
      <w:bookmarkEnd w:id="13"/>
    </w:p>
    <w:p w14:paraId="176D029D" w14:textId="77777777" w:rsidR="00D6547A" w:rsidRDefault="00A26315">
      <w:pPr>
        <w:pStyle w:val="Titre3"/>
      </w:pPr>
      <w:r>
        <w:t>Forme et contenu des prix</w:t>
      </w:r>
    </w:p>
    <w:p w14:paraId="4C09EF91" w14:textId="7E46607A" w:rsidR="00D6547A" w:rsidRDefault="00A26315" w:rsidP="005B52AA">
      <w:pPr>
        <w:pStyle w:val="Standard"/>
      </w:pPr>
      <w:r>
        <w:t xml:space="preserve">Les prestations seront rémunérées suivant la forme de prix </w:t>
      </w:r>
      <w:r w:rsidR="00521DE8">
        <w:t>fixée dans l’</w:t>
      </w:r>
      <w:r w:rsidR="00FD7506">
        <w:t>accord-cadre</w:t>
      </w:r>
      <w:r w:rsidR="00AF5354">
        <w:t xml:space="preserve"> </w:t>
      </w:r>
      <w:r w:rsidR="002D7716">
        <w:t>25</w:t>
      </w:r>
      <w:r w:rsidR="00CA22B3">
        <w:t>-</w:t>
      </w:r>
      <w:r w:rsidR="002D7716">
        <w:t>01</w:t>
      </w:r>
      <w:r w:rsidR="00CA22B3">
        <w:t>-Dévolution</w:t>
      </w:r>
      <w:r w:rsidR="00FD7506">
        <w:t xml:space="preserve"> </w:t>
      </w:r>
      <w:r w:rsidR="00AF5354">
        <w:t>éventuellement précisée dans l’offre présentée pour l’attribution du présent marché subséquent.</w:t>
      </w:r>
    </w:p>
    <w:p w14:paraId="34385FCC" w14:textId="77777777" w:rsidR="00D6547A" w:rsidRDefault="00A26315">
      <w:pPr>
        <w:pStyle w:val="Titre3"/>
      </w:pPr>
      <w:r>
        <w:t>Variation des prix</w:t>
      </w:r>
    </w:p>
    <w:p w14:paraId="71BFF1F1" w14:textId="2080B28B" w:rsidR="00D6547A" w:rsidRDefault="00A064E9">
      <w:pPr>
        <w:pStyle w:val="Standard"/>
      </w:pPr>
      <w:r>
        <w:t>Sans objet</w:t>
      </w:r>
    </w:p>
    <w:p w14:paraId="6BB1ACC6" w14:textId="77777777" w:rsidR="00D6547A" w:rsidRDefault="00A26315">
      <w:pPr>
        <w:pStyle w:val="Titre3"/>
      </w:pPr>
      <w:r>
        <w:t>Avances</w:t>
      </w:r>
    </w:p>
    <w:p w14:paraId="1A3E1C72" w14:textId="1C5EC18E" w:rsidR="00D6547A" w:rsidRDefault="00A26315">
      <w:pPr>
        <w:pStyle w:val="Standard"/>
      </w:pPr>
      <w:r>
        <w:t xml:space="preserve"> Pour chaque commande d'un montant supérieur à 50 000 euros HT et d'une durée d'exécution supérieure à deux mois, une avance égale à 5 % du montant </w:t>
      </w:r>
      <w:r w:rsidR="005C290E">
        <w:t>de la co</w:t>
      </w:r>
      <w:r>
        <w:t xml:space="preserve">mmande pourra être versée si la durée prévue pour l'exécution de celui-ci est inférieure ou égale à douze mois. Si cette durée est supérieure à douze mois, l'avance est égale à 5 % d'une somme égale à douze fois le montant </w:t>
      </w:r>
      <w:r w:rsidR="005C290E">
        <w:t>de la</w:t>
      </w:r>
      <w:r>
        <w:t xml:space="preserve"> commande divisé par la durée prévue pour l'exécution de celui-ci exprimée en mois.</w:t>
      </w:r>
    </w:p>
    <w:p w14:paraId="5BD60646" w14:textId="77777777" w:rsidR="00D6547A" w:rsidRDefault="00A26315">
      <w:pPr>
        <w:pStyle w:val="Standard"/>
      </w:pPr>
      <w:r>
        <w:lastRenderedPageBreak/>
        <w:t>Le montant de l'avance ne peut être affecté par la mise en œuvre d'une clause de variation de prix.</w:t>
      </w:r>
    </w:p>
    <w:p w14:paraId="3CBB827F" w14:textId="7A3414C3" w:rsidR="00D6547A" w:rsidRDefault="00A26315">
      <w:pPr>
        <w:pStyle w:val="Standard"/>
      </w:pPr>
      <w:r>
        <w:t xml:space="preserve">Le délai de versement de l'avance court à compter de à compter de </w:t>
      </w:r>
      <w:proofErr w:type="gramStart"/>
      <w:r>
        <w:t>la  commande</w:t>
      </w:r>
      <w:proofErr w:type="gramEnd"/>
      <w:r>
        <w:t>.</w:t>
      </w:r>
    </w:p>
    <w:p w14:paraId="008A1E87" w14:textId="3B0D752D" w:rsidR="00D6547A" w:rsidRDefault="00A26315">
      <w:pPr>
        <w:pStyle w:val="Standard"/>
      </w:pPr>
      <w:r>
        <w:t xml:space="preserve">Le remboursement de l'avance est effectué selon les modalités </w:t>
      </w:r>
      <w:r w:rsidR="00F1174B">
        <w:t>des articles R.2191-11 et suivants du Code de la commande publique.</w:t>
      </w:r>
    </w:p>
    <w:p w14:paraId="4DC1D318" w14:textId="77777777" w:rsidR="00D6547A" w:rsidRDefault="00A26315">
      <w:pPr>
        <w:pStyle w:val="Titre3"/>
      </w:pPr>
      <w:r>
        <w:t>Modalités financières</w:t>
      </w:r>
    </w:p>
    <w:p w14:paraId="1FCC2673" w14:textId="77777777" w:rsidR="00D6547A" w:rsidRDefault="00A26315">
      <w:pPr>
        <w:pStyle w:val="Titre4"/>
      </w:pPr>
      <w:r>
        <w:t>Répartition des paiements</w:t>
      </w:r>
    </w:p>
    <w:p w14:paraId="75EBC9D7" w14:textId="0E550E66" w:rsidR="00D6547A" w:rsidRDefault="00A26315">
      <w:pPr>
        <w:pStyle w:val="Standard"/>
      </w:pPr>
      <w:r>
        <w:t>La périodicité des acomptes est fixée à trois mois.</w:t>
      </w:r>
    </w:p>
    <w:p w14:paraId="71AB228E" w14:textId="1D72334F" w:rsidR="00D6547A" w:rsidRDefault="00A26315">
      <w:pPr>
        <w:pStyle w:val="Standard"/>
      </w:pPr>
      <w:r>
        <w:t xml:space="preserve">La demande d'acompte et son versement s'effectuent dans le cadre </w:t>
      </w:r>
      <w:r w:rsidR="00F1174B">
        <w:t>des articles R.2191-21 et 22 du Code de la commande publique</w:t>
      </w:r>
      <w:r>
        <w:t xml:space="preserve"> sur la base des prestations effectuées. Les demandes d'acomptes et le solde sont justifiés à partir du constat du service fait.</w:t>
      </w:r>
    </w:p>
    <w:p w14:paraId="4D599FB1" w14:textId="77777777" w:rsidR="00D6547A" w:rsidRDefault="00A26315">
      <w:pPr>
        <w:pStyle w:val="Standard"/>
      </w:pPr>
      <w:r>
        <w:t>Le paiement des acomptes n'a pas de caractère définitif.</w:t>
      </w:r>
    </w:p>
    <w:p w14:paraId="025017C1" w14:textId="77777777" w:rsidR="00D6547A" w:rsidRDefault="00A26315">
      <w:pPr>
        <w:pStyle w:val="Titre4"/>
      </w:pPr>
      <w:r>
        <w:t>Retenue de garantie et cautionnement</w:t>
      </w:r>
    </w:p>
    <w:p w14:paraId="55AC0168" w14:textId="41271C6A" w:rsidR="00D6547A" w:rsidRDefault="00A26315">
      <w:pPr>
        <w:pStyle w:val="Standard"/>
      </w:pPr>
      <w:r>
        <w:t>Il n'est pas pratiqué de retenue de garantie.</w:t>
      </w:r>
    </w:p>
    <w:p w14:paraId="42BED8C3" w14:textId="1479E9A0" w:rsidR="00D6547A" w:rsidRDefault="00A26315">
      <w:pPr>
        <w:pStyle w:val="Standard"/>
      </w:pPr>
      <w:r>
        <w:t xml:space="preserve">Le marché peut être cédé ou nanti dans les conditions prévues aux articles </w:t>
      </w:r>
      <w:r w:rsidR="00165E33">
        <w:t>R.2191-45 à 63 du Code de la commande publique.</w:t>
      </w:r>
    </w:p>
    <w:p w14:paraId="2E8E837D" w14:textId="77777777" w:rsidR="00D6547A" w:rsidRDefault="00A26315">
      <w:pPr>
        <w:pStyle w:val="Titre4"/>
      </w:pPr>
      <w:r>
        <w:t>Intérêts moratoires</w:t>
      </w:r>
    </w:p>
    <w:p w14:paraId="6A84F9E1" w14:textId="3FEAA6DB" w:rsidR="005D4E7F" w:rsidRPr="0098166B" w:rsidRDefault="005D4E7F" w:rsidP="0098166B">
      <w:pPr>
        <w:pStyle w:val="Standard"/>
        <w:rPr>
          <w:i/>
          <w:iCs/>
          <w:sz w:val="24"/>
        </w:rPr>
      </w:pPr>
      <w:r w:rsidRPr="0098166B">
        <w:t xml:space="preserve">Conformément à </w:t>
      </w:r>
      <w:r w:rsidR="00933767">
        <w:t xml:space="preserve">l’accord-cadre </w:t>
      </w:r>
      <w:r w:rsidR="002D7716" w:rsidRPr="002D7716">
        <w:t>25-01-Devolution</w:t>
      </w:r>
      <w:r>
        <w:t>.</w:t>
      </w:r>
    </w:p>
    <w:p w14:paraId="379226E1" w14:textId="77777777" w:rsidR="00D6547A" w:rsidRDefault="00A26315" w:rsidP="0098166B">
      <w:pPr>
        <w:pStyle w:val="Titre4"/>
      </w:pPr>
      <w:r>
        <w:t>Modalités de facturation</w:t>
      </w:r>
    </w:p>
    <w:p w14:paraId="7CEA52E9" w14:textId="494ECD9A" w:rsidR="00D6547A" w:rsidRDefault="005D4E7F">
      <w:pPr>
        <w:pStyle w:val="Standard"/>
      </w:pPr>
      <w:r w:rsidRPr="00CE0011">
        <w:t xml:space="preserve">Conformément à </w:t>
      </w:r>
      <w:r w:rsidR="00933767">
        <w:t xml:space="preserve">l’accord-cadre </w:t>
      </w:r>
      <w:r w:rsidR="002D7716" w:rsidRPr="002D7716">
        <w:t>25-01-Devolution</w:t>
      </w:r>
      <w:r w:rsidRPr="00CE0011">
        <w:t>.</w:t>
      </w:r>
    </w:p>
    <w:p w14:paraId="5959F4A1" w14:textId="77777777" w:rsidR="00D6547A" w:rsidRDefault="00A26315">
      <w:pPr>
        <w:pStyle w:val="Titre4"/>
      </w:pPr>
      <w:r>
        <w:t>Mentions obligatoires</w:t>
      </w:r>
    </w:p>
    <w:p w14:paraId="6B0AA717" w14:textId="77777777" w:rsidR="00D6547A" w:rsidRDefault="00A26315">
      <w:pPr>
        <w:pStyle w:val="Standard"/>
      </w:pPr>
      <w:r>
        <w:t>Les factures comportent les mentions obligatoires, conformément à l'article 242 nonies A de l'annexe II du code général des impôts et au décret n°2016-1478 du 2 novembre 2016 relatif au développement de la facturation électronique.</w:t>
      </w:r>
    </w:p>
    <w:p w14:paraId="12B91F0F" w14:textId="77777777" w:rsidR="00D6547A" w:rsidRDefault="00A26315">
      <w:pPr>
        <w:pStyle w:val="Standard"/>
      </w:pPr>
      <w:r>
        <w:t>Les factures comportent notamment les mentions suivantes :</w:t>
      </w:r>
    </w:p>
    <w:p w14:paraId="3B2DB89E" w14:textId="77777777" w:rsidR="005C290E" w:rsidRDefault="005C290E" w:rsidP="005C290E">
      <w:pPr>
        <w:pStyle w:val="Standard"/>
        <w:numPr>
          <w:ilvl w:val="0"/>
          <w:numId w:val="21"/>
        </w:numPr>
      </w:pPr>
      <w:proofErr w:type="gramStart"/>
      <w:r>
        <w:t>le</w:t>
      </w:r>
      <w:proofErr w:type="gramEnd"/>
      <w:r>
        <w:t xml:space="preserve"> code du service exécutant</w:t>
      </w:r>
    </w:p>
    <w:p w14:paraId="64106275" w14:textId="77777777" w:rsidR="005C290E" w:rsidRDefault="005C290E" w:rsidP="005C290E">
      <w:pPr>
        <w:pStyle w:val="Standard"/>
        <w:numPr>
          <w:ilvl w:val="0"/>
          <w:numId w:val="21"/>
        </w:numPr>
      </w:pPr>
      <w:proofErr w:type="gramStart"/>
      <w:r>
        <w:t>le</w:t>
      </w:r>
      <w:proofErr w:type="gramEnd"/>
      <w:r>
        <w:t xml:space="preserve"> numéro du bon de commande</w:t>
      </w:r>
    </w:p>
    <w:p w14:paraId="639E1345" w14:textId="5F10E663" w:rsidR="005C290E" w:rsidRDefault="005C290E" w:rsidP="005C290E">
      <w:pPr>
        <w:pStyle w:val="Standard"/>
        <w:numPr>
          <w:ilvl w:val="0"/>
          <w:numId w:val="21"/>
        </w:numPr>
      </w:pPr>
      <w:proofErr w:type="gramStart"/>
      <w:r>
        <w:t>la</w:t>
      </w:r>
      <w:proofErr w:type="gramEnd"/>
      <w:r>
        <w:t xml:space="preserve"> référence de l’accord-cadre </w:t>
      </w:r>
      <w:r w:rsidR="002D7716" w:rsidRPr="002D7716">
        <w:t>25-01-Devolution</w:t>
      </w:r>
    </w:p>
    <w:p w14:paraId="42562611" w14:textId="77777777" w:rsidR="005C290E" w:rsidRDefault="005C290E" w:rsidP="005C290E">
      <w:pPr>
        <w:pStyle w:val="Standard"/>
        <w:numPr>
          <w:ilvl w:val="0"/>
          <w:numId w:val="21"/>
        </w:numPr>
      </w:pPr>
      <w:r>
        <w:t>Le numéro du lot</w:t>
      </w:r>
    </w:p>
    <w:p w14:paraId="7DFF3882" w14:textId="77777777" w:rsidR="005C290E" w:rsidRDefault="005C290E" w:rsidP="005C290E">
      <w:pPr>
        <w:pStyle w:val="Standard"/>
        <w:numPr>
          <w:ilvl w:val="0"/>
          <w:numId w:val="21"/>
        </w:numPr>
      </w:pPr>
      <w:proofErr w:type="gramStart"/>
      <w:r>
        <w:t>la</w:t>
      </w:r>
      <w:proofErr w:type="gramEnd"/>
      <w:r>
        <w:t xml:space="preserve"> référence du marché-subséquent</w:t>
      </w:r>
    </w:p>
    <w:p w14:paraId="2F6FA43D" w14:textId="77777777" w:rsidR="00D6547A" w:rsidRDefault="00D6547A">
      <w:pPr>
        <w:pStyle w:val="Standard"/>
      </w:pPr>
    </w:p>
    <w:p w14:paraId="38F4BD46" w14:textId="77777777" w:rsidR="00D6547A" w:rsidRPr="00B00505" w:rsidRDefault="00A26315">
      <w:pPr>
        <w:pStyle w:val="Titre4"/>
      </w:pPr>
      <w:r w:rsidRPr="00B00505">
        <w:t>Transmission des factures</w:t>
      </w:r>
    </w:p>
    <w:p w14:paraId="2F3C69D6" w14:textId="5B24B4F2" w:rsidR="00D6547A" w:rsidRDefault="00A26315" w:rsidP="00B00505">
      <w:pPr>
        <w:pStyle w:val="Standard"/>
      </w:pPr>
      <w:r>
        <w:t>La transmission des factures s'effectue conformément aux dispositions </w:t>
      </w:r>
      <w:r w:rsidR="00B00505">
        <w:t xml:space="preserve">des articles L2192-1 L2192-7 du Code de la commande publique et des dispositions </w:t>
      </w:r>
      <w:r>
        <w:t>de l'arrêté du 9 décembre 2016 relatif au développement de la facturation électronique</w:t>
      </w:r>
    </w:p>
    <w:p w14:paraId="3BB4F109" w14:textId="77777777" w:rsidR="00D6547A" w:rsidRDefault="00D6547A">
      <w:pPr>
        <w:pStyle w:val="Standard"/>
      </w:pPr>
    </w:p>
    <w:p w14:paraId="278FCC40" w14:textId="77777777" w:rsidR="00D6547A" w:rsidRDefault="00A26315">
      <w:pPr>
        <w:pStyle w:val="Standard"/>
      </w:pPr>
      <w:r>
        <w:t>Le titulaire a le choix entre plusieurs modes de transmission des factures :</w:t>
      </w:r>
    </w:p>
    <w:p w14:paraId="08870366" w14:textId="77777777" w:rsidR="006F1C71" w:rsidRDefault="006F1C71">
      <w:pPr>
        <w:pStyle w:val="Standard"/>
      </w:pPr>
    </w:p>
    <w:p w14:paraId="529B6EE4" w14:textId="7429997A" w:rsidR="00D6547A" w:rsidRPr="0098166B" w:rsidRDefault="00A26315" w:rsidP="0098166B">
      <w:pPr>
        <w:pStyle w:val="Standard"/>
        <w:numPr>
          <w:ilvl w:val="1"/>
          <w:numId w:val="25"/>
        </w:numPr>
        <w:ind w:left="993" w:firstLine="87"/>
        <w:rPr>
          <w:i/>
        </w:rPr>
      </w:pPr>
      <w:r w:rsidRPr="0098166B">
        <w:rPr>
          <w:i/>
        </w:rPr>
        <w:t>Envoyer ses factures par raccordement direct à la solution mutualisée ou à partir d'un système tiers :</w:t>
      </w:r>
    </w:p>
    <w:p w14:paraId="27709CFF" w14:textId="7AF1D9EC" w:rsidR="00D6547A" w:rsidRDefault="00A26315" w:rsidP="0098166B">
      <w:pPr>
        <w:pStyle w:val="Standard"/>
        <w:numPr>
          <w:ilvl w:val="0"/>
          <w:numId w:val="22"/>
        </w:numPr>
        <w:rPr>
          <w:b/>
        </w:rPr>
      </w:pPr>
      <w:proofErr w:type="gramStart"/>
      <w:r>
        <w:t>par</w:t>
      </w:r>
      <w:proofErr w:type="gramEnd"/>
      <w:r>
        <w:t xml:space="preserve"> transfert de fichier (en mode EDI – Echange de données informatisées) : Chorus Pro permet des échanges d'informations par flux issus des systèmes d'information des fournisseurs. L'émetteur de facture adresse ses flux soit directement à Chorus pro soit par l'intermédiaire d'un opérateur de dématérialisation</w:t>
      </w:r>
    </w:p>
    <w:p w14:paraId="2643B356" w14:textId="77777777" w:rsidR="00D6547A" w:rsidRDefault="00D6547A">
      <w:pPr>
        <w:pStyle w:val="Standard"/>
      </w:pPr>
    </w:p>
    <w:p w14:paraId="0E43B5C6" w14:textId="2B4235A3" w:rsidR="00D6547A" w:rsidRDefault="00A26315" w:rsidP="0098166B">
      <w:pPr>
        <w:pStyle w:val="Standard"/>
        <w:numPr>
          <w:ilvl w:val="0"/>
          <w:numId w:val="22"/>
        </w:numPr>
        <w:rPr>
          <w:b/>
        </w:rPr>
      </w:pPr>
      <w:proofErr w:type="gramStart"/>
      <w:r>
        <w:t>en</w:t>
      </w:r>
      <w:proofErr w:type="gramEnd"/>
      <w:r>
        <w:t xml:space="preserve"> utilisant des web services (en mode API - Application </w:t>
      </w:r>
      <w:proofErr w:type="spellStart"/>
      <w:r>
        <w:t>Programming</w:t>
      </w:r>
      <w:proofErr w:type="spellEnd"/>
      <w:r>
        <w:t xml:space="preserve"> Interface) : Chorus Pro offre l'ensemble de ses fonctionnalités sous forme de services intégrés dans un portail tiers (API/web service). L'émetteur de facture s'identifie via les API, et accède à l'ensemble des services de Chorus Pro comme par exemple le dépôt ou saisie de factures, le suivi du traitement des factures, l'adjonction et téléchargement de pièces complémentaires, etc.</w:t>
      </w:r>
    </w:p>
    <w:p w14:paraId="56A12400" w14:textId="77777777" w:rsidR="00D6547A" w:rsidRDefault="00D6547A">
      <w:pPr>
        <w:pStyle w:val="Standard"/>
      </w:pPr>
    </w:p>
    <w:p w14:paraId="7EEF013E" w14:textId="26106E48" w:rsidR="00D6547A" w:rsidRPr="0098166B" w:rsidRDefault="00A26315" w:rsidP="0098166B">
      <w:pPr>
        <w:pStyle w:val="Standard"/>
        <w:numPr>
          <w:ilvl w:val="1"/>
          <w:numId w:val="25"/>
        </w:numPr>
        <w:ind w:left="993" w:firstLine="87"/>
        <w:rPr>
          <w:i/>
        </w:rPr>
      </w:pPr>
      <w:r w:rsidRPr="0098166B">
        <w:rPr>
          <w:i/>
        </w:rPr>
        <w:t xml:space="preserve">Utiliser le portail Chorus Pro accessible par internet en se connectant à </w:t>
      </w:r>
      <w:proofErr w:type="gramStart"/>
      <w:r w:rsidRPr="0098166B">
        <w:rPr>
          <w:i/>
        </w:rPr>
        <w:t>l'URL  https://chorus-pro.gouv.fr</w:t>
      </w:r>
      <w:proofErr w:type="gramEnd"/>
      <w:r w:rsidRPr="0098166B">
        <w:rPr>
          <w:i/>
        </w:rPr>
        <w:t xml:space="preserve"> aux fins de </w:t>
      </w:r>
      <w:proofErr w:type="spellStart"/>
      <w:r w:rsidRPr="0098166B">
        <w:rPr>
          <w:i/>
        </w:rPr>
        <w:t>soit</w:t>
      </w:r>
      <w:proofErr w:type="spellEnd"/>
      <w:r w:rsidRPr="0098166B">
        <w:rPr>
          <w:i/>
        </w:rPr>
        <w:t> :</w:t>
      </w:r>
    </w:p>
    <w:p w14:paraId="320FA148" w14:textId="77777777" w:rsidR="00D6547A" w:rsidRDefault="00D6547A">
      <w:pPr>
        <w:pStyle w:val="Standard"/>
      </w:pPr>
    </w:p>
    <w:p w14:paraId="6D14DD2F" w14:textId="07156B7B" w:rsidR="00D6547A" w:rsidRDefault="00A26315" w:rsidP="0098166B">
      <w:pPr>
        <w:pStyle w:val="Standard"/>
        <w:numPr>
          <w:ilvl w:val="0"/>
          <w:numId w:val="23"/>
        </w:numPr>
      </w:pPr>
      <w:proofErr w:type="gramStart"/>
      <w:r>
        <w:t>déposer</w:t>
      </w:r>
      <w:proofErr w:type="gramEnd"/>
      <w:r>
        <w:t xml:space="preserve"> ses factures sur le portail ;</w:t>
      </w:r>
    </w:p>
    <w:p w14:paraId="54764AAF" w14:textId="5BC90E1F" w:rsidR="00D6547A" w:rsidRDefault="00A26315" w:rsidP="0098166B">
      <w:pPr>
        <w:pStyle w:val="Standard"/>
        <w:numPr>
          <w:ilvl w:val="0"/>
          <w:numId w:val="23"/>
        </w:numPr>
        <w:rPr>
          <w:b/>
        </w:rPr>
      </w:pPr>
      <w:proofErr w:type="gramStart"/>
      <w:r>
        <w:t>saisir</w:t>
      </w:r>
      <w:proofErr w:type="gramEnd"/>
      <w:r>
        <w:t xml:space="preserve"> directement ses factures ;</w:t>
      </w:r>
    </w:p>
    <w:p w14:paraId="591C0A18" w14:textId="77777777" w:rsidR="00D6547A" w:rsidRDefault="00D6547A">
      <w:pPr>
        <w:pStyle w:val="Standard"/>
      </w:pPr>
    </w:p>
    <w:p w14:paraId="3AC0797D" w14:textId="77777777" w:rsidR="006F1C71" w:rsidRDefault="00A26315" w:rsidP="0098166B">
      <w:pPr>
        <w:pStyle w:val="Standard"/>
        <w:numPr>
          <w:ilvl w:val="1"/>
          <w:numId w:val="25"/>
        </w:numPr>
        <w:ind w:left="993" w:firstLine="87"/>
      </w:pPr>
      <w:r w:rsidRPr="0098166B">
        <w:rPr>
          <w:i/>
        </w:rPr>
        <w:t>Préalables techniques et réglementaires</w:t>
      </w:r>
      <w:r>
        <w:t xml:space="preserve"> : </w:t>
      </w:r>
    </w:p>
    <w:p w14:paraId="26A8D05B" w14:textId="77777777" w:rsidR="006F1C71" w:rsidRDefault="006F1C71">
      <w:pPr>
        <w:pStyle w:val="Standard"/>
      </w:pPr>
    </w:p>
    <w:p w14:paraId="23BC117D" w14:textId="0501871B" w:rsidR="00D6547A" w:rsidRDefault="00A26315">
      <w:pPr>
        <w:pStyle w:val="Standard"/>
        <w:rPr>
          <w:b/>
        </w:rPr>
      </w:pPr>
      <w:r>
        <w:t>Pour connaître les conditions techniques (guide utilisateurs du portail, kit de raccordement technique et spécifications du format normalisé d'échange) et réglementaires dans lesquelles s'opère la dématérialisation des factures, le titulaire est invité à consulter le portail internet à l'adresse ci-dessous :</w:t>
      </w:r>
    </w:p>
    <w:p w14:paraId="00F7A8ED" w14:textId="0D4E3553" w:rsidR="00D6547A" w:rsidRDefault="007533D9">
      <w:pPr>
        <w:pStyle w:val="Standard"/>
      </w:pPr>
      <w:hyperlink r:id="rId8" w:history="1">
        <w:r w:rsidR="005C4A18" w:rsidRPr="003B5B2C">
          <w:rPr>
            <w:rStyle w:val="Lienhypertexte"/>
          </w:rPr>
          <w:t>https://communaute-chorus-pro.finances.gouv.fr/?action=publicPage&amp;uri=intranetOnePage/4003</w:t>
        </w:r>
      </w:hyperlink>
    </w:p>
    <w:p w14:paraId="38184EA3" w14:textId="77777777" w:rsidR="00D6547A" w:rsidRDefault="00A26315">
      <w:pPr>
        <w:pStyle w:val="Standard"/>
        <w:rPr>
          <w:b/>
        </w:rPr>
      </w:pPr>
      <w:proofErr w:type="gramStart"/>
      <w:r>
        <w:t>et</w:t>
      </w:r>
      <w:proofErr w:type="gramEnd"/>
    </w:p>
    <w:p w14:paraId="178D8215" w14:textId="227133DB" w:rsidR="00D6547A" w:rsidRDefault="007533D9">
      <w:pPr>
        <w:pStyle w:val="Standard"/>
      </w:pPr>
      <w:hyperlink r:id="rId9" w:history="1">
        <w:r w:rsidR="005C4A18" w:rsidRPr="003B5B2C">
          <w:rPr>
            <w:rStyle w:val="Lienhypertexte"/>
          </w:rPr>
          <w:t>https://communaute-chorus-pro.finances.gouv.fr/?action=publicPage&amp;uri=intranetOnePage/4210</w:t>
        </w:r>
      </w:hyperlink>
    </w:p>
    <w:p w14:paraId="2AC42DC8" w14:textId="77777777" w:rsidR="00D6547A" w:rsidRDefault="00D6547A">
      <w:pPr>
        <w:pStyle w:val="Standard"/>
      </w:pPr>
    </w:p>
    <w:p w14:paraId="431D1671" w14:textId="77777777" w:rsidR="00D6547A" w:rsidRDefault="00A26315">
      <w:pPr>
        <w:pStyle w:val="Standard"/>
        <w:rPr>
          <w:b/>
        </w:rPr>
      </w:pPr>
      <w:r>
        <w:t>Pour tout renseignement, le titulaire peut s'adresser à :</w:t>
      </w:r>
    </w:p>
    <w:p w14:paraId="4DF2BD26" w14:textId="77777777" w:rsidR="00D6547A" w:rsidRDefault="00A26315">
      <w:pPr>
        <w:pStyle w:val="Standard"/>
        <w:rPr>
          <w:b/>
        </w:rPr>
      </w:pPr>
      <w:r>
        <w:t>https://chorus-pro.gouv.fr/cpp/utilisateur?execution=e3s1 /</w:t>
      </w:r>
    </w:p>
    <w:p w14:paraId="744F3B4F" w14:textId="77777777" w:rsidR="00D6547A" w:rsidRDefault="00A26315">
      <w:pPr>
        <w:pStyle w:val="Standard"/>
        <w:rPr>
          <w:b/>
        </w:rPr>
      </w:pPr>
      <w:proofErr w:type="gramStart"/>
      <w:r>
        <w:t>rubrique</w:t>
      </w:r>
      <w:proofErr w:type="gramEnd"/>
      <w:r>
        <w:t xml:space="preserve"> « nous contacter »</w:t>
      </w:r>
    </w:p>
    <w:p w14:paraId="1EA3441B" w14:textId="77777777" w:rsidR="00D6547A" w:rsidRDefault="00D6547A">
      <w:pPr>
        <w:pStyle w:val="Standard"/>
      </w:pPr>
    </w:p>
    <w:p w14:paraId="787883C4" w14:textId="13483AA6" w:rsidR="00D6547A" w:rsidRDefault="00A26315">
      <w:pPr>
        <w:pStyle w:val="Standard"/>
        <w:rPr>
          <w:b/>
        </w:rPr>
      </w:pPr>
      <w:r>
        <w:t>Conformément à l'article 3 de l'ordonnance n°2014-697 du 26 juin 2014, l'obligation de transmettre les factures sous forme électronique s'impose</w:t>
      </w:r>
      <w:r w:rsidR="006F1C71">
        <w:t xml:space="preserve"> </w:t>
      </w:r>
      <w:r>
        <w:t xml:space="preserve">aux fournisseurs, en fonction de la catégorie de leur entreprise, </w:t>
      </w:r>
      <w:r w:rsidR="006F1C71">
        <w:t>à compter du</w:t>
      </w:r>
      <w:r>
        <w:t xml:space="preserve"> 1er janvier 2017 (pour les grandes entreprises et les personnes publiques) </w:t>
      </w:r>
      <w:r w:rsidR="006F1C71">
        <w:t>au</w:t>
      </w:r>
      <w:r>
        <w:t xml:space="preserve"> 1er janvier 2020 (pour les micro entreprises).</w:t>
      </w:r>
    </w:p>
    <w:p w14:paraId="4263ECBD" w14:textId="77777777" w:rsidR="00D6547A" w:rsidRDefault="00D6547A">
      <w:pPr>
        <w:pStyle w:val="Standard"/>
      </w:pPr>
    </w:p>
    <w:p w14:paraId="0E7DF64A" w14:textId="77777777" w:rsidR="00D6547A" w:rsidRDefault="00A26315">
      <w:pPr>
        <w:pStyle w:val="Standard"/>
        <w:rPr>
          <w:b/>
        </w:rPr>
      </w:pPr>
      <w:r>
        <w:t>Dans cet intervalle, la possibilité est laissée aux fournisseurs d'adresser leurs factures par courrier.</w:t>
      </w:r>
    </w:p>
    <w:p w14:paraId="115E3061" w14:textId="77777777" w:rsidR="00D6547A" w:rsidRDefault="00D6547A">
      <w:pPr>
        <w:pStyle w:val="Standard"/>
      </w:pPr>
    </w:p>
    <w:p w14:paraId="6572B541" w14:textId="77777777" w:rsidR="00D6547A" w:rsidRDefault="00A26315">
      <w:pPr>
        <w:pStyle w:val="Standard"/>
        <w:rPr>
          <w:b/>
        </w:rPr>
      </w:pPr>
      <w:r>
        <w:t xml:space="preserve">Les factures sont établies en un seul original et envoyées à l'adresse suivante : </w:t>
      </w:r>
      <w:r>
        <w:rPr>
          <w:b/>
        </w:rPr>
        <w:t>(A COMPLETER)</w:t>
      </w:r>
      <w:r>
        <w:t>.</w:t>
      </w:r>
    </w:p>
    <w:p w14:paraId="31456B18" w14:textId="77777777" w:rsidR="00D6547A" w:rsidRDefault="00A26315">
      <w:pPr>
        <w:pStyle w:val="Standard"/>
      </w:pPr>
      <w:r>
        <w:t xml:space="preserve"> </w:t>
      </w:r>
    </w:p>
    <w:p w14:paraId="4F2A4A5D" w14:textId="6AE65FBF" w:rsidR="00D6547A" w:rsidRDefault="00A26315">
      <w:pPr>
        <w:pStyle w:val="Titre2"/>
      </w:pPr>
      <w:bookmarkStart w:id="14" w:name="_Toc15656163"/>
      <w:r>
        <w:t>Régime des droits de propriété intellectuelle</w:t>
      </w:r>
      <w:bookmarkEnd w:id="14"/>
    </w:p>
    <w:p w14:paraId="2473B90A" w14:textId="77777777" w:rsidR="00D6547A" w:rsidRDefault="00A26315">
      <w:pPr>
        <w:pStyle w:val="Titre3"/>
      </w:pPr>
      <w:r>
        <w:t>Régime des droits de propriété intellectuelle relatif aux connaissances antérieures</w:t>
      </w:r>
    </w:p>
    <w:p w14:paraId="068E73A7" w14:textId="2388B632" w:rsidR="00D6547A" w:rsidRDefault="00A26315">
      <w:pPr>
        <w:pStyle w:val="Standard"/>
      </w:pPr>
      <w:r>
        <w:t xml:space="preserve">En complément de l'article 24 du CCAG-PI, le titulaire s'engage à informer l'acheteur, au fur et à mesure de l'exécution des prestations, des Connaissances antérieures mises en </w:t>
      </w:r>
      <w:proofErr w:type="gramStart"/>
      <w:r w:rsidR="00B2465F">
        <w:t>œuvre</w:t>
      </w:r>
      <w:r>
        <w:t> </w:t>
      </w:r>
      <w:r w:rsidR="00A8730E">
        <w:t>,</w:t>
      </w:r>
      <w:proofErr w:type="gramEnd"/>
      <w:r w:rsidR="00A8730E">
        <w:t xml:space="preserve"> le cas échéant,</w:t>
      </w:r>
      <w:r>
        <w:t xml:space="preserve"> pour la réalisation de l'objet du marché et du régime des droits y afférent.  Les droits afférents aux Connaissances antérieures sont concédés dans les conditions de l'article 24.2 du CCAG-PI.</w:t>
      </w:r>
    </w:p>
    <w:p w14:paraId="21F777EE" w14:textId="77777777" w:rsidR="00D6547A" w:rsidRDefault="00A26315">
      <w:pPr>
        <w:pStyle w:val="Titre3"/>
      </w:pPr>
      <w:r>
        <w:t>Prix de la cession des droits</w:t>
      </w:r>
    </w:p>
    <w:p w14:paraId="2DC0AA06" w14:textId="77777777" w:rsidR="00D6547A" w:rsidRDefault="00A26315">
      <w:pPr>
        <w:pStyle w:val="Standard"/>
      </w:pPr>
      <w:r>
        <w:t>La cession des droits de propriété intellectuelle est comprise dans les prix du marché.</w:t>
      </w:r>
    </w:p>
    <w:p w14:paraId="70332684" w14:textId="3C2BC6D5" w:rsidR="00D6547A" w:rsidRDefault="00A26315">
      <w:pPr>
        <w:pStyle w:val="Titre2"/>
      </w:pPr>
      <w:bookmarkStart w:id="15" w:name="_Toc15244085"/>
      <w:bookmarkStart w:id="16" w:name="_Toc15244086"/>
      <w:bookmarkStart w:id="17" w:name="_Toc15656164"/>
      <w:bookmarkEnd w:id="15"/>
      <w:bookmarkEnd w:id="16"/>
      <w:r>
        <w:lastRenderedPageBreak/>
        <w:t>Dispositions diverses</w:t>
      </w:r>
      <w:bookmarkEnd w:id="17"/>
    </w:p>
    <w:p w14:paraId="75598AC3" w14:textId="77777777" w:rsidR="00D6547A" w:rsidRDefault="00A26315">
      <w:pPr>
        <w:pStyle w:val="Titre3"/>
      </w:pPr>
      <w:r>
        <w:t>Forme des notifications et des informations</w:t>
      </w:r>
    </w:p>
    <w:p w14:paraId="072D61F0" w14:textId="77777777" w:rsidR="00D6547A" w:rsidRDefault="00A26315" w:rsidP="0098166B">
      <w:pPr>
        <w:pStyle w:val="Standard"/>
      </w:pPr>
      <w:r>
        <w:t>L'acheteur notifie au titulaire les décisions ou informations qui font courir un délai, par tous moyens permettant d'attester la date de réception.</w:t>
      </w:r>
    </w:p>
    <w:p w14:paraId="4E5980BA" w14:textId="77777777" w:rsidR="00A8730E" w:rsidRPr="005C290E" w:rsidRDefault="00A8730E">
      <w:pPr>
        <w:pStyle w:val="Normal1"/>
      </w:pPr>
      <w:r w:rsidRPr="0098166B">
        <w:t>Les échanges peuvent notamment être effectués par messagerie électronique : les décisions nécessitant une notification font l’objet d’une confirmation de réception par le destinataire.</w:t>
      </w:r>
    </w:p>
    <w:p w14:paraId="2D66883D" w14:textId="52312C8D" w:rsidR="00A8730E" w:rsidRPr="0098166B" w:rsidRDefault="00A8730E">
      <w:pPr>
        <w:pStyle w:val="Normal1"/>
      </w:pPr>
      <w:r w:rsidRPr="005C290E">
        <w:t>(A COMPLETER)</w:t>
      </w:r>
    </w:p>
    <w:p w14:paraId="0FFC8593" w14:textId="77777777" w:rsidR="00D6547A" w:rsidRDefault="00A26315">
      <w:pPr>
        <w:pStyle w:val="Titre3"/>
      </w:pPr>
      <w:r>
        <w:t>Langue</w:t>
      </w:r>
    </w:p>
    <w:p w14:paraId="3A399E20" w14:textId="195BF2BC" w:rsidR="00D6547A" w:rsidRDefault="00A8730E">
      <w:pPr>
        <w:pStyle w:val="Standard"/>
      </w:pPr>
      <w:r>
        <w:t xml:space="preserve">Conformément à </w:t>
      </w:r>
      <w:r w:rsidR="00933767">
        <w:t xml:space="preserve">l’accord-cadre </w:t>
      </w:r>
      <w:r w:rsidR="002D7716" w:rsidRPr="002D7716">
        <w:t>25-01-Devolution</w:t>
      </w:r>
      <w:r w:rsidR="00A26315">
        <w:t>.</w:t>
      </w:r>
    </w:p>
    <w:p w14:paraId="4F74167A" w14:textId="77777777" w:rsidR="00D6547A" w:rsidRDefault="00A26315">
      <w:pPr>
        <w:pStyle w:val="Titre3"/>
      </w:pPr>
      <w:r>
        <w:t>Sous-traitance</w:t>
      </w:r>
    </w:p>
    <w:p w14:paraId="38D06192" w14:textId="5FBACCDF" w:rsidR="00D6547A" w:rsidRDefault="00A8730E">
      <w:pPr>
        <w:pStyle w:val="Standard"/>
      </w:pPr>
      <w:r>
        <w:t xml:space="preserve">Conformément à </w:t>
      </w:r>
      <w:r w:rsidR="00933767">
        <w:t xml:space="preserve">l’accord-cadre </w:t>
      </w:r>
      <w:r w:rsidR="002D7716" w:rsidRPr="002D7716">
        <w:t>25-01-Devolution</w:t>
      </w:r>
      <w:r w:rsidR="00A26315">
        <w:t>.</w:t>
      </w:r>
    </w:p>
    <w:p w14:paraId="6A73C41B" w14:textId="77777777" w:rsidR="00F827AC" w:rsidRDefault="00F827AC" w:rsidP="00F827AC">
      <w:pPr>
        <w:pStyle w:val="Standard"/>
      </w:pPr>
      <w:r>
        <w:t>Les tâches essentielles listée dans l’article relatif aux « </w:t>
      </w:r>
      <w:r w:rsidRPr="00B333C0">
        <w:t>exigences relatives aux prestations</w:t>
      </w:r>
      <w:r>
        <w:t> » (</w:t>
      </w:r>
      <w:proofErr w:type="spellStart"/>
      <w:r>
        <w:t>cf</w:t>
      </w:r>
      <w:proofErr w:type="spellEnd"/>
      <w:r>
        <w:t xml:space="preserve"> supra) doivent être exécutées par le titulaire et ne peuvent faire l'objet de sous-traitance.</w:t>
      </w:r>
    </w:p>
    <w:p w14:paraId="6F0BF6A4" w14:textId="77777777" w:rsidR="00D6547A" w:rsidRDefault="00A26315">
      <w:pPr>
        <w:pStyle w:val="Titre3"/>
      </w:pPr>
      <w:r>
        <w:t>Assurances</w:t>
      </w:r>
    </w:p>
    <w:p w14:paraId="3901F6F4" w14:textId="1A46022F" w:rsidR="00D6547A" w:rsidRDefault="00A26315">
      <w:pPr>
        <w:pStyle w:val="Standard"/>
      </w:pPr>
      <w:r>
        <w:t xml:space="preserve">Le titulaire assume la responsabilité de l'exécution des </w:t>
      </w:r>
      <w:r w:rsidR="00B00505">
        <w:t>prestations et</w:t>
      </w:r>
      <w:r>
        <w:t xml:space="preserve"> des dommages qu'il cause à l'acheteur en cas d'inexécution. Dans un délai de quinze jours à compter de la notification des marchés et avant tout commencement d'exécution, le titulaire devra justifier être en possession d'une police d'assurances.</w:t>
      </w:r>
    </w:p>
    <w:p w14:paraId="1B6BAE68" w14:textId="77777777" w:rsidR="00D6547A" w:rsidRDefault="00A26315">
      <w:pPr>
        <w:pStyle w:val="Standard"/>
      </w:pPr>
      <w:r>
        <w:t>Il est responsable des dommages que l'exécution des prestations peut engendrer : à son personnel, aux agents de l'acheteur ou à des tiers ; à ses biens, aux biens appartenant à l'acheteur ou à des tiers.</w:t>
      </w:r>
    </w:p>
    <w:p w14:paraId="0D0E955D" w14:textId="77777777" w:rsidR="00D6547A" w:rsidRDefault="00A26315">
      <w:pPr>
        <w:pStyle w:val="Standard"/>
      </w:pPr>
      <w:r>
        <w:t>Le titulaire doit être couvert par un contrat d'assurance en cours de validité garantissant les conséquences pécuniaires de la responsabilité civile qu'il pourrait encourir en cas de dommages corporels et/ou matériels engendrés lors de l'exécution des prestations, objet du présent marché.</w:t>
      </w:r>
    </w:p>
    <w:p w14:paraId="0384D280" w14:textId="77777777" w:rsidR="00D6547A" w:rsidRDefault="00A26315">
      <w:pPr>
        <w:pStyle w:val="Standard"/>
      </w:pPr>
      <w:r>
        <w:t>Il s'engage à remettre, sur simple demande écrite, à l'acheteur, une attestation de son assureur indiquant la nature, le montant et la durée de la garantie.</w:t>
      </w:r>
    </w:p>
    <w:p w14:paraId="198C3771" w14:textId="77777777" w:rsidR="00D6547A" w:rsidRDefault="00A26315">
      <w:pPr>
        <w:pStyle w:val="Standard"/>
      </w:pPr>
      <w:r>
        <w:t>Le titulaire s'engage à informer expressément l'acheteur de toute modification de son contrat d'assurance.</w:t>
      </w:r>
    </w:p>
    <w:p w14:paraId="3337B3B5" w14:textId="77777777" w:rsidR="00D6547A" w:rsidRDefault="00A26315">
      <w:pPr>
        <w:pStyle w:val="Standard"/>
      </w:pPr>
      <w:r>
        <w:t>Les sous-traitants doivent fournir les mêmes documents que le titulaire.</w:t>
      </w:r>
    </w:p>
    <w:p w14:paraId="7AF5EF6E" w14:textId="77777777" w:rsidR="00D6547A" w:rsidRDefault="00D6547A">
      <w:pPr>
        <w:pStyle w:val="Standard"/>
      </w:pPr>
    </w:p>
    <w:p w14:paraId="47EF5682" w14:textId="77777777" w:rsidR="00D6547A" w:rsidRDefault="00A26315">
      <w:pPr>
        <w:pStyle w:val="Titre3"/>
      </w:pPr>
      <w:r>
        <w:t>Autres obligations administratives</w:t>
      </w:r>
    </w:p>
    <w:p w14:paraId="43D68355" w14:textId="77777777" w:rsidR="00D6547A" w:rsidRDefault="00A26315">
      <w:pPr>
        <w:pStyle w:val="Standard"/>
      </w:pPr>
      <w:r>
        <w:t>Le titulaire est tenu de notifier sans délai à l'acheteur les modifications survenant en cours d'exécution. En cas de manquement, l'acheteur ne saurait être tenu pour responsable des conséquences pouvant en découler, et notamment des retards de paiement.</w:t>
      </w:r>
    </w:p>
    <w:p w14:paraId="17792002" w14:textId="77777777" w:rsidR="00D6547A" w:rsidRDefault="00D6547A">
      <w:pPr>
        <w:pStyle w:val="Standard"/>
      </w:pPr>
    </w:p>
    <w:p w14:paraId="1CCDB52F" w14:textId="77777777" w:rsidR="00D6547A" w:rsidRDefault="00A26315">
      <w:pPr>
        <w:pStyle w:val="Standard"/>
      </w:pPr>
      <w:r>
        <w:t>Si le titulaire, et le cas échéant ses sous-traitants, recourent à des salariés détachés, ils doivent produire, préalablement au début du détachement, les documents justifiant de la régularité de ses obligations au regard de l'article L.1262-2-1 du code du travail.</w:t>
      </w:r>
    </w:p>
    <w:p w14:paraId="1AAC985B" w14:textId="77777777" w:rsidR="00D6547A" w:rsidRDefault="00A26315">
      <w:pPr>
        <w:pStyle w:val="Titre3"/>
      </w:pPr>
      <w:r>
        <w:t>Résiliation</w:t>
      </w:r>
    </w:p>
    <w:p w14:paraId="20149479" w14:textId="50699F9F" w:rsidR="00D6547A" w:rsidRDefault="00A26315">
      <w:pPr>
        <w:pStyle w:val="Standard"/>
      </w:pPr>
      <w:r>
        <w:t>Les modalités de résiliation du présent marché sont précisées dans les dispositions de l'accord-cadre</w:t>
      </w:r>
      <w:r w:rsidR="00141B43">
        <w:t xml:space="preserve"> </w:t>
      </w:r>
      <w:r w:rsidR="002D7716" w:rsidRPr="002D7716">
        <w:t>25-01-Devolution</w:t>
      </w:r>
      <w:r w:rsidR="002D7716">
        <w:t>.</w:t>
      </w:r>
    </w:p>
    <w:p w14:paraId="32638024" w14:textId="77777777" w:rsidR="00D6547A" w:rsidRDefault="00A26315">
      <w:pPr>
        <w:pStyle w:val="Titre3"/>
      </w:pPr>
      <w:r>
        <w:t>Exécution aux frais et risques du titulaire</w:t>
      </w:r>
    </w:p>
    <w:p w14:paraId="2E37BC85" w14:textId="77777777" w:rsidR="00D6547A" w:rsidRDefault="00A26315">
      <w:pPr>
        <w:pStyle w:val="Standard"/>
      </w:pPr>
      <w:r>
        <w:t>L'exécution aux frais et risques s'effectue dans les conditions prévues au CCAG de référence.</w:t>
      </w:r>
    </w:p>
    <w:p w14:paraId="2B48132F" w14:textId="77777777" w:rsidR="00D6547A" w:rsidRDefault="00A26315">
      <w:pPr>
        <w:pStyle w:val="Titre3"/>
      </w:pPr>
      <w:r>
        <w:t>Litiges et contentieux</w:t>
      </w:r>
    </w:p>
    <w:p w14:paraId="3F887985" w14:textId="1282F945" w:rsidR="00933767" w:rsidRDefault="00933767">
      <w:pPr>
        <w:pStyle w:val="Standard"/>
      </w:pPr>
      <w:r>
        <w:t xml:space="preserve">Conformément à l’accord-cadre </w:t>
      </w:r>
      <w:r w:rsidR="002D7716" w:rsidRPr="002D7716">
        <w:t>25-01-Devolution</w:t>
      </w:r>
      <w:r>
        <w:t>.</w:t>
      </w:r>
    </w:p>
    <w:p w14:paraId="0714B5E3" w14:textId="77777777" w:rsidR="00D6547A" w:rsidRDefault="00A26315">
      <w:pPr>
        <w:pStyle w:val="Standard"/>
      </w:pPr>
      <w:r>
        <w:t>Le présent marché est soumis au droit français.</w:t>
      </w:r>
    </w:p>
    <w:p w14:paraId="409287B4" w14:textId="7327AC7B" w:rsidR="00D6547A" w:rsidRDefault="00A26315">
      <w:pPr>
        <w:pStyle w:val="Standard"/>
      </w:pPr>
      <w:r>
        <w:lastRenderedPageBreak/>
        <w:t xml:space="preserve">Tout conflit né de l'exécution d'un </w:t>
      </w:r>
      <w:r w:rsidR="002C0542">
        <w:t xml:space="preserve">marché </w:t>
      </w:r>
      <w:r>
        <w:t>subséquent conclu sur le fondement de l'accord-cadre relève de la compétence exclusive du tribunal administratif territorialement compétent désigné dans les pièces contractuelles en application de l'article R.312-11 du code de justice administrative.</w:t>
      </w:r>
    </w:p>
    <w:p w14:paraId="506CCDBF" w14:textId="77777777" w:rsidR="00141B43" w:rsidRDefault="00141B43">
      <w:pPr>
        <w:pStyle w:val="Standard"/>
      </w:pPr>
    </w:p>
    <w:p w14:paraId="791DEB8E" w14:textId="77777777" w:rsidR="00141B43" w:rsidRDefault="00141B43">
      <w:pPr>
        <w:pStyle w:val="Standard"/>
      </w:pPr>
    </w:p>
    <w:p w14:paraId="0BE29841" w14:textId="5913AC09" w:rsidR="00D6547A" w:rsidRDefault="00A26315">
      <w:pPr>
        <w:pStyle w:val="Titre1"/>
      </w:pPr>
      <w:bookmarkStart w:id="18" w:name="_Toc15656165"/>
      <w:r>
        <w:t>CLAUSES TECHNIQUES</w:t>
      </w:r>
      <w:bookmarkEnd w:id="18"/>
    </w:p>
    <w:p w14:paraId="0EF7BE39" w14:textId="77777777" w:rsidR="00D6547A" w:rsidRDefault="00A26315">
      <w:pPr>
        <w:pStyle w:val="Standard"/>
      </w:pPr>
      <w:r>
        <w:t>A COMPLETER avec les clauses techniques de l'accord-cadre</w:t>
      </w:r>
    </w:p>
    <w:p w14:paraId="5149448F" w14:textId="77777777" w:rsidR="00D6547A" w:rsidRDefault="00A26315">
      <w:pPr>
        <w:pStyle w:val="Standard"/>
      </w:pPr>
      <w:r>
        <w:t xml:space="preserve"> </w:t>
      </w:r>
      <w:bookmarkStart w:id="19" w:name="_GoBack"/>
      <w:bookmarkEnd w:id="19"/>
    </w:p>
    <w:sectPr w:rsidR="00D6547A">
      <w:headerReference w:type="even" r:id="rId10"/>
      <w:headerReference w:type="default" r:id="rId11"/>
      <w:footerReference w:type="even" r:id="rId12"/>
      <w:footerReference w:type="default" r:id="rId13"/>
      <w:headerReference w:type="first" r:id="rId14"/>
      <w:footerReference w:type="first" r:id="rId15"/>
      <w:pgSz w:w="11905" w:h="16837"/>
      <w:pgMar w:top="1890" w:right="1134" w:bottom="1312" w:left="1134" w:header="31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B34DFB" w14:textId="77777777" w:rsidR="00CF1029" w:rsidRDefault="00CF1029">
      <w:r>
        <w:separator/>
      </w:r>
    </w:p>
  </w:endnote>
  <w:endnote w:type="continuationSeparator" w:id="0">
    <w:p w14:paraId="0696BFE9" w14:textId="77777777" w:rsidR="00CF1029" w:rsidRDefault="00CF1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charset w:val="00"/>
    <w:family w:val="auto"/>
    <w:pitch w:val="variable"/>
    <w:sig w:usb0="800000AF" w:usb1="1001ECEA"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ndale Sans UI">
    <w:altName w:val="Arial Unicode MS"/>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558E4" w14:textId="77777777" w:rsidR="00B2465F" w:rsidRDefault="00B2465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B64B72" w14:textId="77777777" w:rsidR="005D4E7F" w:rsidRDefault="00A26315" w:rsidP="0098166B">
    <w:pPr>
      <w:pStyle w:val="Pieddepage"/>
    </w:pPr>
    <w:r>
      <w:t>CCP-MS</w:t>
    </w:r>
    <w:r>
      <w:tab/>
    </w:r>
    <w:r>
      <w:tab/>
    </w:r>
    <w:r>
      <w:fldChar w:fldCharType="begin"/>
    </w:r>
    <w:r>
      <w:instrText xml:space="preserve"> PAGE </w:instrText>
    </w:r>
    <w:r>
      <w:fldChar w:fldCharType="separate"/>
    </w:r>
    <w:r w:rsidR="0018332A">
      <w:rPr>
        <w:noProof/>
      </w:rPr>
      <w:t>2</w:t>
    </w:r>
    <w:r>
      <w:fldChar w:fldCharType="end"/>
    </w:r>
    <w:r>
      <w:t>/</w:t>
    </w:r>
    <w:r w:rsidR="00502BFA">
      <w:rPr>
        <w:noProof/>
      </w:rPr>
      <w:fldChar w:fldCharType="begin"/>
    </w:r>
    <w:r w:rsidR="00502BFA">
      <w:rPr>
        <w:noProof/>
      </w:rPr>
      <w:instrText xml:space="preserve"> NUMPAGES </w:instrText>
    </w:r>
    <w:r w:rsidR="00502BFA">
      <w:rPr>
        <w:noProof/>
      </w:rPr>
      <w:fldChar w:fldCharType="separate"/>
    </w:r>
    <w:r w:rsidR="0018332A">
      <w:rPr>
        <w:noProof/>
      </w:rPr>
      <w:t>11</w:t>
    </w:r>
    <w:r w:rsidR="00502BFA">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E3157" w14:textId="77777777" w:rsidR="00B2465F" w:rsidRDefault="00B2465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850833" w14:textId="77777777" w:rsidR="00CF1029" w:rsidRDefault="00CF1029">
      <w:r>
        <w:rPr>
          <w:color w:val="000000"/>
        </w:rPr>
        <w:separator/>
      </w:r>
    </w:p>
  </w:footnote>
  <w:footnote w:type="continuationSeparator" w:id="0">
    <w:p w14:paraId="41FE0872" w14:textId="77777777" w:rsidR="00CF1029" w:rsidRDefault="00CF10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A5DBD" w14:textId="77777777" w:rsidR="00B2465F" w:rsidRDefault="00B2465F" w:rsidP="009D483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3CB471" w14:textId="244B0D8B" w:rsidR="005D4E7F" w:rsidRDefault="005D4E7F" w:rsidP="0098166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92B5D" w14:textId="77777777" w:rsidR="005D4E7F" w:rsidRDefault="00A26315" w:rsidP="0098166B">
    <w:pPr>
      <w:pStyle w:val="En-tte"/>
    </w:pPr>
    <w:r>
      <w:rPr>
        <w:noProof/>
        <w:lang w:eastAsia="fr-FR" w:bidi="ar-SA"/>
      </w:rPr>
      <w:t>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66CA6"/>
    <w:multiLevelType w:val="multilevel"/>
    <w:tmpl w:val="C31EFD58"/>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1" w15:restartNumberingAfterBreak="0">
    <w:nsid w:val="126E28CA"/>
    <w:multiLevelType w:val="multilevel"/>
    <w:tmpl w:val="0846BAF6"/>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 w15:restartNumberingAfterBreak="0">
    <w:nsid w:val="147050C4"/>
    <w:multiLevelType w:val="multilevel"/>
    <w:tmpl w:val="6742DB30"/>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3" w15:restartNumberingAfterBreak="0">
    <w:nsid w:val="17D04654"/>
    <w:multiLevelType w:val="hybridMultilevel"/>
    <w:tmpl w:val="93F80670"/>
    <w:lvl w:ilvl="0" w:tplc="24B80E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F20ADC"/>
    <w:multiLevelType w:val="multilevel"/>
    <w:tmpl w:val="A74CBA60"/>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5" w15:restartNumberingAfterBreak="0">
    <w:nsid w:val="23DD1B25"/>
    <w:multiLevelType w:val="multilevel"/>
    <w:tmpl w:val="391E9D96"/>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6" w15:restartNumberingAfterBreak="0">
    <w:nsid w:val="24812597"/>
    <w:multiLevelType w:val="hybridMultilevel"/>
    <w:tmpl w:val="78028488"/>
    <w:lvl w:ilvl="0" w:tplc="24B80E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3E5240A"/>
    <w:multiLevelType w:val="hybridMultilevel"/>
    <w:tmpl w:val="9DE258E4"/>
    <w:lvl w:ilvl="0" w:tplc="24B80E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4218E1"/>
    <w:multiLevelType w:val="hybridMultilevel"/>
    <w:tmpl w:val="42C04B96"/>
    <w:lvl w:ilvl="0" w:tplc="123CC7B0">
      <w:start w:val="1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614221C"/>
    <w:multiLevelType w:val="multilevel"/>
    <w:tmpl w:val="66A8D67A"/>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10" w15:restartNumberingAfterBreak="0">
    <w:nsid w:val="47F8397A"/>
    <w:multiLevelType w:val="multilevel"/>
    <w:tmpl w:val="60947FBA"/>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1" w15:restartNumberingAfterBreak="0">
    <w:nsid w:val="48593A35"/>
    <w:multiLevelType w:val="multilevel"/>
    <w:tmpl w:val="98A0DB9E"/>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2" w15:restartNumberingAfterBreak="0">
    <w:nsid w:val="4C6F7A77"/>
    <w:multiLevelType w:val="multilevel"/>
    <w:tmpl w:val="EE06F5C8"/>
    <w:styleLink w:val="List1"/>
    <w:lvl w:ilvl="0">
      <w:start w:val="1"/>
      <w:numFmt w:val="bullet"/>
      <w:lvlText w:val=""/>
      <w:lvlJc w:val="left"/>
      <w:pPr>
        <w:ind w:left="283" w:hanging="283"/>
      </w:pPr>
      <w:rPr>
        <w:rFonts w:ascii="Symbol" w:hAnsi="Symbol" w:hint="default"/>
      </w:rPr>
    </w:lvl>
    <w:lvl w:ilvl="1">
      <w:numFmt w:val="bullet"/>
      <w:lvlText w:val="–"/>
      <w:lvlJc w:val="left"/>
      <w:pPr>
        <w:ind w:left="567" w:hanging="284"/>
      </w:pPr>
      <w:rPr>
        <w:rFonts w:ascii="Arial" w:eastAsia="OpenSymbol" w:hAnsi="Arial" w:cs="OpenSymbol" w:hint="default"/>
      </w:rPr>
    </w:lvl>
    <w:lvl w:ilvl="2">
      <w:numFmt w:val="bullet"/>
      <w:lvlText w:val=""/>
      <w:lvlJc w:val="left"/>
      <w:pPr>
        <w:ind w:left="850" w:hanging="283"/>
      </w:pPr>
      <w:rPr>
        <w:rFonts w:ascii="Wingdings 3" w:eastAsia="OpenSymbol" w:hAnsi="Wingdings 3" w:cs="OpenSymbol" w:hint="default"/>
      </w:rPr>
    </w:lvl>
    <w:lvl w:ilvl="3">
      <w:numFmt w:val="bullet"/>
      <w:lvlText w:val="▫"/>
      <w:lvlJc w:val="left"/>
      <w:pPr>
        <w:ind w:left="1134" w:hanging="284"/>
      </w:pPr>
      <w:rPr>
        <w:rFonts w:ascii="Arial" w:eastAsia="OpenSymbol" w:hAnsi="Arial" w:cs="OpenSymbol" w:hint="default"/>
      </w:rPr>
    </w:lvl>
    <w:lvl w:ilvl="4">
      <w:numFmt w:val="bullet"/>
      <w:lvlText w:val="▪"/>
      <w:lvlJc w:val="left"/>
      <w:pPr>
        <w:ind w:left="1134" w:hanging="227"/>
      </w:pPr>
      <w:rPr>
        <w:rFonts w:ascii="Segoe UI" w:eastAsia="OpenSymbol" w:hAnsi="Segoe UI" w:cs="OpenSymbol" w:hint="default"/>
      </w:rPr>
    </w:lvl>
    <w:lvl w:ilvl="5">
      <w:numFmt w:val="bullet"/>
      <w:lvlText w:val="▪"/>
      <w:lvlJc w:val="left"/>
      <w:pPr>
        <w:ind w:left="1361" w:hanging="227"/>
      </w:pPr>
      <w:rPr>
        <w:rFonts w:ascii="Segoe UI" w:eastAsia="OpenSymbol" w:hAnsi="Segoe UI" w:cs="OpenSymbol" w:hint="default"/>
      </w:rPr>
    </w:lvl>
    <w:lvl w:ilvl="6">
      <w:numFmt w:val="bullet"/>
      <w:lvlText w:val="▪"/>
      <w:lvlJc w:val="left"/>
      <w:pPr>
        <w:ind w:left="1587" w:hanging="227"/>
      </w:pPr>
      <w:rPr>
        <w:rFonts w:ascii="Segoe UI" w:eastAsia="OpenSymbol" w:hAnsi="Segoe UI" w:cs="OpenSymbol" w:hint="default"/>
      </w:rPr>
    </w:lvl>
    <w:lvl w:ilvl="7">
      <w:numFmt w:val="bullet"/>
      <w:lvlText w:val="▪"/>
      <w:lvlJc w:val="left"/>
      <w:pPr>
        <w:ind w:left="1814" w:hanging="227"/>
      </w:pPr>
      <w:rPr>
        <w:rFonts w:ascii="Segoe UI" w:eastAsia="OpenSymbol" w:hAnsi="Segoe UI" w:cs="OpenSymbol" w:hint="default"/>
      </w:rPr>
    </w:lvl>
    <w:lvl w:ilvl="8">
      <w:numFmt w:val="bullet"/>
      <w:lvlText w:val="▪"/>
      <w:lvlJc w:val="left"/>
      <w:pPr>
        <w:ind w:left="2041" w:hanging="227"/>
      </w:pPr>
      <w:rPr>
        <w:rFonts w:ascii="Segoe UI" w:eastAsia="OpenSymbol" w:hAnsi="Segoe UI" w:cs="OpenSymbol" w:hint="default"/>
      </w:rPr>
    </w:lvl>
  </w:abstractNum>
  <w:abstractNum w:abstractNumId="13" w15:restartNumberingAfterBreak="0">
    <w:nsid w:val="4F3E556B"/>
    <w:multiLevelType w:val="multilevel"/>
    <w:tmpl w:val="6A641B10"/>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4" w15:restartNumberingAfterBreak="0">
    <w:nsid w:val="55097FAC"/>
    <w:multiLevelType w:val="hybridMultilevel"/>
    <w:tmpl w:val="63AC29F0"/>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7A471C0"/>
    <w:multiLevelType w:val="multilevel"/>
    <w:tmpl w:val="67C20ACE"/>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16" w15:restartNumberingAfterBreak="0">
    <w:nsid w:val="5ED7235E"/>
    <w:multiLevelType w:val="multilevel"/>
    <w:tmpl w:val="1502476C"/>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6DC44EAD"/>
    <w:multiLevelType w:val="multilevel"/>
    <w:tmpl w:val="316C88BE"/>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18" w15:restartNumberingAfterBreak="0">
    <w:nsid w:val="75575D9F"/>
    <w:multiLevelType w:val="hybridMultilevel"/>
    <w:tmpl w:val="B252A8AA"/>
    <w:lvl w:ilvl="0" w:tplc="24B80E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70B2F65"/>
    <w:multiLevelType w:val="hybridMultilevel"/>
    <w:tmpl w:val="F9327A58"/>
    <w:lvl w:ilvl="0" w:tplc="24B80E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7A42040"/>
    <w:multiLevelType w:val="multilevel"/>
    <w:tmpl w:val="D5CC78EE"/>
    <w:lvl w:ilvl="0">
      <w:start w:val="1"/>
      <w:numFmt w:val="decimal"/>
      <w:lvlText w:val="Article %1"/>
      <w:lvlJc w:val="left"/>
      <w:pPr>
        <w:ind w:left="6669" w:hanging="432"/>
      </w:pPr>
    </w:lvl>
    <w:lvl w:ilvl="1">
      <w:start w:val="1"/>
      <w:numFmt w:val="decimal"/>
      <w:lvlText w:val="%1.%2"/>
      <w:lvlJc w:val="left"/>
      <w:pPr>
        <w:ind w:left="1144" w:hanging="576"/>
      </w:pPr>
    </w:lvl>
    <w:lvl w:ilvl="2">
      <w:start w:val="1"/>
      <w:numFmt w:val="decimal"/>
      <w:lvlText w:val="%1.%2.%3"/>
      <w:lvlJc w:val="left"/>
      <w:pPr>
        <w:ind w:left="4973" w:hanging="720"/>
      </w:pPr>
      <w:rPr>
        <w:sz w:val="22"/>
      </w:rPr>
    </w:lvl>
    <w:lvl w:ilvl="3">
      <w:start w:val="1"/>
      <w:numFmt w:val="decimal"/>
      <w:lvlText w:val="%1.%2.%3.%4"/>
      <w:lvlJc w:val="left"/>
      <w:pPr>
        <w:ind w:left="984" w:hanging="864"/>
      </w:pPr>
    </w:lvl>
    <w:lvl w:ilvl="4">
      <w:start w:val="1"/>
      <w:numFmt w:val="decimal"/>
      <w:lvlText w:val="%1.%2.%3.%4.%5"/>
      <w:lvlJc w:val="left"/>
      <w:pPr>
        <w:ind w:left="1128" w:hanging="1008"/>
      </w:pPr>
    </w:lvl>
    <w:lvl w:ilvl="5">
      <w:start w:val="1"/>
      <w:numFmt w:val="decimal"/>
      <w:lvlText w:val="%1.%2.%3.%4.%5.%6"/>
      <w:lvlJc w:val="left"/>
      <w:pPr>
        <w:ind w:left="1272" w:hanging="1152"/>
      </w:pPr>
    </w:lvl>
    <w:lvl w:ilvl="6">
      <w:start w:val="1"/>
      <w:numFmt w:val="decimal"/>
      <w:lvlText w:val="%1.%2.%3.%4.%5.%6.%7"/>
      <w:lvlJc w:val="left"/>
      <w:pPr>
        <w:ind w:left="1416" w:hanging="1296"/>
      </w:pPr>
    </w:lvl>
    <w:lvl w:ilvl="7">
      <w:start w:val="1"/>
      <w:numFmt w:val="decimal"/>
      <w:lvlText w:val="%1.%2.%3.%4.%5.%6.%7.%8"/>
      <w:lvlJc w:val="left"/>
      <w:pPr>
        <w:ind w:left="1560" w:hanging="1440"/>
      </w:pPr>
    </w:lvl>
    <w:lvl w:ilvl="8">
      <w:start w:val="1"/>
      <w:numFmt w:val="decimal"/>
      <w:lvlText w:val="%1.%2.%3.%4.%5.%6.%7.%8.%9"/>
      <w:lvlJc w:val="left"/>
      <w:pPr>
        <w:ind w:left="1704" w:hanging="1584"/>
      </w:pPr>
    </w:lvl>
  </w:abstractNum>
  <w:abstractNum w:abstractNumId="21" w15:restartNumberingAfterBreak="0">
    <w:nsid w:val="7923744F"/>
    <w:multiLevelType w:val="hybridMultilevel"/>
    <w:tmpl w:val="A8EE3EE2"/>
    <w:lvl w:ilvl="0" w:tplc="24B80EC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9F500B9"/>
    <w:multiLevelType w:val="multilevel"/>
    <w:tmpl w:val="BBAE89DE"/>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num w:numId="1">
    <w:abstractNumId w:val="9"/>
  </w:num>
  <w:num w:numId="2">
    <w:abstractNumId w:val="11"/>
  </w:num>
  <w:num w:numId="3">
    <w:abstractNumId w:val="17"/>
  </w:num>
  <w:num w:numId="4">
    <w:abstractNumId w:val="4"/>
  </w:num>
  <w:num w:numId="5">
    <w:abstractNumId w:val="15"/>
  </w:num>
  <w:num w:numId="6">
    <w:abstractNumId w:val="22"/>
  </w:num>
  <w:num w:numId="7">
    <w:abstractNumId w:val="12"/>
  </w:num>
  <w:num w:numId="8">
    <w:abstractNumId w:val="2"/>
  </w:num>
  <w:num w:numId="9">
    <w:abstractNumId w:val="5"/>
  </w:num>
  <w:num w:numId="10">
    <w:abstractNumId w:val="1"/>
  </w:num>
  <w:num w:numId="11">
    <w:abstractNumId w:val="0"/>
  </w:num>
  <w:num w:numId="12">
    <w:abstractNumId w:val="13"/>
  </w:num>
  <w:num w:numId="13">
    <w:abstractNumId w:val="16"/>
  </w:num>
  <w:num w:numId="14">
    <w:abstractNumId w:val="10"/>
  </w:num>
  <w:num w:numId="15">
    <w:abstractNumId w:val="12"/>
  </w:num>
  <w:num w:numId="16">
    <w:abstractNumId w:val="8"/>
  </w:num>
  <w:num w:numId="17">
    <w:abstractNumId w:val="20"/>
  </w:num>
  <w:num w:numId="18">
    <w:abstractNumId w:val="9"/>
  </w:num>
  <w:num w:numId="19">
    <w:abstractNumId w:val="18"/>
  </w:num>
  <w:num w:numId="20">
    <w:abstractNumId w:val="3"/>
  </w:num>
  <w:num w:numId="21">
    <w:abstractNumId w:val="21"/>
  </w:num>
  <w:num w:numId="22">
    <w:abstractNumId w:val="6"/>
  </w:num>
  <w:num w:numId="23">
    <w:abstractNumId w:val="19"/>
  </w:num>
  <w:num w:numId="24">
    <w:abstractNumId w:val="9"/>
  </w:num>
  <w:num w:numId="25">
    <w:abstractNumId w:val="14"/>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6"/>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547A"/>
    <w:rsid w:val="000D49FB"/>
    <w:rsid w:val="000F54B5"/>
    <w:rsid w:val="00107BE8"/>
    <w:rsid w:val="00133598"/>
    <w:rsid w:val="0014148D"/>
    <w:rsid w:val="00141B43"/>
    <w:rsid w:val="001648EC"/>
    <w:rsid w:val="00165E33"/>
    <w:rsid w:val="0018332A"/>
    <w:rsid w:val="00197FB2"/>
    <w:rsid w:val="002C0542"/>
    <w:rsid w:val="002D7716"/>
    <w:rsid w:val="00350942"/>
    <w:rsid w:val="00366D22"/>
    <w:rsid w:val="003678EC"/>
    <w:rsid w:val="00386967"/>
    <w:rsid w:val="00450FC6"/>
    <w:rsid w:val="004A249B"/>
    <w:rsid w:val="004E23AA"/>
    <w:rsid w:val="00502BFA"/>
    <w:rsid w:val="00515E13"/>
    <w:rsid w:val="00520A36"/>
    <w:rsid w:val="00521DE8"/>
    <w:rsid w:val="00524860"/>
    <w:rsid w:val="00534E5E"/>
    <w:rsid w:val="00555D9C"/>
    <w:rsid w:val="00564897"/>
    <w:rsid w:val="005B52AA"/>
    <w:rsid w:val="005C290E"/>
    <w:rsid w:val="005C4A18"/>
    <w:rsid w:val="005D4E7F"/>
    <w:rsid w:val="0060746D"/>
    <w:rsid w:val="006A0575"/>
    <w:rsid w:val="006B63E8"/>
    <w:rsid w:val="006F1C71"/>
    <w:rsid w:val="007533D9"/>
    <w:rsid w:val="007805EB"/>
    <w:rsid w:val="00862504"/>
    <w:rsid w:val="00894757"/>
    <w:rsid w:val="008A4870"/>
    <w:rsid w:val="009175BB"/>
    <w:rsid w:val="00933767"/>
    <w:rsid w:val="0098166B"/>
    <w:rsid w:val="009A274A"/>
    <w:rsid w:val="009D483C"/>
    <w:rsid w:val="00A064E9"/>
    <w:rsid w:val="00A16DDE"/>
    <w:rsid w:val="00A26315"/>
    <w:rsid w:val="00A71B6C"/>
    <w:rsid w:val="00A8730E"/>
    <w:rsid w:val="00AC230D"/>
    <w:rsid w:val="00AF5354"/>
    <w:rsid w:val="00B00505"/>
    <w:rsid w:val="00B2465F"/>
    <w:rsid w:val="00B6218B"/>
    <w:rsid w:val="00B66626"/>
    <w:rsid w:val="00BE1876"/>
    <w:rsid w:val="00C53816"/>
    <w:rsid w:val="00C53DED"/>
    <w:rsid w:val="00CA22B3"/>
    <w:rsid w:val="00CF1029"/>
    <w:rsid w:val="00D54C3A"/>
    <w:rsid w:val="00D6547A"/>
    <w:rsid w:val="00DF19C5"/>
    <w:rsid w:val="00EA7D0A"/>
    <w:rsid w:val="00F1174B"/>
    <w:rsid w:val="00F21B4C"/>
    <w:rsid w:val="00F827AC"/>
    <w:rsid w:val="00FB2426"/>
    <w:rsid w:val="00FB385C"/>
    <w:rsid w:val="00FD608C"/>
    <w:rsid w:val="00FD7506"/>
    <w:rsid w:val="00FE7D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99B6FBD"/>
  <w15:docId w15:val="{FC235579-2FBA-45DD-B125-253429E6F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ndale Sans UI"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Standard"/>
    <w:next w:val="Standard"/>
    <w:pPr>
      <w:keepNext/>
      <w:numPr>
        <w:numId w:val="1"/>
      </w:numPr>
      <w:outlineLvl w:val="0"/>
    </w:pPr>
    <w:rPr>
      <w:color w:val="808080"/>
      <w:sz w:val="36"/>
      <w:szCs w:val="36"/>
    </w:rPr>
  </w:style>
  <w:style w:type="paragraph" w:styleId="Titre2">
    <w:name w:val="heading 2"/>
    <w:basedOn w:val="Standard"/>
    <w:next w:val="Standard"/>
    <w:pPr>
      <w:keepNext/>
      <w:numPr>
        <w:ilvl w:val="1"/>
        <w:numId w:val="1"/>
      </w:numPr>
      <w:spacing w:before="240" w:after="60"/>
      <w:outlineLvl w:val="1"/>
    </w:pPr>
    <w:rPr>
      <w:b/>
      <w:bCs/>
      <w:i/>
      <w:iCs/>
      <w:sz w:val="28"/>
      <w:szCs w:val="28"/>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Textbody"/>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Textbody"/>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autoRedefine/>
    <w:rsid w:val="009D483C"/>
    <w:pPr>
      <w:spacing w:before="57"/>
      <w:jc w:val="both"/>
      <w:textAlignment w:val="center"/>
    </w:pPr>
    <w:rPr>
      <w:rFonts w:ascii="Arial" w:hAnsi="Arial"/>
      <w:sz w:val="20"/>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rsid w:val="0014148D"/>
    <w:pPr>
      <w:keepLines/>
      <w:jc w:val="center"/>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pageBreakBefore/>
      <w:suppressLineNumbers/>
      <w:spacing w:before="0" w:after="283"/>
    </w:pPr>
    <w:rPr>
      <w:bCs/>
      <w:szCs w:val="32"/>
    </w:rPr>
  </w:style>
  <w:style w:type="paragraph" w:customStyle="1" w:styleId="Contents1">
    <w:name w:val="Contents 1"/>
    <w:basedOn w:val="Index"/>
    <w:autoRedefine/>
    <w:pPr>
      <w:tabs>
        <w:tab w:val="right" w:leader="dot" w:pos="9637"/>
      </w:tabs>
    </w:pPr>
    <w:rPr>
      <w:sz w:val="18"/>
    </w:rPr>
  </w:style>
  <w:style w:type="paragraph" w:customStyle="1" w:styleId="Contents2">
    <w:name w:val="Contents 2"/>
    <w:basedOn w:val="Index"/>
    <w:rPr>
      <w:sz w:val="18"/>
    </w:rPr>
  </w:style>
  <w:style w:type="paragraph" w:customStyle="1" w:styleId="Contents3">
    <w:name w:val="Contents 3"/>
    <w:basedOn w:val="Index"/>
    <w:pPr>
      <w:tabs>
        <w:tab w:val="right" w:leader="dot" w:pos="9241"/>
      </w:tabs>
      <w:spacing w:after="57"/>
      <w:ind w:left="170"/>
    </w:pPr>
  </w:style>
  <w:style w:type="paragraph" w:customStyle="1" w:styleId="Contents4">
    <w:name w:val="Contents 4"/>
    <w:basedOn w:val="Index"/>
    <w:pPr>
      <w:tabs>
        <w:tab w:val="right" w:leader="dot" w:pos="9128"/>
      </w:tabs>
      <w:spacing w:after="57"/>
      <w:ind w:left="340"/>
    </w:pPr>
  </w:style>
  <w:style w:type="paragraph" w:customStyle="1" w:styleId="Contents5">
    <w:name w:val="Contents 5"/>
    <w:basedOn w:val="Index"/>
    <w:pPr>
      <w:tabs>
        <w:tab w:val="right" w:leader="dot" w:pos="9015"/>
      </w:tabs>
      <w:spacing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Footerleft">
    <w:name w:val="Footer left"/>
    <w:basedOn w:val="Standard"/>
    <w:autoRedefine/>
    <w:pPr>
      <w:suppressLineNumbers/>
      <w:tabs>
        <w:tab w:val="center" w:pos="4818"/>
        <w:tab w:val="right" w:pos="9637"/>
      </w:tabs>
    </w:pPr>
  </w:style>
  <w:style w:type="paragraph" w:customStyle="1" w:styleId="Footerright">
    <w:name w:val="Footer right"/>
    <w:basedOn w:val="Standard"/>
    <w:pPr>
      <w:suppressLineNumbers/>
      <w:tabs>
        <w:tab w:val="center" w:pos="4818"/>
        <w:tab w:val="right" w:pos="9637"/>
      </w:tabs>
    </w:pPr>
  </w:style>
  <w:style w:type="paragraph" w:customStyle="1" w:styleId="Heading10">
    <w:name w:val="Heading 10"/>
    <w:basedOn w:val="Heading"/>
    <w:next w:val="Textbody"/>
    <w:rPr>
      <w:bCs/>
    </w:rPr>
  </w:style>
  <w:style w:type="paragraph" w:customStyle="1" w:styleId="Numbering1">
    <w:name w:val="Numbering 1"/>
    <w:basedOn w:val="Liste"/>
    <w:pPr>
      <w:spacing w:before="0" w:after="120"/>
    </w:pPr>
  </w:style>
  <w:style w:type="paragraph" w:customStyle="1" w:styleId="Table">
    <w:name w:val="Table"/>
    <w:basedOn w:val="Lgende"/>
    <w:rPr>
      <w:i w:val="0"/>
      <w:sz w:val="17"/>
    </w:r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character" w:customStyle="1" w:styleId="IndexLink">
    <w:name w:val="Index Link"/>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Textedebulles">
    <w:name w:val="Balloon Text"/>
    <w:basedOn w:val="Normal"/>
    <w:link w:val="TextedebullesCar"/>
    <w:uiPriority w:val="99"/>
    <w:semiHidden/>
    <w:unhideWhenUsed/>
    <w:rsid w:val="001648EC"/>
    <w:rPr>
      <w:rFonts w:ascii="Segoe UI" w:hAnsi="Segoe UI" w:cs="Segoe UI"/>
      <w:sz w:val="18"/>
      <w:szCs w:val="18"/>
    </w:rPr>
  </w:style>
  <w:style w:type="character" w:customStyle="1" w:styleId="TextedebullesCar">
    <w:name w:val="Texte de bulles Car"/>
    <w:basedOn w:val="Policepardfaut"/>
    <w:link w:val="Textedebulles"/>
    <w:uiPriority w:val="99"/>
    <w:semiHidden/>
    <w:rsid w:val="001648EC"/>
    <w:rPr>
      <w:rFonts w:ascii="Segoe UI" w:hAnsi="Segoe UI" w:cs="Segoe UI"/>
      <w:sz w:val="18"/>
      <w:szCs w:val="18"/>
    </w:rPr>
  </w:style>
  <w:style w:type="paragraph" w:styleId="Paragraphedeliste">
    <w:name w:val="List Paragraph"/>
    <w:basedOn w:val="Normal"/>
    <w:uiPriority w:val="34"/>
    <w:qFormat/>
    <w:rsid w:val="001648EC"/>
    <w:pPr>
      <w:widowControl/>
      <w:suppressAutoHyphens w:val="0"/>
      <w:autoSpaceDN/>
      <w:spacing w:before="120" w:after="160" w:line="259" w:lineRule="auto"/>
      <w:ind w:left="720"/>
      <w:contextualSpacing/>
      <w:jc w:val="both"/>
      <w:textAlignment w:val="auto"/>
    </w:pPr>
    <w:rPr>
      <w:rFonts w:asciiTheme="minorHAnsi" w:eastAsiaTheme="minorHAnsi" w:hAnsiTheme="minorHAnsi" w:cstheme="minorBidi"/>
      <w:kern w:val="0"/>
      <w:sz w:val="22"/>
      <w:szCs w:val="22"/>
      <w:lang w:eastAsia="en-US" w:bidi="ar-SA"/>
    </w:rPr>
  </w:style>
  <w:style w:type="paragraph" w:styleId="TM1">
    <w:name w:val="toc 1"/>
    <w:basedOn w:val="Normal"/>
    <w:next w:val="Normal"/>
    <w:autoRedefine/>
    <w:uiPriority w:val="39"/>
    <w:unhideWhenUsed/>
    <w:rsid w:val="00BE1876"/>
    <w:pPr>
      <w:spacing w:after="100"/>
    </w:pPr>
  </w:style>
  <w:style w:type="paragraph" w:styleId="TM2">
    <w:name w:val="toc 2"/>
    <w:basedOn w:val="Normal"/>
    <w:next w:val="Normal"/>
    <w:autoRedefine/>
    <w:uiPriority w:val="39"/>
    <w:unhideWhenUsed/>
    <w:rsid w:val="00BE1876"/>
    <w:pPr>
      <w:spacing w:after="100"/>
      <w:ind w:left="240"/>
    </w:pPr>
  </w:style>
  <w:style w:type="character" w:styleId="Lienhypertexte">
    <w:name w:val="Hyperlink"/>
    <w:basedOn w:val="Policepardfaut"/>
    <w:uiPriority w:val="99"/>
    <w:unhideWhenUsed/>
    <w:rsid w:val="00BE1876"/>
    <w:rPr>
      <w:color w:val="0563C1" w:themeColor="hyperlink"/>
      <w:u w:val="single"/>
    </w:rPr>
  </w:style>
  <w:style w:type="paragraph" w:customStyle="1" w:styleId="Normal1">
    <w:name w:val="Normal1"/>
    <w:autoRedefine/>
    <w:rsid w:val="005C290E"/>
    <w:pPr>
      <w:autoSpaceDN/>
      <w:spacing w:before="57"/>
      <w:jc w:val="both"/>
      <w:textAlignment w:val="center"/>
    </w:pPr>
    <w:rPr>
      <w:rFonts w:ascii="Arial" w:hAnsi="Arial"/>
      <w:b/>
      <w:sz w:val="20"/>
    </w:rPr>
  </w:style>
  <w:style w:type="character" w:styleId="Marquedecommentaire">
    <w:name w:val="annotation reference"/>
    <w:unhideWhenUsed/>
    <w:rsid w:val="00862504"/>
    <w:rPr>
      <w:sz w:val="16"/>
      <w:szCs w:val="16"/>
    </w:rPr>
  </w:style>
  <w:style w:type="character" w:customStyle="1" w:styleId="CommentaireCar">
    <w:name w:val="Commentaire Car"/>
    <w:link w:val="Commentaire"/>
    <w:rsid w:val="00862504"/>
    <w:rPr>
      <w:sz w:val="20"/>
      <w:szCs w:val="20"/>
      <w:lang w:val="en-US"/>
    </w:rPr>
  </w:style>
  <w:style w:type="paragraph" w:styleId="Commentaire">
    <w:name w:val="annotation text"/>
    <w:basedOn w:val="Normal1"/>
    <w:link w:val="CommentaireCar"/>
    <w:unhideWhenUsed/>
    <w:rsid w:val="00862504"/>
    <w:rPr>
      <w:rFonts w:ascii="Times New Roman" w:hAnsi="Times New Roman"/>
      <w:szCs w:val="20"/>
      <w:lang w:val="en-US"/>
    </w:rPr>
  </w:style>
  <w:style w:type="character" w:customStyle="1" w:styleId="CommentaireCar1">
    <w:name w:val="Commentaire Car1"/>
    <w:basedOn w:val="Policepardfaut"/>
    <w:uiPriority w:val="99"/>
    <w:semiHidden/>
    <w:rsid w:val="00862504"/>
    <w:rPr>
      <w:sz w:val="20"/>
      <w:szCs w:val="20"/>
    </w:rPr>
  </w:style>
  <w:style w:type="paragraph" w:styleId="Objetducommentaire">
    <w:name w:val="annotation subject"/>
    <w:basedOn w:val="Commentaire"/>
    <w:next w:val="Commentaire"/>
    <w:link w:val="ObjetducommentaireCar"/>
    <w:uiPriority w:val="99"/>
    <w:semiHidden/>
    <w:unhideWhenUsed/>
    <w:rsid w:val="00A8730E"/>
    <w:pPr>
      <w:autoSpaceDN w:val="0"/>
      <w:spacing w:before="0"/>
      <w:jc w:val="left"/>
      <w:textAlignment w:val="baseline"/>
    </w:pPr>
    <w:rPr>
      <w:b w:val="0"/>
      <w:bCs/>
      <w:lang w:val="fr-FR"/>
    </w:rPr>
  </w:style>
  <w:style w:type="character" w:customStyle="1" w:styleId="ObjetducommentaireCar">
    <w:name w:val="Objet du commentaire Car"/>
    <w:basedOn w:val="CommentaireCar"/>
    <w:link w:val="Objetducommentaire"/>
    <w:uiPriority w:val="99"/>
    <w:semiHidden/>
    <w:rsid w:val="00A8730E"/>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communaute-chorus-pro.finances.gouv.fr/?action=publicPage&amp;uri=intranetOnePage/400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ommunaute-chorus-pro.finances.gouv.fr/?action=publicPage&amp;uri=intranetOnePage/4210"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E7F316-A9AE-4D39-9978-63F78A17A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11</Pages>
  <Words>3861</Words>
  <Characters>21239</Characters>
  <Application>Microsoft Office Word</Application>
  <DocSecurity>0</DocSecurity>
  <Lines>176</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AVRIL Corinne</dc:creator>
  <cp:keywords/>
  <dc:description/>
  <cp:lastModifiedBy>DIOUF Darline</cp:lastModifiedBy>
  <cp:revision>24</cp:revision>
  <cp:lastPrinted>2018-07-10T09:21:00Z</cp:lastPrinted>
  <dcterms:created xsi:type="dcterms:W3CDTF">2019-07-11T09:39:00Z</dcterms:created>
  <dcterms:modified xsi:type="dcterms:W3CDTF">2025-01-14T10:02:00Z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