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6EBAA1" w14:textId="77777777" w:rsidR="007271E5" w:rsidRPr="007271E5" w:rsidRDefault="007271E5" w:rsidP="007271E5">
      <w:pPr>
        <w:widowControl w:val="0"/>
        <w:suppressAutoHyphens/>
        <w:jc w:val="left"/>
        <w:rPr>
          <w:rFonts w:ascii="Calibri" w:eastAsia="Andale Sans UI" w:hAnsi="Calibri" w:cs="Calibri"/>
          <w:kern w:val="1"/>
          <w:sz w:val="24"/>
          <w:szCs w:val="24"/>
        </w:rPr>
      </w:pPr>
      <w:r w:rsidRPr="007271E5">
        <w:rPr>
          <w:rFonts w:ascii="Times New Roman" w:eastAsia="Andale Sans UI" w:hAnsi="Times New Roman" w:cs="Times New Roman"/>
          <w:b/>
          <w:noProof/>
          <w:color w:val="auto"/>
          <w:kern w:val="1"/>
          <w:sz w:val="72"/>
          <w:szCs w:val="72"/>
          <w:lang w:eastAsia="fr-FR"/>
        </w:rPr>
        <w:drawing>
          <wp:inline distT="0" distB="0" distL="0" distR="0" wp14:anchorId="1CA67323" wp14:editId="389BBCDD">
            <wp:extent cx="1371600" cy="1066800"/>
            <wp:effectExtent l="0" t="0" r="0" b="0"/>
            <wp:docPr id="1" name="Image 1" descr="F:\DEMENAGEMENT\5 - DCE\Archives\marque prefet PD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:\DEMENAGEMENT\5 - DCE\Archives\marque prefet PD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FA92B2" w14:textId="77777777" w:rsidR="007271E5" w:rsidRPr="007271E5" w:rsidRDefault="007271E5" w:rsidP="007271E5">
      <w:pPr>
        <w:widowControl w:val="0"/>
        <w:suppressAutoHyphens/>
        <w:jc w:val="left"/>
        <w:rPr>
          <w:rFonts w:ascii="Calibri" w:eastAsia="Andale Sans UI" w:hAnsi="Calibri" w:cs="Calibri"/>
          <w:kern w:val="1"/>
          <w:sz w:val="24"/>
          <w:szCs w:val="24"/>
        </w:rPr>
      </w:pPr>
    </w:p>
    <w:p w14:paraId="12DA9933" w14:textId="77777777" w:rsidR="007271E5" w:rsidRPr="007271E5" w:rsidRDefault="007271E5" w:rsidP="007271E5">
      <w:pPr>
        <w:suppressAutoHyphens/>
        <w:ind w:right="624"/>
        <w:jc w:val="center"/>
        <w:rPr>
          <w:rFonts w:ascii="Calibri" w:eastAsia="Andale Sans UI" w:hAnsi="Calibri" w:cs="Calibri"/>
          <w:kern w:val="1"/>
        </w:rPr>
      </w:pPr>
      <w:bookmarkStart w:id="0" w:name="m_logo_marianne_acacher"/>
      <w:bookmarkEnd w:id="0"/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863"/>
      </w:tblGrid>
      <w:tr w:rsidR="007271E5" w:rsidRPr="007271E5" w14:paraId="4D463A7A" w14:textId="77777777" w:rsidTr="00324D3E">
        <w:tc>
          <w:tcPr>
            <w:tcW w:w="9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33E788" w14:textId="77777777" w:rsidR="007271E5" w:rsidRPr="007271E5" w:rsidRDefault="007271E5" w:rsidP="007271E5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4"/>
                <w:szCs w:val="24"/>
              </w:rPr>
            </w:pPr>
            <w:r w:rsidRPr="007271E5">
              <w:rPr>
                <w:rFonts w:ascii="Calibri" w:eastAsia="Andale Sans UI" w:hAnsi="Calibri" w:cs="Calibri"/>
                <w:b/>
                <w:bCs/>
                <w:color w:val="auto"/>
                <w:kern w:val="1"/>
                <w:sz w:val="26"/>
                <w:szCs w:val="26"/>
              </w:rPr>
              <w:t xml:space="preserve">Annexe à l'acte d'engagement de l'accord-cadre </w:t>
            </w:r>
            <w:r w:rsidRPr="007271E5">
              <w:rPr>
                <w:rFonts w:ascii="Calibri" w:eastAsia="Andale Sans UI" w:hAnsi="Calibri" w:cs="Calibri"/>
                <w:b/>
                <w:bCs/>
                <w:kern w:val="1"/>
                <w:sz w:val="26"/>
                <w:szCs w:val="26"/>
              </w:rPr>
              <w:t>202</w:t>
            </w:r>
            <w:r>
              <w:rPr>
                <w:rFonts w:ascii="Calibri" w:eastAsia="Andale Sans UI" w:hAnsi="Calibri" w:cs="Calibri"/>
                <w:b/>
                <w:bCs/>
                <w:kern w:val="1"/>
                <w:sz w:val="26"/>
                <w:szCs w:val="26"/>
              </w:rPr>
              <w:t>5</w:t>
            </w:r>
            <w:r w:rsidRPr="007271E5">
              <w:rPr>
                <w:rFonts w:ascii="Calibri" w:eastAsia="Andale Sans UI" w:hAnsi="Calibri" w:cs="Calibri"/>
                <w:b/>
                <w:bCs/>
                <w:kern w:val="1"/>
                <w:sz w:val="26"/>
                <w:szCs w:val="26"/>
              </w:rPr>
              <w:t>_SGAR_PDL_</w:t>
            </w:r>
            <w:r>
              <w:rPr>
                <w:rFonts w:ascii="Calibri" w:eastAsia="Andale Sans UI" w:hAnsi="Calibri" w:cs="Calibri"/>
                <w:b/>
                <w:bCs/>
                <w:kern w:val="1"/>
                <w:sz w:val="26"/>
                <w:szCs w:val="26"/>
              </w:rPr>
              <w:t>COMM</w:t>
            </w:r>
          </w:p>
        </w:tc>
      </w:tr>
      <w:tr w:rsidR="007271E5" w:rsidRPr="007271E5" w14:paraId="5E69C5D1" w14:textId="77777777" w:rsidTr="00324D3E">
        <w:tc>
          <w:tcPr>
            <w:tcW w:w="98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3E2DA5" w14:textId="77777777" w:rsidR="007271E5" w:rsidRPr="007271E5" w:rsidRDefault="007271E5" w:rsidP="007271E5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4"/>
                <w:szCs w:val="24"/>
              </w:rPr>
            </w:pPr>
            <w:r w:rsidRPr="007271E5">
              <w:rPr>
                <w:rFonts w:ascii="Calibri" w:eastAsia="Andale Sans UI" w:hAnsi="Calibri" w:cs="Calibri"/>
                <w:b/>
                <w:bCs/>
                <w:color w:val="auto"/>
                <w:kern w:val="1"/>
                <w:sz w:val="26"/>
                <w:szCs w:val="26"/>
              </w:rPr>
              <w:t>Cadre de réponse technique (CRT)</w:t>
            </w:r>
          </w:p>
        </w:tc>
      </w:tr>
    </w:tbl>
    <w:p w14:paraId="1AD6C995" w14:textId="77777777" w:rsidR="007271E5" w:rsidRPr="007271E5" w:rsidRDefault="007271E5" w:rsidP="007271E5">
      <w:pPr>
        <w:widowControl w:val="0"/>
        <w:suppressAutoHyphens/>
        <w:jc w:val="left"/>
        <w:rPr>
          <w:rFonts w:ascii="Calibri" w:eastAsia="Andale Sans UI" w:hAnsi="Calibri" w:cs="Calibri"/>
          <w:color w:val="auto"/>
          <w:kern w:val="1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855"/>
      </w:tblGrid>
      <w:tr w:rsidR="007271E5" w:rsidRPr="007271E5" w14:paraId="45103211" w14:textId="77777777" w:rsidTr="00324D3E">
        <w:tc>
          <w:tcPr>
            <w:tcW w:w="9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0006C3" w14:textId="77777777" w:rsidR="007271E5" w:rsidRPr="007271E5" w:rsidRDefault="007271E5" w:rsidP="007271E5">
            <w:pPr>
              <w:widowControl w:val="0"/>
              <w:suppressAutoHyphens/>
              <w:jc w:val="left"/>
              <w:rPr>
                <w:rFonts w:ascii="Times New Roman" w:eastAsia="Andale Sans UI" w:hAnsi="Times New Roman" w:cs="Times New Roman"/>
                <w:color w:val="auto"/>
                <w:kern w:val="1"/>
                <w:sz w:val="24"/>
                <w:szCs w:val="24"/>
              </w:rPr>
            </w:pPr>
            <w:r w:rsidRPr="007271E5">
              <w:rPr>
                <w:rFonts w:ascii="Calibri" w:eastAsia="Andale Sans UI" w:hAnsi="Calibri" w:cs="Calibri"/>
                <w:b/>
                <w:bCs/>
                <w:color w:val="auto"/>
                <w:kern w:val="1"/>
                <w:sz w:val="28"/>
                <w:szCs w:val="24"/>
              </w:rPr>
              <w:t>Préambule</w:t>
            </w:r>
          </w:p>
        </w:tc>
      </w:tr>
    </w:tbl>
    <w:p w14:paraId="195D9E1B" w14:textId="77777777" w:rsidR="007271E5" w:rsidRPr="007271E5" w:rsidRDefault="007271E5" w:rsidP="007271E5">
      <w:pPr>
        <w:widowControl w:val="0"/>
        <w:suppressAutoHyphens/>
        <w:jc w:val="left"/>
        <w:rPr>
          <w:rFonts w:ascii="Calibri" w:eastAsia="Andale Sans UI" w:hAnsi="Calibri" w:cs="Calibri"/>
          <w:color w:val="auto"/>
          <w:kern w:val="1"/>
          <w:sz w:val="24"/>
          <w:szCs w:val="24"/>
        </w:rPr>
      </w:pPr>
    </w:p>
    <w:p w14:paraId="378722D0" w14:textId="77777777" w:rsidR="007271E5" w:rsidRPr="001118E8" w:rsidRDefault="007271E5" w:rsidP="007271E5">
      <w:pPr>
        <w:widowControl w:val="0"/>
        <w:suppressAutoHyphens/>
        <w:jc w:val="left"/>
        <w:rPr>
          <w:rFonts w:ascii="Marianne" w:eastAsia="Andale Sans UI" w:hAnsi="Marianne" w:cs="Times New Roman"/>
          <w:color w:val="auto"/>
          <w:kern w:val="1"/>
          <w:sz w:val="20"/>
          <w:szCs w:val="20"/>
        </w:rPr>
      </w:pPr>
      <w:r w:rsidRPr="001118E8">
        <w:rPr>
          <w:rFonts w:ascii="Marianne" w:eastAsia="Andale Sans UI" w:hAnsi="Marianne" w:cs="Calibri"/>
          <w:b/>
          <w:color w:val="auto"/>
          <w:kern w:val="1"/>
          <w:sz w:val="20"/>
          <w:szCs w:val="20"/>
        </w:rPr>
        <w:t>Forme de la réponse</w:t>
      </w:r>
    </w:p>
    <w:p w14:paraId="564F5775" w14:textId="77777777" w:rsidR="007271E5" w:rsidRPr="001118E8" w:rsidRDefault="007271E5" w:rsidP="007271E5">
      <w:pPr>
        <w:widowControl w:val="0"/>
        <w:suppressAutoHyphens/>
        <w:jc w:val="left"/>
        <w:rPr>
          <w:rFonts w:ascii="Marianne" w:eastAsia="Andale Sans UI" w:hAnsi="Marianne" w:cs="Calibri"/>
          <w:b/>
          <w:color w:val="auto"/>
          <w:kern w:val="1"/>
          <w:sz w:val="20"/>
          <w:szCs w:val="20"/>
        </w:rPr>
      </w:pPr>
    </w:p>
    <w:p w14:paraId="208E5B1F" w14:textId="6F19514C" w:rsidR="00D5566A" w:rsidRPr="001118E8" w:rsidRDefault="007271E5" w:rsidP="007271E5">
      <w:pPr>
        <w:widowControl w:val="0"/>
        <w:suppressAutoHyphens/>
        <w:rPr>
          <w:rFonts w:ascii="Marianne" w:eastAsia="Andale Sans UI" w:hAnsi="Marianne" w:cs="Times New Roman"/>
          <w:color w:val="auto"/>
          <w:kern w:val="1"/>
          <w:sz w:val="20"/>
          <w:szCs w:val="20"/>
        </w:rPr>
      </w:pPr>
      <w:r w:rsidRPr="001118E8">
        <w:rPr>
          <w:rFonts w:ascii="Marianne" w:eastAsia="Andale Sans UI" w:hAnsi="Marianne" w:cs="Calibri"/>
          <w:color w:val="auto"/>
          <w:kern w:val="1"/>
          <w:sz w:val="20"/>
          <w:szCs w:val="20"/>
        </w:rPr>
        <w:t>Les candidats doivent fournir un mémoire technique, pièce constitutive de leur offre pour en juger la valeur technique</w:t>
      </w:r>
      <w:r w:rsidRPr="001118E8">
        <w:rPr>
          <w:rFonts w:ascii="Calibri" w:eastAsia="Andale Sans UI" w:hAnsi="Calibri" w:cs="Calibri"/>
          <w:color w:val="auto"/>
          <w:kern w:val="1"/>
          <w:sz w:val="20"/>
          <w:szCs w:val="20"/>
        </w:rPr>
        <w:t> </w:t>
      </w:r>
      <w:r w:rsidRPr="001118E8">
        <w:rPr>
          <w:rFonts w:ascii="Marianne" w:eastAsia="Andale Sans UI" w:hAnsi="Marianne" w:cs="Calibri"/>
          <w:color w:val="auto"/>
          <w:kern w:val="1"/>
          <w:sz w:val="20"/>
          <w:szCs w:val="20"/>
        </w:rPr>
        <w:t>dans le cadre du présent cadre de réponse</w:t>
      </w:r>
      <w:r w:rsidR="00D5566A">
        <w:rPr>
          <w:rFonts w:ascii="Marianne" w:eastAsia="Andale Sans UI" w:hAnsi="Marianne" w:cs="Calibri"/>
          <w:color w:val="auto"/>
          <w:kern w:val="1"/>
          <w:sz w:val="20"/>
          <w:szCs w:val="20"/>
        </w:rPr>
        <w:t xml:space="preserve"> </w:t>
      </w:r>
      <w:r w:rsidRPr="001118E8">
        <w:rPr>
          <w:rFonts w:ascii="Marianne" w:eastAsia="Andale Sans UI" w:hAnsi="Marianne" w:cs="Calibri"/>
          <w:b/>
          <w:color w:val="auto"/>
          <w:kern w:val="1"/>
          <w:sz w:val="20"/>
          <w:szCs w:val="20"/>
          <w:u w:val="single"/>
        </w:rPr>
        <w:t xml:space="preserve">ou </w:t>
      </w:r>
      <w:r w:rsidR="00D73CD3">
        <w:rPr>
          <w:rFonts w:ascii="Marianne" w:eastAsia="Andale Sans UI" w:hAnsi="Marianne" w:cs="Calibri"/>
          <w:b/>
          <w:color w:val="auto"/>
          <w:kern w:val="1"/>
          <w:sz w:val="20"/>
          <w:szCs w:val="20"/>
          <w:u w:val="single"/>
        </w:rPr>
        <w:t xml:space="preserve">dans </w:t>
      </w:r>
      <w:r w:rsidRPr="001118E8">
        <w:rPr>
          <w:rFonts w:ascii="Marianne" w:eastAsia="Andale Sans UI" w:hAnsi="Marianne" w:cs="Calibri"/>
          <w:b/>
          <w:color w:val="auto"/>
          <w:kern w:val="1"/>
          <w:sz w:val="20"/>
          <w:szCs w:val="20"/>
          <w:u w:val="single"/>
        </w:rPr>
        <w:t>un document équivalent</w:t>
      </w:r>
      <w:r w:rsidRPr="001118E8">
        <w:rPr>
          <w:rFonts w:ascii="Marianne" w:eastAsia="Andale Sans UI" w:hAnsi="Marianne" w:cs="Calibri"/>
          <w:color w:val="auto"/>
          <w:kern w:val="1"/>
          <w:sz w:val="20"/>
          <w:szCs w:val="20"/>
        </w:rPr>
        <w:t>.</w:t>
      </w:r>
      <w:r w:rsidR="008D2239">
        <w:rPr>
          <w:rFonts w:ascii="Marianne" w:eastAsia="Andale Sans UI" w:hAnsi="Marianne" w:cs="Calibri"/>
          <w:color w:val="auto"/>
          <w:kern w:val="1"/>
          <w:sz w:val="20"/>
          <w:szCs w:val="20"/>
        </w:rPr>
        <w:t xml:space="preserve"> </w:t>
      </w:r>
      <w:r w:rsidR="00D5566A">
        <w:rPr>
          <w:rFonts w:ascii="Marianne" w:eastAsia="Andale Sans UI" w:hAnsi="Marianne" w:cs="Times New Roman"/>
          <w:color w:val="auto"/>
          <w:kern w:val="1"/>
          <w:sz w:val="20"/>
          <w:szCs w:val="20"/>
        </w:rPr>
        <w:t xml:space="preserve">La réponse doit être dans un </w:t>
      </w:r>
      <w:r w:rsidR="00D5566A" w:rsidRPr="008D2239">
        <w:rPr>
          <w:rFonts w:ascii="Marianne" w:eastAsia="Andale Sans UI" w:hAnsi="Marianne" w:cs="Times New Roman"/>
          <w:b/>
          <w:color w:val="auto"/>
          <w:kern w:val="1"/>
          <w:sz w:val="20"/>
          <w:szCs w:val="20"/>
          <w:u w:val="single"/>
        </w:rPr>
        <w:t>format modifiable</w:t>
      </w:r>
      <w:r w:rsidR="00D5566A">
        <w:rPr>
          <w:rFonts w:ascii="Marianne" w:eastAsia="Andale Sans UI" w:hAnsi="Marianne" w:cs="Times New Roman"/>
          <w:color w:val="auto"/>
          <w:kern w:val="1"/>
          <w:sz w:val="20"/>
          <w:szCs w:val="20"/>
        </w:rPr>
        <w:t>.</w:t>
      </w:r>
    </w:p>
    <w:p w14:paraId="104A75AD" w14:textId="77777777" w:rsidR="007271E5" w:rsidRPr="001118E8" w:rsidRDefault="007271E5" w:rsidP="007271E5">
      <w:pPr>
        <w:widowControl w:val="0"/>
        <w:suppressAutoHyphens/>
        <w:jc w:val="left"/>
        <w:rPr>
          <w:rFonts w:ascii="Marianne" w:eastAsia="Andale Sans UI" w:hAnsi="Marianne" w:cs="Calibri"/>
          <w:color w:val="auto"/>
          <w:kern w:val="1"/>
          <w:sz w:val="20"/>
          <w:szCs w:val="20"/>
        </w:rPr>
      </w:pPr>
    </w:p>
    <w:p w14:paraId="13913748" w14:textId="77777777" w:rsidR="007271E5" w:rsidRPr="001118E8" w:rsidRDefault="007271E5" w:rsidP="007271E5">
      <w:pPr>
        <w:widowControl w:val="0"/>
        <w:suppressAutoHyphens/>
        <w:jc w:val="left"/>
        <w:rPr>
          <w:rFonts w:ascii="Marianne" w:eastAsia="Andale Sans UI" w:hAnsi="Marianne" w:cs="Times New Roman"/>
          <w:color w:val="auto"/>
          <w:kern w:val="1"/>
          <w:sz w:val="20"/>
          <w:szCs w:val="20"/>
        </w:rPr>
      </w:pPr>
      <w:r w:rsidRPr="001118E8">
        <w:rPr>
          <w:rFonts w:ascii="Marianne" w:eastAsia="Andale Sans UI" w:hAnsi="Marianne" w:cs="Calibri"/>
          <w:b/>
          <w:color w:val="auto"/>
          <w:kern w:val="1"/>
          <w:sz w:val="20"/>
          <w:szCs w:val="20"/>
        </w:rPr>
        <w:t>Contenu de la réponse</w:t>
      </w:r>
    </w:p>
    <w:p w14:paraId="450278EF" w14:textId="77777777" w:rsidR="007271E5" w:rsidRPr="001118E8" w:rsidRDefault="007271E5" w:rsidP="007271E5">
      <w:pPr>
        <w:widowControl w:val="0"/>
        <w:suppressAutoHyphens/>
        <w:jc w:val="left"/>
        <w:rPr>
          <w:rFonts w:ascii="Marianne" w:eastAsia="Andale Sans UI" w:hAnsi="Marianne" w:cs="Calibri"/>
          <w:b/>
          <w:color w:val="auto"/>
          <w:kern w:val="1"/>
          <w:sz w:val="20"/>
          <w:szCs w:val="20"/>
        </w:rPr>
      </w:pPr>
    </w:p>
    <w:p w14:paraId="0AE63002" w14:textId="77777777" w:rsidR="007271E5" w:rsidRPr="001118E8" w:rsidRDefault="007271E5" w:rsidP="007271E5">
      <w:pPr>
        <w:widowControl w:val="0"/>
        <w:tabs>
          <w:tab w:val="left" w:pos="360"/>
          <w:tab w:val="left" w:pos="3119"/>
          <w:tab w:val="left" w:leader="dot" w:pos="7371"/>
        </w:tabs>
        <w:suppressAutoHyphens/>
        <w:rPr>
          <w:rFonts w:ascii="Marianne" w:eastAsia="Andale Sans UI" w:hAnsi="Marianne" w:cs="Times New Roman"/>
          <w:color w:val="auto"/>
          <w:kern w:val="1"/>
          <w:sz w:val="20"/>
          <w:szCs w:val="20"/>
        </w:rPr>
      </w:pPr>
      <w:r w:rsidRPr="001118E8">
        <w:rPr>
          <w:rFonts w:ascii="Marianne" w:eastAsia="Andale Sans UI" w:hAnsi="Marianne" w:cs="Calibri"/>
          <w:color w:val="auto"/>
          <w:kern w:val="1"/>
          <w:sz w:val="20"/>
          <w:szCs w:val="20"/>
        </w:rPr>
        <w:t xml:space="preserve">Le mémoire technique doit permettre au pouvoir adjudicateur d’apprécier la capacité du candidat à répondre aux objectifs du marché et d’évaluer la qualité des prestations proposées. </w:t>
      </w:r>
    </w:p>
    <w:p w14:paraId="3BCC85A2" w14:textId="77777777" w:rsidR="007271E5" w:rsidRPr="001118E8" w:rsidRDefault="007271E5" w:rsidP="007271E5">
      <w:pPr>
        <w:widowControl w:val="0"/>
        <w:tabs>
          <w:tab w:val="left" w:pos="360"/>
          <w:tab w:val="left" w:pos="3119"/>
          <w:tab w:val="left" w:leader="dot" w:pos="7371"/>
        </w:tabs>
        <w:suppressAutoHyphens/>
        <w:rPr>
          <w:rFonts w:ascii="Marianne" w:eastAsia="Andale Sans UI" w:hAnsi="Marianne" w:cs="Calibri"/>
          <w:color w:val="auto"/>
          <w:kern w:val="1"/>
          <w:sz w:val="20"/>
          <w:szCs w:val="20"/>
        </w:rPr>
      </w:pPr>
    </w:p>
    <w:p w14:paraId="302F6794" w14:textId="77777777" w:rsidR="007271E5" w:rsidRPr="001118E8" w:rsidRDefault="007271E5" w:rsidP="007271E5">
      <w:pPr>
        <w:widowControl w:val="0"/>
        <w:tabs>
          <w:tab w:val="left" w:pos="360"/>
          <w:tab w:val="left" w:pos="3119"/>
          <w:tab w:val="left" w:leader="dot" w:pos="7371"/>
        </w:tabs>
        <w:suppressAutoHyphens/>
        <w:rPr>
          <w:rFonts w:ascii="Marianne" w:eastAsia="Andale Sans UI" w:hAnsi="Marianne" w:cs="Times New Roman"/>
          <w:color w:val="auto"/>
          <w:kern w:val="1"/>
          <w:sz w:val="20"/>
          <w:szCs w:val="20"/>
        </w:rPr>
      </w:pPr>
      <w:r w:rsidRPr="001118E8">
        <w:rPr>
          <w:rFonts w:ascii="Marianne" w:eastAsia="Andale Sans UI" w:hAnsi="Marianne" w:cs="Calibri"/>
          <w:color w:val="auto"/>
          <w:kern w:val="1"/>
          <w:sz w:val="20"/>
          <w:szCs w:val="20"/>
        </w:rPr>
        <w:t>Les informations trop générales et/ou non spécifiques aux interventions couvertes par l’accord-cadre ne sont d’aucune utilité et n’influent aucunement sur la notation.</w:t>
      </w:r>
    </w:p>
    <w:p w14:paraId="25A5566F" w14:textId="77777777" w:rsidR="007271E5" w:rsidRPr="001118E8" w:rsidRDefault="007271E5" w:rsidP="007271E5">
      <w:pPr>
        <w:widowControl w:val="0"/>
        <w:tabs>
          <w:tab w:val="left" w:pos="360"/>
          <w:tab w:val="left" w:pos="3119"/>
          <w:tab w:val="left" w:leader="dot" w:pos="7371"/>
        </w:tabs>
        <w:suppressAutoHyphens/>
        <w:rPr>
          <w:rFonts w:ascii="Marianne" w:eastAsia="Andale Sans UI" w:hAnsi="Marianne" w:cs="Calibri"/>
          <w:color w:val="auto"/>
          <w:kern w:val="1"/>
          <w:sz w:val="20"/>
          <w:szCs w:val="20"/>
        </w:rPr>
      </w:pPr>
    </w:p>
    <w:p w14:paraId="52F1A69B" w14:textId="77777777" w:rsidR="007271E5" w:rsidRDefault="007271E5" w:rsidP="007271E5">
      <w:pPr>
        <w:widowControl w:val="0"/>
        <w:tabs>
          <w:tab w:val="left" w:pos="360"/>
          <w:tab w:val="left" w:pos="3119"/>
          <w:tab w:val="left" w:leader="dot" w:pos="7371"/>
        </w:tabs>
        <w:suppressAutoHyphens/>
        <w:rPr>
          <w:rFonts w:ascii="Marianne" w:eastAsia="Andale Sans UI" w:hAnsi="Marianne" w:cs="Calibri"/>
          <w:color w:val="auto"/>
          <w:kern w:val="1"/>
          <w:sz w:val="20"/>
          <w:szCs w:val="20"/>
        </w:rPr>
      </w:pPr>
      <w:r w:rsidRPr="001118E8">
        <w:rPr>
          <w:rFonts w:ascii="Marianne" w:eastAsia="Andale Sans UI" w:hAnsi="Marianne" w:cs="Calibri"/>
          <w:color w:val="auto"/>
          <w:kern w:val="1"/>
          <w:sz w:val="20"/>
          <w:szCs w:val="20"/>
        </w:rPr>
        <w:t>De même, le simple fait de reprendre les éléments cités dans le cahier des clauses techniques particulières ne fera l’objet d’aucune valorisation.</w:t>
      </w:r>
    </w:p>
    <w:p w14:paraId="5A26E97F" w14:textId="77777777" w:rsidR="007271E5" w:rsidRPr="001118E8" w:rsidRDefault="007271E5" w:rsidP="007271E5">
      <w:pPr>
        <w:widowControl w:val="0"/>
        <w:tabs>
          <w:tab w:val="left" w:pos="360"/>
          <w:tab w:val="left" w:pos="3119"/>
          <w:tab w:val="left" w:leader="dot" w:pos="7371"/>
        </w:tabs>
        <w:suppressAutoHyphens/>
        <w:rPr>
          <w:rFonts w:ascii="Marianne" w:eastAsia="Andale Sans UI" w:hAnsi="Marianne" w:cs="Calibri"/>
          <w:color w:val="auto"/>
          <w:kern w:val="1"/>
          <w:sz w:val="20"/>
          <w:szCs w:val="20"/>
        </w:rPr>
      </w:pPr>
    </w:p>
    <w:p w14:paraId="21D89DAE" w14:textId="77777777" w:rsidR="007271E5" w:rsidRPr="001118E8" w:rsidRDefault="007271E5" w:rsidP="007271E5">
      <w:pPr>
        <w:widowControl w:val="0"/>
        <w:tabs>
          <w:tab w:val="left" w:pos="360"/>
          <w:tab w:val="left" w:pos="3119"/>
          <w:tab w:val="left" w:leader="dot" w:pos="7371"/>
        </w:tabs>
        <w:suppressAutoHyphens/>
        <w:rPr>
          <w:rFonts w:ascii="Marianne" w:eastAsia="Andale Sans UI" w:hAnsi="Marianne" w:cs="Times New Roman"/>
          <w:color w:val="auto"/>
          <w:kern w:val="1"/>
          <w:sz w:val="20"/>
          <w:szCs w:val="20"/>
        </w:rPr>
      </w:pPr>
      <w:r w:rsidRPr="001118E8">
        <w:rPr>
          <w:rFonts w:ascii="Marianne" w:eastAsia="Andale Sans UI" w:hAnsi="Marianne" w:cs="Calibri"/>
          <w:color w:val="auto"/>
          <w:kern w:val="1"/>
          <w:sz w:val="20"/>
          <w:szCs w:val="20"/>
        </w:rPr>
        <w:t>Le candidat peut demander à l'administration de se reporter à une annexe à son mémoire technique (</w:t>
      </w:r>
      <w:r w:rsidRPr="001118E8">
        <w:rPr>
          <w:rFonts w:ascii="Marianne" w:eastAsia="Andale Sans UI" w:hAnsi="Marianne" w:cs="Calibri"/>
          <w:b/>
          <w:bCs/>
          <w:color w:val="auto"/>
          <w:kern w:val="1"/>
          <w:sz w:val="20"/>
          <w:szCs w:val="20"/>
          <w:u w:val="single"/>
        </w:rPr>
        <w:t>en précisant clairement au préalable la référence ou le numéro de l'annexe concernée</w:t>
      </w:r>
      <w:r w:rsidRPr="001118E8">
        <w:rPr>
          <w:rFonts w:ascii="Marianne" w:eastAsia="Andale Sans UI" w:hAnsi="Marianne" w:cs="Calibri"/>
          <w:color w:val="auto"/>
          <w:kern w:val="1"/>
          <w:sz w:val="20"/>
          <w:szCs w:val="20"/>
        </w:rPr>
        <w:t>).</w:t>
      </w:r>
    </w:p>
    <w:p w14:paraId="0E25EF4F" w14:textId="77777777" w:rsidR="007271E5" w:rsidRPr="001118E8" w:rsidRDefault="007271E5" w:rsidP="007271E5">
      <w:pPr>
        <w:widowControl w:val="0"/>
        <w:tabs>
          <w:tab w:val="left" w:pos="360"/>
          <w:tab w:val="left" w:pos="3119"/>
          <w:tab w:val="left" w:leader="dot" w:pos="7371"/>
        </w:tabs>
        <w:suppressAutoHyphens/>
        <w:rPr>
          <w:rFonts w:ascii="Marianne" w:eastAsia="Andale Sans UI" w:hAnsi="Marianne" w:cs="Calibri"/>
          <w:color w:val="auto"/>
          <w:kern w:val="1"/>
          <w:sz w:val="20"/>
          <w:szCs w:val="20"/>
        </w:rPr>
      </w:pPr>
    </w:p>
    <w:p w14:paraId="605A6E08" w14:textId="61D6F988" w:rsidR="007271E5" w:rsidRDefault="00D5566A" w:rsidP="007271E5">
      <w:pPr>
        <w:widowControl w:val="0"/>
        <w:tabs>
          <w:tab w:val="left" w:pos="360"/>
          <w:tab w:val="left" w:pos="3119"/>
          <w:tab w:val="left" w:leader="dot" w:pos="7371"/>
        </w:tabs>
        <w:suppressAutoHyphens/>
        <w:rPr>
          <w:rFonts w:ascii="Marianne" w:eastAsia="Andale Sans UI" w:hAnsi="Marianne" w:cs="Calibri"/>
          <w:color w:val="auto"/>
          <w:kern w:val="1"/>
          <w:sz w:val="20"/>
          <w:szCs w:val="20"/>
        </w:rPr>
      </w:pPr>
      <w:r w:rsidRPr="00007BF7">
        <w:rPr>
          <w:rFonts w:ascii="Marianne" w:eastAsia="Andale Sans UI" w:hAnsi="Marianne" w:cs="Calibri"/>
          <w:b/>
          <w:color w:val="auto"/>
          <w:kern w:val="1"/>
          <w:sz w:val="20"/>
          <w:szCs w:val="20"/>
          <w:u w:val="single"/>
        </w:rPr>
        <w:t>L</w:t>
      </w:r>
      <w:r w:rsidR="007271E5" w:rsidRPr="00007BF7">
        <w:rPr>
          <w:rFonts w:ascii="Marianne" w:eastAsia="Andale Sans UI" w:hAnsi="Marianne" w:cs="Calibri"/>
          <w:b/>
          <w:color w:val="auto"/>
          <w:kern w:val="1"/>
          <w:sz w:val="20"/>
          <w:szCs w:val="20"/>
          <w:u w:val="single"/>
        </w:rPr>
        <w:t>e mémoire technique ayant vocation à devenir contractuel</w:t>
      </w:r>
      <w:r w:rsidR="007271E5" w:rsidRPr="001118E8">
        <w:rPr>
          <w:rFonts w:ascii="Marianne" w:eastAsia="Andale Sans UI" w:hAnsi="Marianne" w:cs="Calibri"/>
          <w:color w:val="auto"/>
          <w:kern w:val="1"/>
          <w:sz w:val="20"/>
          <w:szCs w:val="20"/>
        </w:rPr>
        <w:t xml:space="preserve">, le titulaire sera tenu de mettre à disposition une équipe ayant une expérience et des profils identiques ou équivalents à ceux présentés dans son offre. </w:t>
      </w:r>
    </w:p>
    <w:p w14:paraId="0F2FCB39" w14:textId="37940401" w:rsidR="002249EA" w:rsidRDefault="002249EA" w:rsidP="007271E5">
      <w:pPr>
        <w:widowControl w:val="0"/>
        <w:tabs>
          <w:tab w:val="left" w:pos="360"/>
          <w:tab w:val="left" w:pos="3119"/>
          <w:tab w:val="left" w:leader="dot" w:pos="7371"/>
        </w:tabs>
        <w:suppressAutoHyphens/>
        <w:rPr>
          <w:rFonts w:ascii="Marianne" w:eastAsia="Andale Sans UI" w:hAnsi="Marianne" w:cs="Calibri"/>
          <w:color w:val="auto"/>
          <w:kern w:val="1"/>
          <w:sz w:val="20"/>
          <w:szCs w:val="20"/>
        </w:rPr>
      </w:pPr>
    </w:p>
    <w:p w14:paraId="446A59FA" w14:textId="77777777" w:rsidR="002249EA" w:rsidRDefault="002249EA" w:rsidP="007271E5">
      <w:pPr>
        <w:widowControl w:val="0"/>
        <w:tabs>
          <w:tab w:val="left" w:pos="360"/>
          <w:tab w:val="left" w:pos="3119"/>
          <w:tab w:val="left" w:leader="dot" w:pos="7371"/>
        </w:tabs>
        <w:suppressAutoHyphens/>
        <w:rPr>
          <w:rFonts w:ascii="Marianne" w:eastAsia="Andale Sans UI" w:hAnsi="Marianne" w:cs="Calibri"/>
          <w:color w:val="auto"/>
          <w:kern w:val="1"/>
          <w:sz w:val="20"/>
          <w:szCs w:val="20"/>
        </w:rPr>
      </w:pPr>
    </w:p>
    <w:p w14:paraId="0B9079A7" w14:textId="77777777" w:rsidR="002249EA" w:rsidRDefault="002249EA" w:rsidP="002249EA">
      <w:pPr>
        <w:widowControl w:val="0"/>
        <w:tabs>
          <w:tab w:val="left" w:pos="360"/>
          <w:tab w:val="left" w:pos="3119"/>
          <w:tab w:val="left" w:leader="dot" w:pos="7371"/>
        </w:tabs>
        <w:suppressAutoHyphens/>
        <w:rPr>
          <w:rFonts w:ascii="Marianne" w:eastAsia="Andale Sans UI" w:hAnsi="Marianne" w:cs="Times New Roman"/>
          <w:color w:val="auto"/>
          <w:kern w:val="1"/>
          <w:sz w:val="20"/>
          <w:szCs w:val="20"/>
        </w:rPr>
      </w:pPr>
    </w:p>
    <w:p w14:paraId="4097A601" w14:textId="77777777" w:rsidR="002249EA" w:rsidRPr="002249EA" w:rsidRDefault="002249EA" w:rsidP="002249EA">
      <w:pPr>
        <w:suppressAutoHyphens/>
        <w:rPr>
          <w:rFonts w:ascii="Marianne" w:eastAsia="Andale Sans UI" w:hAnsi="Marianne" w:cs="Calibri"/>
          <w:b/>
          <w:i/>
          <w:color w:val="auto"/>
          <w:kern w:val="1"/>
          <w:sz w:val="20"/>
          <w:szCs w:val="24"/>
        </w:rPr>
      </w:pPr>
      <w:r w:rsidRPr="002249EA">
        <w:rPr>
          <w:rFonts w:ascii="Marianne" w:eastAsia="Andale Sans UI" w:hAnsi="Marianne" w:cs="Calibri"/>
          <w:b/>
          <w:i/>
          <w:color w:val="auto"/>
          <w:kern w:val="1"/>
          <w:sz w:val="20"/>
          <w:szCs w:val="24"/>
        </w:rPr>
        <w:t xml:space="preserve">Toutes les mesures sans liens directs avec l’objet du marché ou son exécution sont considérées comme non conformes aux attentes du pouvoir adjudicateur. </w:t>
      </w:r>
    </w:p>
    <w:p w14:paraId="083C1BED" w14:textId="77777777" w:rsidR="001E34E8" w:rsidRDefault="001E34E8" w:rsidP="007271E5">
      <w:pPr>
        <w:widowControl w:val="0"/>
        <w:tabs>
          <w:tab w:val="left" w:pos="360"/>
          <w:tab w:val="left" w:pos="3119"/>
          <w:tab w:val="left" w:leader="dot" w:pos="7371"/>
        </w:tabs>
        <w:suppressAutoHyphens/>
        <w:rPr>
          <w:rFonts w:ascii="Marianne" w:eastAsia="Andale Sans UI" w:hAnsi="Marianne" w:cs="Calibri"/>
          <w:color w:val="auto"/>
          <w:kern w:val="1"/>
          <w:sz w:val="20"/>
          <w:szCs w:val="20"/>
        </w:rPr>
      </w:pPr>
    </w:p>
    <w:p w14:paraId="0507FF9C" w14:textId="77777777" w:rsidR="00AC64C6" w:rsidRDefault="00AC64C6" w:rsidP="007271E5">
      <w:pPr>
        <w:widowControl w:val="0"/>
        <w:tabs>
          <w:tab w:val="left" w:pos="360"/>
          <w:tab w:val="left" w:pos="3119"/>
          <w:tab w:val="left" w:leader="dot" w:pos="7371"/>
        </w:tabs>
        <w:suppressAutoHyphens/>
        <w:rPr>
          <w:rFonts w:ascii="Marianne" w:eastAsia="Andale Sans UI" w:hAnsi="Marianne" w:cs="Calibri"/>
          <w:color w:val="auto"/>
          <w:kern w:val="1"/>
          <w:sz w:val="20"/>
          <w:szCs w:val="20"/>
        </w:rPr>
      </w:pPr>
    </w:p>
    <w:p w14:paraId="1EE5B31B" w14:textId="77777777" w:rsidR="00E2310B" w:rsidRDefault="00E2310B" w:rsidP="00E2310B">
      <w:pPr>
        <w:pageBreakBefore/>
        <w:spacing w:line="276" w:lineRule="auto"/>
        <w:rPr>
          <w:rFonts w:ascii="Calibri" w:eastAsia="Andale Sans UI" w:hAnsi="Calibri" w:cs="Calibri"/>
          <w:bCs/>
          <w:color w:val="auto"/>
          <w:lang w:eastAsia="fr-FR"/>
        </w:rPr>
      </w:pPr>
    </w:p>
    <w:tbl>
      <w:tblPr>
        <w:tblW w:w="9647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05"/>
        <w:gridCol w:w="6090"/>
        <w:gridCol w:w="152"/>
      </w:tblGrid>
      <w:tr w:rsidR="00E2310B" w14:paraId="50E8119D" w14:textId="77777777" w:rsidTr="00A070A4">
        <w:trPr>
          <w:jc w:val="center"/>
        </w:trPr>
        <w:tc>
          <w:tcPr>
            <w:tcW w:w="96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hideMark/>
          </w:tcPr>
          <w:p w14:paraId="6D14C575" w14:textId="77777777" w:rsidR="00E2310B" w:rsidRDefault="00E2310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b/>
              </w:rPr>
              <w:t>CADRE DE REPONSE TECHNIQUE du LOT n° ...................</w:t>
            </w:r>
            <w:r>
              <w:rPr>
                <w:rFonts w:ascii="Calibri" w:hAnsi="Calibri" w:cs="Calibri"/>
                <w:i/>
                <w:iCs/>
              </w:rPr>
              <w:t>(à compléter par le candidat)</w:t>
            </w:r>
          </w:p>
        </w:tc>
      </w:tr>
      <w:tr w:rsidR="00E2310B" w14:paraId="686490AA" w14:textId="77777777" w:rsidTr="00A070A4">
        <w:trPr>
          <w:jc w:val="center"/>
        </w:trPr>
        <w:tc>
          <w:tcPr>
            <w:tcW w:w="96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</w:tcPr>
          <w:p w14:paraId="71F89477" w14:textId="77777777" w:rsidR="00E2310B" w:rsidRDefault="00E2310B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CANDIDAT : …………………</w:t>
            </w:r>
            <w:r w:rsidRPr="00E2310B">
              <w:rPr>
                <w:rFonts w:ascii="Calibri" w:hAnsi="Calibri" w:cs="Calibri"/>
                <w:i/>
              </w:rPr>
              <w:t>…(à compléter par le candidat)</w:t>
            </w:r>
          </w:p>
        </w:tc>
      </w:tr>
      <w:tr w:rsidR="00E2310B" w14:paraId="7D2C1EF9" w14:textId="77777777" w:rsidTr="00A070A4">
        <w:trPr>
          <w:jc w:val="center"/>
        </w:trPr>
        <w:tc>
          <w:tcPr>
            <w:tcW w:w="96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DD6EE"/>
            <w:hideMark/>
          </w:tcPr>
          <w:p w14:paraId="750EB846" w14:textId="77777777" w:rsidR="00E2310B" w:rsidRPr="00312988" w:rsidRDefault="00E2310B" w:rsidP="00E2310B">
            <w:pPr>
              <w:tabs>
                <w:tab w:val="left" w:pos="2812"/>
              </w:tabs>
              <w:outlineLvl w:val="0"/>
              <w:rPr>
                <w:rFonts w:ascii="Marianne" w:hAnsi="Marianne"/>
                <w:bCs/>
                <w:sz w:val="20"/>
                <w:szCs w:val="20"/>
                <w:lang w:eastAsia="fr-FR"/>
              </w:rPr>
            </w:pPr>
            <w:r w:rsidRPr="00312988">
              <w:rPr>
                <w:rFonts w:ascii="Calibri" w:hAnsi="Calibri" w:cs="Calibri"/>
              </w:rPr>
              <w:t xml:space="preserve">Sous-critère n°1 : </w:t>
            </w:r>
            <w:r w:rsidRPr="00312988">
              <w:rPr>
                <w:rFonts w:ascii="Marianne" w:hAnsi="Marianne"/>
                <w:bCs/>
                <w:sz w:val="20"/>
                <w:szCs w:val="20"/>
                <w:lang w:eastAsia="fr-FR"/>
              </w:rPr>
              <w:t xml:space="preserve">Moyens humains et organisation dédiée au marché </w:t>
            </w:r>
          </w:p>
          <w:p w14:paraId="50C0528F" w14:textId="77777777" w:rsidR="00E2310B" w:rsidRPr="00312988" w:rsidRDefault="00E2310B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E2310B" w14:paraId="05D7FF57" w14:textId="77777777" w:rsidTr="00405E08">
        <w:trPr>
          <w:jc w:val="center"/>
        </w:trPr>
        <w:tc>
          <w:tcPr>
            <w:tcW w:w="34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hideMark/>
          </w:tcPr>
          <w:p w14:paraId="20AD2D4C" w14:textId="77777777" w:rsidR="00E2310B" w:rsidRDefault="00E2310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b/>
                <w:bCs/>
              </w:rPr>
              <w:t>Désignation</w:t>
            </w:r>
          </w:p>
        </w:tc>
        <w:tc>
          <w:tcPr>
            <w:tcW w:w="6090" w:type="dxa"/>
            <w:tcBorders>
              <w:top w:val="nil"/>
              <w:left w:val="single" w:sz="2" w:space="0" w:color="000000"/>
              <w:bottom w:val="single" w:sz="2" w:space="0" w:color="000000"/>
            </w:tcBorders>
            <w:shd w:val="clear" w:color="auto" w:fill="E2E2E2"/>
            <w:hideMark/>
          </w:tcPr>
          <w:p w14:paraId="2EAF7362" w14:textId="77777777" w:rsidR="00E2310B" w:rsidRDefault="00E2310B">
            <w:pPr>
              <w:snapToGrid w:val="0"/>
              <w:jc w:val="center"/>
            </w:pPr>
            <w:r>
              <w:rPr>
                <w:rFonts w:ascii="Calibri" w:hAnsi="Calibri" w:cs="Calibri"/>
                <w:b/>
                <w:bCs/>
              </w:rPr>
              <w:t>Réponses du candidat</w:t>
            </w:r>
          </w:p>
        </w:tc>
        <w:tc>
          <w:tcPr>
            <w:tcW w:w="15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E2E2E2"/>
            <w:hideMark/>
          </w:tcPr>
          <w:p w14:paraId="1BEA47FA" w14:textId="77777777" w:rsidR="00E2310B" w:rsidRDefault="00E2310B">
            <w:pPr>
              <w:snapToGrid w:val="0"/>
              <w:jc w:val="center"/>
            </w:pPr>
          </w:p>
        </w:tc>
      </w:tr>
      <w:tr w:rsidR="00E2310B" w14:paraId="493B3B6C" w14:textId="77777777" w:rsidTr="00405E08">
        <w:trPr>
          <w:trHeight w:val="1177"/>
          <w:jc w:val="center"/>
        </w:trPr>
        <w:tc>
          <w:tcPr>
            <w:tcW w:w="34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6B64F4" w14:textId="035C54E1" w:rsidR="00E2310B" w:rsidRPr="001118E8" w:rsidRDefault="00E2310B" w:rsidP="00E2310B">
            <w:pPr>
              <w:tabs>
                <w:tab w:val="left" w:pos="2812"/>
              </w:tabs>
              <w:outlineLvl w:val="0"/>
              <w:rPr>
                <w:rFonts w:ascii="Marianne" w:hAnsi="Marianne"/>
                <w:sz w:val="20"/>
                <w:szCs w:val="20"/>
              </w:rPr>
            </w:pPr>
            <w:r w:rsidRPr="001118E8">
              <w:rPr>
                <w:rFonts w:ascii="Marianne" w:hAnsi="Marianne"/>
                <w:b/>
                <w:bCs/>
                <w:sz w:val="20"/>
                <w:szCs w:val="20"/>
              </w:rPr>
              <w:t xml:space="preserve">Présentation générale du candidat </w:t>
            </w:r>
            <w:r>
              <w:rPr>
                <w:rFonts w:ascii="Marianne" w:hAnsi="Marianne"/>
                <w:b/>
                <w:bCs/>
                <w:sz w:val="20"/>
                <w:szCs w:val="20"/>
              </w:rPr>
              <w:t>(</w:t>
            </w:r>
            <w:r w:rsidR="00312988">
              <w:rPr>
                <w:rFonts w:ascii="Marianne" w:hAnsi="Marianne"/>
                <w:b/>
                <w:bCs/>
                <w:sz w:val="20"/>
                <w:szCs w:val="20"/>
              </w:rPr>
              <w:t>Nom, adresse, typologie</w:t>
            </w:r>
            <w:r w:rsidR="00405E08">
              <w:rPr>
                <w:rFonts w:ascii="Marianne" w:hAnsi="Marianne"/>
                <w:b/>
                <w:bCs/>
                <w:sz w:val="20"/>
                <w:szCs w:val="20"/>
              </w:rPr>
              <w:t xml:space="preserve"> de la structure</w:t>
            </w:r>
            <w:r w:rsidR="00312988">
              <w:rPr>
                <w:rFonts w:ascii="Marianne" w:hAnsi="Marianne"/>
                <w:b/>
                <w:bCs/>
                <w:sz w:val="20"/>
                <w:szCs w:val="20"/>
              </w:rPr>
              <w:t>…</w:t>
            </w:r>
            <w:r>
              <w:rPr>
                <w:rFonts w:ascii="Marianne" w:hAnsi="Marianne"/>
                <w:b/>
                <w:bCs/>
                <w:sz w:val="20"/>
                <w:szCs w:val="20"/>
              </w:rPr>
              <w:t>)</w:t>
            </w:r>
          </w:p>
          <w:p w14:paraId="150CAEE6" w14:textId="77777777" w:rsidR="00E2310B" w:rsidRPr="001118E8" w:rsidRDefault="00E2310B" w:rsidP="00E2310B">
            <w:pPr>
              <w:keepLines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outlineLvl w:val="0"/>
              <w:rPr>
                <w:rFonts w:ascii="Marianne" w:hAnsi="Marianne"/>
                <w:sz w:val="20"/>
                <w:szCs w:val="20"/>
              </w:rPr>
            </w:pPr>
            <w:r w:rsidRPr="001118E8">
              <w:rPr>
                <w:rFonts w:ascii="Marianne" w:hAnsi="Marianne"/>
                <w:sz w:val="20"/>
                <w:szCs w:val="20"/>
                <w:lang w:eastAsia="fr-FR"/>
              </w:rPr>
              <w:t xml:space="preserve">Identité de l’interlocuteur garant de la gestion contractuelle du marché (réunions de pilotage, </w:t>
            </w:r>
            <w:proofErr w:type="spellStart"/>
            <w:r w:rsidRPr="001118E8">
              <w:rPr>
                <w:rFonts w:ascii="Marianne" w:hAnsi="Marianne"/>
                <w:sz w:val="20"/>
                <w:szCs w:val="20"/>
                <w:lang w:eastAsia="fr-FR"/>
              </w:rPr>
              <w:t>reporting</w:t>
            </w:r>
            <w:proofErr w:type="spellEnd"/>
            <w:r w:rsidRPr="001118E8">
              <w:rPr>
                <w:rFonts w:ascii="Marianne" w:hAnsi="Marianne"/>
                <w:sz w:val="20"/>
                <w:szCs w:val="20"/>
                <w:lang w:eastAsia="fr-FR"/>
              </w:rPr>
              <w:t xml:space="preserve"> à l’</w:t>
            </w:r>
            <w:r w:rsidRPr="001118E8">
              <w:rPr>
                <w:rFonts w:ascii="Marianne" w:eastAsia="Times New Roman" w:hAnsi="Marianne"/>
                <w:color w:val="00000A"/>
                <w:sz w:val="20"/>
                <w:szCs w:val="20"/>
                <w:lang w:eastAsia="fr-FR"/>
              </w:rPr>
              <w:t>acheteur, gestion des avenants éventuels, etc.)</w:t>
            </w:r>
          </w:p>
          <w:p w14:paraId="229E6142" w14:textId="77777777" w:rsidR="00E2310B" w:rsidRPr="001118E8" w:rsidRDefault="00E2310B" w:rsidP="00E2310B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outlineLvl w:val="0"/>
              <w:rPr>
                <w:rFonts w:ascii="Marianne" w:hAnsi="Marianne"/>
                <w:sz w:val="20"/>
                <w:szCs w:val="20"/>
              </w:rPr>
            </w:pPr>
            <w:r w:rsidRPr="001118E8">
              <w:rPr>
                <w:rFonts w:ascii="Marianne" w:eastAsia="Times New Roman" w:hAnsi="Marianne"/>
                <w:color w:val="00000A"/>
                <w:sz w:val="20"/>
                <w:szCs w:val="20"/>
                <w:lang w:eastAsia="fr-FR"/>
              </w:rPr>
              <w:t>Organigramme du titulaire synthétisant l’organisation de l’équipe opérationnelle dédiée au marché (qui fait, quoi, q</w:t>
            </w:r>
            <w:r w:rsidRPr="001118E8">
              <w:rPr>
                <w:rFonts w:ascii="Marianne" w:hAnsi="Marianne"/>
                <w:sz w:val="20"/>
                <w:szCs w:val="20"/>
                <w:lang w:eastAsia="fr-FR"/>
              </w:rPr>
              <w:t>uand</w:t>
            </w:r>
            <w:r w:rsidRPr="001118E8">
              <w:rPr>
                <w:rFonts w:ascii="Calibri" w:hAnsi="Calibri" w:cs="Calibri"/>
                <w:sz w:val="20"/>
                <w:szCs w:val="20"/>
                <w:lang w:eastAsia="fr-FR"/>
              </w:rPr>
              <w:t> </w:t>
            </w:r>
            <w:r w:rsidRPr="001118E8">
              <w:rPr>
                <w:rFonts w:ascii="Marianne" w:hAnsi="Marianne"/>
                <w:sz w:val="20"/>
                <w:szCs w:val="20"/>
                <w:lang w:eastAsia="fr-FR"/>
              </w:rPr>
              <w:t>?)</w:t>
            </w:r>
          </w:p>
          <w:p w14:paraId="3105E131" w14:textId="77777777" w:rsidR="00E2310B" w:rsidRDefault="00E2310B" w:rsidP="00E2310B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outlineLvl w:val="0"/>
              <w:rPr>
                <w:rFonts w:ascii="Marianne" w:hAnsi="Marianne"/>
                <w:sz w:val="20"/>
                <w:szCs w:val="20"/>
              </w:rPr>
            </w:pPr>
            <w:r w:rsidRPr="001118E8">
              <w:rPr>
                <w:rFonts w:ascii="Marianne" w:hAnsi="Marianne"/>
                <w:sz w:val="20"/>
                <w:szCs w:val="20"/>
                <w:lang w:eastAsia="fr-FR"/>
              </w:rPr>
              <w:t>Moyens techniques mobilisés (réunions, veille, études etc.)</w:t>
            </w:r>
          </w:p>
          <w:p w14:paraId="499CE1D4" w14:textId="77777777" w:rsidR="00E2310B" w:rsidRPr="001118E8" w:rsidRDefault="00E2310B" w:rsidP="00E2310B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outlineLvl w:val="0"/>
              <w:rPr>
                <w:rFonts w:ascii="Marianne" w:hAnsi="Marianne"/>
                <w:sz w:val="20"/>
                <w:szCs w:val="20"/>
              </w:rPr>
            </w:pPr>
            <w:r w:rsidRPr="001118E8">
              <w:rPr>
                <w:rFonts w:ascii="Marianne" w:hAnsi="Marianne"/>
                <w:sz w:val="20"/>
                <w:szCs w:val="20"/>
                <w:lang w:eastAsia="fr-FR"/>
              </w:rPr>
              <w:t>Équipe proposée</w:t>
            </w:r>
            <w:r w:rsidRPr="001118E8">
              <w:rPr>
                <w:rFonts w:ascii="Calibri" w:hAnsi="Calibri" w:cs="Calibri"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sz w:val="20"/>
                <w:szCs w:val="20"/>
                <w:lang w:eastAsia="fr-FR"/>
              </w:rPr>
              <w:t>(joindre les CV)</w:t>
            </w:r>
          </w:p>
          <w:p w14:paraId="2290515E" w14:textId="77777777" w:rsidR="00E2310B" w:rsidRDefault="00E2310B" w:rsidP="00E2310B">
            <w:pPr>
              <w:widowControl w:val="0"/>
              <w:tabs>
                <w:tab w:val="left" w:pos="372"/>
              </w:tabs>
              <w:suppressAutoHyphens/>
              <w:snapToGrid w:val="0"/>
              <w:spacing w:after="200"/>
              <w:jc w:val="left"/>
              <w:rPr>
                <w:b/>
              </w:rPr>
            </w:pPr>
          </w:p>
        </w:tc>
        <w:tc>
          <w:tcPr>
            <w:tcW w:w="6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58E4457" w14:textId="77777777" w:rsidR="00E2310B" w:rsidRDefault="00E2310B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DE07222" w14:textId="77777777" w:rsidR="00E2310B" w:rsidRDefault="00E2310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87427D" w14:textId="77777777" w:rsidR="00E2310B" w:rsidRDefault="00E2310B">
            <w:pPr>
              <w:snapToGrid w:val="0"/>
              <w:jc w:val="center"/>
              <w:rPr>
                <w:b/>
              </w:rPr>
            </w:pPr>
          </w:p>
          <w:p w14:paraId="3E0EA1D5" w14:textId="77777777" w:rsidR="00E2310B" w:rsidRDefault="00E2310B">
            <w:pPr>
              <w:snapToGrid w:val="0"/>
              <w:jc w:val="center"/>
              <w:rPr>
                <w:b/>
              </w:rPr>
            </w:pPr>
          </w:p>
          <w:p w14:paraId="52633BEC" w14:textId="77777777" w:rsidR="00E2310B" w:rsidRDefault="00E2310B">
            <w:pPr>
              <w:snapToGrid w:val="0"/>
              <w:jc w:val="center"/>
              <w:rPr>
                <w:b/>
              </w:rPr>
            </w:pPr>
          </w:p>
          <w:p w14:paraId="43FEBAE1" w14:textId="77777777" w:rsidR="00E2310B" w:rsidRDefault="00E2310B">
            <w:pPr>
              <w:snapToGrid w:val="0"/>
              <w:jc w:val="center"/>
              <w:rPr>
                <w:b/>
              </w:rPr>
            </w:pPr>
          </w:p>
          <w:p w14:paraId="1E542407" w14:textId="77777777" w:rsidR="00E2310B" w:rsidRDefault="00E2310B">
            <w:pPr>
              <w:snapToGrid w:val="0"/>
              <w:jc w:val="center"/>
              <w:rPr>
                <w:b/>
              </w:rPr>
            </w:pPr>
          </w:p>
          <w:p w14:paraId="1CF6F5AA" w14:textId="77777777" w:rsidR="00E2310B" w:rsidRDefault="00E2310B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2310B" w14:paraId="305F2676" w14:textId="77777777" w:rsidTr="00A070A4">
        <w:trPr>
          <w:jc w:val="center"/>
        </w:trPr>
        <w:tc>
          <w:tcPr>
            <w:tcW w:w="9647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9CC2E5"/>
            <w:hideMark/>
          </w:tcPr>
          <w:p w14:paraId="00636EB6" w14:textId="77777777" w:rsidR="00E2310B" w:rsidRPr="00312988" w:rsidRDefault="00E2310B" w:rsidP="00E2310B">
            <w:pPr>
              <w:outlineLvl w:val="2"/>
              <w:rPr>
                <w:rFonts w:ascii="Marianne" w:hAnsi="Marianne"/>
                <w:bCs/>
                <w:sz w:val="20"/>
                <w:szCs w:val="20"/>
              </w:rPr>
            </w:pPr>
            <w:r w:rsidRPr="00312988">
              <w:rPr>
                <w:rFonts w:ascii="Calibri" w:eastAsia="Calibri" w:hAnsi="Calibri" w:cs="Calibri"/>
                <w:bCs/>
              </w:rPr>
              <w:t xml:space="preserve">Sous-critère n°2 : </w:t>
            </w:r>
            <w:r w:rsidRPr="00312988">
              <w:rPr>
                <w:rFonts w:ascii="Marianne" w:hAnsi="Marianne"/>
                <w:bCs/>
                <w:sz w:val="20"/>
                <w:szCs w:val="20"/>
                <w:lang w:eastAsia="fr-FR"/>
              </w:rPr>
              <w:t xml:space="preserve">Méthodologie </w:t>
            </w:r>
          </w:p>
          <w:p w14:paraId="019AF2BE" w14:textId="77777777" w:rsidR="00E2310B" w:rsidRPr="00312988" w:rsidRDefault="00E2310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10B" w14:paraId="4CC84E49" w14:textId="77777777" w:rsidTr="00405E08">
        <w:trPr>
          <w:jc w:val="center"/>
        </w:trPr>
        <w:tc>
          <w:tcPr>
            <w:tcW w:w="3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hideMark/>
          </w:tcPr>
          <w:p w14:paraId="4D535100" w14:textId="77777777" w:rsidR="00E2310B" w:rsidRDefault="00E2310B">
            <w:pPr>
              <w:snapToGrid w:val="0"/>
              <w:jc w:val="center"/>
            </w:pPr>
            <w:r>
              <w:rPr>
                <w:rFonts w:ascii="Calibri" w:hAnsi="Calibri" w:cs="Calibri"/>
                <w:b/>
                <w:bCs/>
              </w:rPr>
              <w:t>Désignation</w:t>
            </w:r>
          </w:p>
        </w:tc>
        <w:tc>
          <w:tcPr>
            <w:tcW w:w="6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2E2E2"/>
            <w:hideMark/>
          </w:tcPr>
          <w:p w14:paraId="10573AC7" w14:textId="77777777" w:rsidR="00E2310B" w:rsidRDefault="00E2310B">
            <w:pPr>
              <w:snapToGrid w:val="0"/>
              <w:jc w:val="center"/>
            </w:pPr>
            <w:r>
              <w:rPr>
                <w:rFonts w:ascii="Calibri" w:hAnsi="Calibri" w:cs="Calibri"/>
                <w:b/>
                <w:bCs/>
              </w:rPr>
              <w:t>Réponses du candidat</w:t>
            </w:r>
          </w:p>
        </w:tc>
        <w:tc>
          <w:tcPr>
            <w:tcW w:w="1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E2E2E2"/>
            <w:hideMark/>
          </w:tcPr>
          <w:p w14:paraId="7D76AC98" w14:textId="77777777" w:rsidR="00E2310B" w:rsidRDefault="00E2310B">
            <w:pPr>
              <w:snapToGrid w:val="0"/>
              <w:jc w:val="center"/>
            </w:pPr>
          </w:p>
        </w:tc>
      </w:tr>
      <w:tr w:rsidR="00E2310B" w14:paraId="73CE3BF7" w14:textId="77777777" w:rsidTr="00405E08">
        <w:trPr>
          <w:jc w:val="center"/>
        </w:trPr>
        <w:tc>
          <w:tcPr>
            <w:tcW w:w="34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A6A69C" w14:textId="77777777" w:rsidR="0018184F" w:rsidRDefault="00E2310B" w:rsidP="0018184F">
            <w:pPr>
              <w:tabs>
                <w:tab w:val="left" w:pos="2812"/>
              </w:tabs>
              <w:outlineLvl w:val="0"/>
              <w:rPr>
                <w:rFonts w:ascii="Marianne" w:eastAsia="Times New Roman" w:hAnsi="Marianne"/>
                <w:bCs/>
                <w:iCs/>
                <w:color w:val="00000A"/>
                <w:sz w:val="20"/>
                <w:szCs w:val="20"/>
                <w:lang w:eastAsia="fr-FR"/>
              </w:rPr>
            </w:pPr>
            <w:r w:rsidRPr="005A7ECB">
              <w:rPr>
                <w:rFonts w:ascii="Marianne" w:hAnsi="Marianne"/>
                <w:bCs/>
                <w:iCs/>
                <w:sz w:val="20"/>
                <w:szCs w:val="20"/>
                <w:lang w:eastAsia="fr-FR"/>
              </w:rPr>
              <w:t>Décrire la méthodologie mise en œuvre lors des différentes phases (</w:t>
            </w:r>
            <w:r w:rsidRPr="005A7ECB">
              <w:rPr>
                <w:rFonts w:ascii="Marianne" w:eastAsia="Times New Roman" w:hAnsi="Marianne"/>
                <w:bCs/>
                <w:iCs/>
                <w:color w:val="00000A"/>
                <w:sz w:val="20"/>
                <w:szCs w:val="20"/>
                <w:lang w:eastAsia="fr-FR"/>
              </w:rPr>
              <w:t>préparation, mise en œuvre</w:t>
            </w:r>
            <w:r w:rsidR="00405E08">
              <w:rPr>
                <w:rFonts w:ascii="Marianne" w:eastAsia="Times New Roman" w:hAnsi="Marianne"/>
                <w:bCs/>
                <w:iCs/>
                <w:color w:val="00000A"/>
                <w:sz w:val="20"/>
                <w:szCs w:val="20"/>
                <w:lang w:eastAsia="fr-FR"/>
              </w:rPr>
              <w:t>,</w:t>
            </w:r>
            <w:r w:rsidRPr="005A7ECB">
              <w:rPr>
                <w:rFonts w:ascii="Marianne" w:eastAsia="Times New Roman" w:hAnsi="Marianne"/>
                <w:bCs/>
                <w:iCs/>
                <w:color w:val="00000A"/>
                <w:sz w:val="20"/>
                <w:szCs w:val="20"/>
                <w:lang w:eastAsia="fr-FR"/>
              </w:rPr>
              <w:t xml:space="preserve"> maîtrise des risques inhérents à chacune des phases</w:t>
            </w:r>
            <w:r w:rsidR="00405E08">
              <w:rPr>
                <w:rFonts w:ascii="Marianne" w:eastAsia="Times New Roman" w:hAnsi="Marianne"/>
                <w:bCs/>
                <w:iCs/>
                <w:color w:val="00000A"/>
                <w:sz w:val="20"/>
                <w:szCs w:val="20"/>
                <w:lang w:eastAsia="fr-FR"/>
              </w:rPr>
              <w:t xml:space="preserve"> et adaptés selon les lots (relecture, </w:t>
            </w:r>
            <w:r w:rsidRPr="005A7ECB">
              <w:rPr>
                <w:rFonts w:ascii="Marianne" w:eastAsia="Times New Roman" w:hAnsi="Marianne"/>
                <w:bCs/>
                <w:iCs/>
                <w:color w:val="00000A"/>
                <w:sz w:val="20"/>
                <w:szCs w:val="20"/>
                <w:lang w:eastAsia="fr-FR"/>
              </w:rPr>
              <w:t xml:space="preserve"> etc.)</w:t>
            </w:r>
            <w:r w:rsidR="0018184F">
              <w:rPr>
                <w:rFonts w:ascii="Marianne" w:eastAsia="Times New Roman" w:hAnsi="Marianne"/>
                <w:bCs/>
                <w:iCs/>
                <w:color w:val="00000A"/>
                <w:sz w:val="20"/>
                <w:szCs w:val="20"/>
                <w:lang w:eastAsia="fr-FR"/>
              </w:rPr>
              <w:t xml:space="preserve"> </w:t>
            </w:r>
          </w:p>
          <w:p w14:paraId="3B702528" w14:textId="405280F2" w:rsidR="00E2310B" w:rsidRDefault="0018184F" w:rsidP="00E2310B">
            <w:pPr>
              <w:tabs>
                <w:tab w:val="left" w:pos="2812"/>
              </w:tabs>
              <w:outlineLvl w:val="0"/>
              <w:rPr>
                <w:rFonts w:ascii="Marianne" w:eastAsia="Times New Roman" w:hAnsi="Marianne"/>
                <w:bCs/>
                <w:iCs/>
                <w:color w:val="00000A"/>
                <w:sz w:val="20"/>
                <w:szCs w:val="20"/>
                <w:lang w:eastAsia="fr-FR"/>
              </w:rPr>
            </w:pPr>
            <w:r>
              <w:rPr>
                <w:rFonts w:ascii="Marianne" w:eastAsia="Times New Roman" w:hAnsi="Marianne"/>
                <w:bCs/>
                <w:iCs/>
                <w:color w:val="00000A"/>
                <w:sz w:val="20"/>
                <w:szCs w:val="20"/>
                <w:lang w:eastAsia="fr-FR"/>
              </w:rPr>
              <w:t>Pour une campagne de communication, le titulaire décrit notamment un déploiement multi support en détaillant le processus et ce qu’il propose comme solutions pour toucher un public large (</w:t>
            </w:r>
            <w:bookmarkStart w:id="1" w:name="_GoBack"/>
            <w:bookmarkEnd w:id="1"/>
            <w:r>
              <w:rPr>
                <w:rFonts w:ascii="Marianne" w:eastAsia="Times New Roman" w:hAnsi="Marianne"/>
                <w:bCs/>
                <w:iCs/>
                <w:color w:val="00000A"/>
                <w:sz w:val="20"/>
                <w:szCs w:val="20"/>
                <w:lang w:eastAsia="fr-FR"/>
              </w:rPr>
              <w:t>toutes générations confondues).</w:t>
            </w:r>
          </w:p>
          <w:p w14:paraId="7FFE970E" w14:textId="1025B3B9" w:rsidR="00B60C4C" w:rsidRDefault="00B60C4C" w:rsidP="00E2310B">
            <w:pPr>
              <w:tabs>
                <w:tab w:val="left" w:pos="2812"/>
              </w:tabs>
              <w:outlineLvl w:val="0"/>
              <w:rPr>
                <w:rFonts w:ascii="Marianne" w:eastAsia="Times New Roman" w:hAnsi="Marianne"/>
                <w:bCs/>
                <w:iCs/>
                <w:color w:val="00000A"/>
                <w:sz w:val="20"/>
                <w:szCs w:val="20"/>
                <w:lang w:eastAsia="fr-FR"/>
              </w:rPr>
            </w:pPr>
            <w:r>
              <w:rPr>
                <w:rFonts w:ascii="Marianne" w:eastAsia="Times New Roman" w:hAnsi="Marianne"/>
                <w:bCs/>
                <w:iCs/>
                <w:color w:val="00000A"/>
                <w:sz w:val="20"/>
                <w:szCs w:val="20"/>
                <w:lang w:eastAsia="fr-FR"/>
              </w:rPr>
              <w:t xml:space="preserve">Pour les livrables </w:t>
            </w:r>
            <w:r w:rsidR="00973A45">
              <w:rPr>
                <w:rFonts w:ascii="Marianne" w:eastAsia="Times New Roman" w:hAnsi="Marianne"/>
                <w:bCs/>
                <w:iCs/>
                <w:color w:val="00000A"/>
                <w:sz w:val="20"/>
                <w:szCs w:val="20"/>
                <w:lang w:eastAsia="fr-FR"/>
              </w:rPr>
              <w:t xml:space="preserve">qui seraient </w:t>
            </w:r>
            <w:r>
              <w:rPr>
                <w:rFonts w:ascii="Marianne" w:eastAsia="Times New Roman" w:hAnsi="Marianne"/>
                <w:bCs/>
                <w:iCs/>
                <w:color w:val="00000A"/>
                <w:sz w:val="20"/>
                <w:szCs w:val="20"/>
                <w:lang w:eastAsia="fr-FR"/>
              </w:rPr>
              <w:t>à imprimer</w:t>
            </w:r>
            <w:r w:rsidR="008416B0">
              <w:rPr>
                <w:rFonts w:ascii="Marianne" w:eastAsia="Times New Roman" w:hAnsi="Marianne"/>
                <w:bCs/>
                <w:iCs/>
                <w:color w:val="00000A"/>
                <w:sz w:val="20"/>
                <w:szCs w:val="20"/>
                <w:lang w:eastAsia="fr-FR"/>
              </w:rPr>
              <w:t xml:space="preserve"> (via un autre marché public)</w:t>
            </w:r>
            <w:r>
              <w:rPr>
                <w:rFonts w:ascii="Marianne" w:eastAsia="Times New Roman" w:hAnsi="Marianne"/>
                <w:bCs/>
                <w:iCs/>
                <w:color w:val="00000A"/>
                <w:sz w:val="20"/>
                <w:szCs w:val="20"/>
                <w:lang w:eastAsia="fr-FR"/>
              </w:rPr>
              <w:t xml:space="preserve">, le </w:t>
            </w:r>
            <w:r w:rsidR="0018184F">
              <w:rPr>
                <w:rFonts w:ascii="Marianne" w:eastAsia="Times New Roman" w:hAnsi="Marianne"/>
                <w:bCs/>
                <w:iCs/>
                <w:color w:val="00000A"/>
                <w:sz w:val="20"/>
                <w:szCs w:val="20"/>
                <w:lang w:eastAsia="fr-FR"/>
              </w:rPr>
              <w:t>candidat</w:t>
            </w:r>
            <w:r>
              <w:rPr>
                <w:rFonts w:ascii="Marianne" w:eastAsia="Times New Roman" w:hAnsi="Marianne"/>
                <w:bCs/>
                <w:iCs/>
                <w:color w:val="00000A"/>
                <w:sz w:val="20"/>
                <w:szCs w:val="20"/>
                <w:lang w:eastAsia="fr-FR"/>
              </w:rPr>
              <w:t xml:space="preserve"> décrit</w:t>
            </w:r>
            <w:r w:rsidR="0018184F">
              <w:rPr>
                <w:rFonts w:ascii="Marianne" w:eastAsia="Times New Roman" w:hAnsi="Marianne"/>
                <w:bCs/>
                <w:iCs/>
                <w:color w:val="00000A"/>
                <w:sz w:val="20"/>
                <w:szCs w:val="20"/>
                <w:lang w:eastAsia="fr-FR"/>
              </w:rPr>
              <w:t xml:space="preserve"> notamment</w:t>
            </w:r>
            <w:r>
              <w:rPr>
                <w:rFonts w:ascii="Marianne" w:eastAsia="Times New Roman" w:hAnsi="Marianne"/>
                <w:bCs/>
                <w:iCs/>
                <w:color w:val="00000A"/>
                <w:sz w:val="20"/>
                <w:szCs w:val="20"/>
                <w:lang w:eastAsia="fr-FR"/>
              </w:rPr>
              <w:t xml:space="preserve"> </w:t>
            </w:r>
            <w:r w:rsidR="00973A45">
              <w:rPr>
                <w:rFonts w:ascii="Marianne" w:eastAsia="Times New Roman" w:hAnsi="Marianne"/>
                <w:bCs/>
                <w:iCs/>
                <w:color w:val="00000A"/>
                <w:sz w:val="20"/>
                <w:szCs w:val="20"/>
                <w:lang w:eastAsia="fr-FR"/>
              </w:rPr>
              <w:t xml:space="preserve">le processus qu’il met en place </w:t>
            </w:r>
            <w:r>
              <w:rPr>
                <w:rFonts w:ascii="Marianne" w:eastAsia="Times New Roman" w:hAnsi="Marianne"/>
                <w:bCs/>
                <w:iCs/>
                <w:color w:val="00000A"/>
                <w:sz w:val="20"/>
                <w:szCs w:val="20"/>
                <w:lang w:eastAsia="fr-FR"/>
              </w:rPr>
              <w:t>pour ne pas rompre la chaine graphique</w:t>
            </w:r>
            <w:r w:rsidR="008416B0">
              <w:rPr>
                <w:rFonts w:ascii="Marianne" w:eastAsia="Times New Roman" w:hAnsi="Marianne"/>
                <w:bCs/>
                <w:iCs/>
                <w:color w:val="00000A"/>
                <w:sz w:val="20"/>
                <w:szCs w:val="20"/>
                <w:lang w:eastAsia="fr-FR"/>
              </w:rPr>
              <w:t xml:space="preserve">. </w:t>
            </w:r>
          </w:p>
          <w:p w14:paraId="78A0BD41" w14:textId="3D6795FC" w:rsidR="00405E08" w:rsidRPr="0018184F" w:rsidRDefault="00405E08" w:rsidP="00405E08">
            <w:pPr>
              <w:pStyle w:val="Corps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18184F">
              <w:rPr>
                <w:rFonts w:ascii="Marianne" w:hAnsi="Marianne"/>
                <w:bCs/>
                <w:iCs/>
                <w:sz w:val="20"/>
                <w:szCs w:val="20"/>
              </w:rPr>
              <w:t>Pour le lot 5</w:t>
            </w:r>
            <w:r w:rsidRPr="0018184F">
              <w:rPr>
                <w:rFonts w:ascii="Marianne" w:hAnsi="Marianne" w:cs="Calibri"/>
                <w:bCs/>
                <w:iCs/>
                <w:sz w:val="20"/>
                <w:szCs w:val="20"/>
              </w:rPr>
              <w:t>, objets promotionnels éco-responsables,</w:t>
            </w:r>
            <w:r w:rsidRPr="0018184F">
              <w:rPr>
                <w:rFonts w:ascii="Marianne" w:hAnsi="Marianne"/>
                <w:color w:val="auto"/>
                <w:sz w:val="20"/>
                <w:szCs w:val="20"/>
              </w:rPr>
              <w:t xml:space="preserve"> l</w:t>
            </w:r>
            <w:r w:rsidRPr="0018184F">
              <w:rPr>
                <w:rStyle w:val="Aucun"/>
                <w:rFonts w:ascii="Marianne" w:hAnsi="Marianne"/>
                <w:color w:val="auto"/>
                <w:sz w:val="20"/>
                <w:szCs w:val="20"/>
              </w:rPr>
              <w:t xml:space="preserve">e </w:t>
            </w:r>
            <w:r w:rsidR="0018184F" w:rsidRPr="0018184F">
              <w:rPr>
                <w:rStyle w:val="Aucun"/>
                <w:rFonts w:ascii="Marianne" w:hAnsi="Marianne"/>
                <w:color w:val="auto"/>
                <w:sz w:val="20"/>
                <w:szCs w:val="20"/>
              </w:rPr>
              <w:t>candidat détaille le processus</w:t>
            </w:r>
            <w:r w:rsidRPr="0018184F">
              <w:rPr>
                <w:rStyle w:val="Aucun"/>
                <w:rFonts w:ascii="Marianne" w:hAnsi="Marianne"/>
                <w:color w:val="auto"/>
                <w:sz w:val="20"/>
                <w:szCs w:val="20"/>
              </w:rPr>
              <w:t xml:space="preserve"> de validation de la commande ainsi que le service après-vente </w:t>
            </w:r>
            <w:r w:rsidR="0018184F" w:rsidRPr="0018184F">
              <w:rPr>
                <w:rStyle w:val="Aucun"/>
                <w:rFonts w:ascii="Marianne" w:hAnsi="Marianne"/>
                <w:color w:val="auto"/>
                <w:sz w:val="20"/>
                <w:szCs w:val="20"/>
              </w:rPr>
              <w:t>qu’il met en place.</w:t>
            </w:r>
          </w:p>
          <w:p w14:paraId="08C2FDAD" w14:textId="77777777" w:rsidR="00405E08" w:rsidRPr="005A7ECB" w:rsidRDefault="00405E08" w:rsidP="00E2310B">
            <w:pPr>
              <w:tabs>
                <w:tab w:val="left" w:pos="2812"/>
              </w:tabs>
              <w:outlineLvl w:val="0"/>
              <w:rPr>
                <w:rFonts w:ascii="Marianne" w:hAnsi="Marianne"/>
                <w:sz w:val="20"/>
                <w:szCs w:val="20"/>
              </w:rPr>
            </w:pPr>
          </w:p>
          <w:p w14:paraId="584E32D1" w14:textId="77777777" w:rsidR="00E2310B" w:rsidRDefault="00E2310B">
            <w:pPr>
              <w:snapToGrid w:val="0"/>
              <w:ind w:left="720"/>
              <w:rPr>
                <w:b/>
              </w:rPr>
            </w:pPr>
          </w:p>
          <w:p w14:paraId="4B005A1C" w14:textId="77777777" w:rsidR="00E2310B" w:rsidRDefault="00E2310B">
            <w:pPr>
              <w:snapToGrid w:val="0"/>
              <w:ind w:left="37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0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14:paraId="678DCA5F" w14:textId="77777777" w:rsidR="00E2310B" w:rsidRDefault="00E2310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599956C" w14:textId="77777777" w:rsidR="00E2310B" w:rsidRDefault="00E2310B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0063431" w14:textId="77777777" w:rsidR="00E2310B" w:rsidRDefault="00E2310B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90CFB1D" w14:textId="77777777" w:rsidR="00E2310B" w:rsidRDefault="00E2310B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20A7409" w14:textId="77777777" w:rsidR="00E2310B" w:rsidRDefault="00E2310B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6123158" w14:textId="77777777" w:rsidR="00E2310B" w:rsidRDefault="00E2310B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2FBE006" w14:textId="77777777" w:rsidR="00E2310B" w:rsidRDefault="00E2310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310B" w14:paraId="19A2AB18" w14:textId="77777777" w:rsidTr="00A070A4">
        <w:trPr>
          <w:jc w:val="center"/>
        </w:trPr>
        <w:tc>
          <w:tcPr>
            <w:tcW w:w="9647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CC2E5"/>
            <w:hideMark/>
          </w:tcPr>
          <w:p w14:paraId="49DF6140" w14:textId="77777777" w:rsidR="00E2310B" w:rsidRPr="00312988" w:rsidRDefault="00E2310B" w:rsidP="00312988">
            <w:pPr>
              <w:snapToGrid w:val="0"/>
              <w:jc w:val="left"/>
            </w:pPr>
            <w:r w:rsidRPr="00312988">
              <w:rPr>
                <w:rFonts w:ascii="Calibri" w:eastAsia="Calibri" w:hAnsi="Calibri" w:cs="Calibri"/>
                <w:bCs/>
              </w:rPr>
              <w:t xml:space="preserve">Sous-critère n°3 : </w:t>
            </w:r>
            <w:r w:rsidRPr="00312988">
              <w:rPr>
                <w:rFonts w:ascii="Marianne" w:eastAsia="Times New Roman" w:hAnsi="Marianne"/>
                <w:bCs/>
                <w:sz w:val="20"/>
                <w:szCs w:val="20"/>
                <w:lang w:eastAsia="fr-FR"/>
              </w:rPr>
              <w:t xml:space="preserve">Performance environnementale </w:t>
            </w:r>
          </w:p>
        </w:tc>
      </w:tr>
      <w:tr w:rsidR="00B459C2" w14:paraId="56567E27" w14:textId="77777777" w:rsidTr="00A070A4">
        <w:trPr>
          <w:jc w:val="center"/>
        </w:trPr>
        <w:tc>
          <w:tcPr>
            <w:tcW w:w="9647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CC2E5"/>
          </w:tcPr>
          <w:p w14:paraId="5E3FF2E7" w14:textId="70E148C8" w:rsidR="00B459C2" w:rsidRPr="00657613" w:rsidRDefault="00B459C2" w:rsidP="00657613">
            <w:pPr>
              <w:snapToGrid w:val="0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657613">
              <w:rPr>
                <w:rFonts w:ascii="Calibri" w:eastAsia="Calibri" w:hAnsi="Calibri" w:cs="Calibri"/>
                <w:b/>
                <w:bCs/>
              </w:rPr>
              <w:t>Le candidat présentera et justifiera ses actions en matière environnementale liées à l'objet du marché ou à ses conditions d'exécution</w:t>
            </w:r>
          </w:p>
        </w:tc>
      </w:tr>
      <w:tr w:rsidR="00E2310B" w14:paraId="6F6E09B6" w14:textId="77777777" w:rsidTr="00405E08">
        <w:trPr>
          <w:jc w:val="center"/>
        </w:trPr>
        <w:tc>
          <w:tcPr>
            <w:tcW w:w="3405" w:type="dxa"/>
            <w:tcBorders>
              <w:top w:val="nil"/>
              <w:left w:val="single" w:sz="2" w:space="0" w:color="000000"/>
              <w:bottom w:val="single" w:sz="2" w:space="0" w:color="000000"/>
            </w:tcBorders>
            <w:shd w:val="clear" w:color="auto" w:fill="E7E6E6"/>
            <w:hideMark/>
          </w:tcPr>
          <w:p w14:paraId="108A7F34" w14:textId="77777777" w:rsidR="00E2310B" w:rsidRDefault="00E2310B">
            <w:pPr>
              <w:snapToGrid w:val="0"/>
              <w:jc w:val="center"/>
            </w:pPr>
            <w:r>
              <w:rPr>
                <w:rFonts w:ascii="Calibri" w:hAnsi="Calibri" w:cs="Calibri"/>
                <w:b/>
                <w:bCs/>
              </w:rPr>
              <w:t>Désignation</w:t>
            </w:r>
          </w:p>
        </w:tc>
        <w:tc>
          <w:tcPr>
            <w:tcW w:w="6090" w:type="dxa"/>
            <w:tcBorders>
              <w:top w:val="nil"/>
            </w:tcBorders>
            <w:shd w:val="clear" w:color="auto" w:fill="E7E6E6"/>
            <w:hideMark/>
          </w:tcPr>
          <w:p w14:paraId="2C3EAC4F" w14:textId="024C5AAE" w:rsidR="00E2310B" w:rsidRDefault="00E2310B">
            <w:pPr>
              <w:snapToGrid w:val="0"/>
              <w:jc w:val="center"/>
            </w:pPr>
            <w:r>
              <w:rPr>
                <w:rFonts w:ascii="Calibri" w:hAnsi="Calibri" w:cs="Calibri"/>
                <w:b/>
                <w:bCs/>
              </w:rPr>
              <w:t>Réponses du candidat</w:t>
            </w:r>
            <w:r w:rsidR="005A7ECB">
              <w:rPr>
                <w:rFonts w:ascii="Calibri" w:hAnsi="Calibri" w:cs="Calibri"/>
                <w:b/>
                <w:bCs/>
              </w:rPr>
              <w:t xml:space="preserve"> (joindre les certificats, </w:t>
            </w:r>
            <w:r w:rsidR="00405E08">
              <w:rPr>
                <w:rFonts w:ascii="Calibri" w:hAnsi="Calibri" w:cs="Calibri"/>
                <w:b/>
                <w:bCs/>
              </w:rPr>
              <w:t xml:space="preserve">labels, </w:t>
            </w:r>
            <w:r w:rsidR="005A7ECB">
              <w:rPr>
                <w:rFonts w:ascii="Calibri" w:hAnsi="Calibri" w:cs="Calibri"/>
                <w:b/>
                <w:bCs/>
              </w:rPr>
              <w:t>éléments de preuve…)</w:t>
            </w:r>
          </w:p>
        </w:tc>
        <w:tc>
          <w:tcPr>
            <w:tcW w:w="15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E7E6E6"/>
            <w:hideMark/>
          </w:tcPr>
          <w:p w14:paraId="7B6511EF" w14:textId="77777777" w:rsidR="00E2310B" w:rsidRDefault="00E2310B">
            <w:pPr>
              <w:snapToGrid w:val="0"/>
              <w:jc w:val="center"/>
            </w:pPr>
          </w:p>
        </w:tc>
      </w:tr>
      <w:tr w:rsidR="00E2310B" w14:paraId="1983676B" w14:textId="77777777" w:rsidTr="00405E08">
        <w:trPr>
          <w:jc w:val="center"/>
        </w:trPr>
        <w:tc>
          <w:tcPr>
            <w:tcW w:w="3405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5F8513A5" w14:textId="07B19554" w:rsidR="00E2310B" w:rsidRPr="00657613" w:rsidRDefault="00657613" w:rsidP="00657613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outlineLvl w:val="0"/>
              <w:rPr>
                <w:rFonts w:ascii="Marianne" w:eastAsia="Times New Roman" w:hAnsi="Marianne"/>
                <w:color w:val="00000A"/>
                <w:sz w:val="20"/>
                <w:szCs w:val="20"/>
                <w:lang w:eastAsia="fr-FR"/>
              </w:rPr>
            </w:pPr>
            <w:r w:rsidRPr="00657613">
              <w:rPr>
                <w:rFonts w:ascii="Marianne" w:eastAsia="Times New Roman" w:hAnsi="Marianne"/>
                <w:color w:val="00000A"/>
                <w:sz w:val="20"/>
                <w:szCs w:val="20"/>
                <w:lang w:eastAsia="fr-FR"/>
              </w:rPr>
              <w:t>Allégement de l’impact carbone des flux numériques</w:t>
            </w:r>
            <w:r w:rsidRPr="00657613"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fr-FR"/>
              </w:rPr>
              <w:t> </w:t>
            </w:r>
            <w:r w:rsidRPr="00657613">
              <w:rPr>
                <w:rFonts w:ascii="Marianne" w:eastAsia="Times New Roman" w:hAnsi="Marianne"/>
                <w:color w:val="00000A"/>
                <w:sz w:val="20"/>
                <w:szCs w:val="20"/>
                <w:lang w:eastAsia="fr-FR"/>
              </w:rPr>
              <w:t>?</w:t>
            </w:r>
          </w:p>
          <w:p w14:paraId="799E7FE0" w14:textId="0BA703A0" w:rsidR="005A7ECB" w:rsidRPr="00657613" w:rsidRDefault="00657613" w:rsidP="00657613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outlineLvl w:val="0"/>
              <w:rPr>
                <w:rFonts w:ascii="Marianne" w:eastAsia="Times New Roman" w:hAnsi="Marianne"/>
                <w:color w:val="00000A"/>
                <w:sz w:val="20"/>
                <w:szCs w:val="20"/>
                <w:lang w:eastAsia="fr-FR"/>
              </w:rPr>
            </w:pPr>
            <w:r w:rsidRPr="00657613">
              <w:rPr>
                <w:rFonts w:ascii="Marianne" w:eastAsia="Times New Roman" w:hAnsi="Marianne"/>
                <w:color w:val="00000A"/>
                <w:sz w:val="20"/>
                <w:szCs w:val="20"/>
                <w:lang w:eastAsia="fr-FR"/>
              </w:rPr>
              <w:t>Matériel utilisé dans le cadre de la prestation</w:t>
            </w:r>
            <w:r w:rsidRPr="00657613"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fr-FR"/>
              </w:rPr>
              <w:t> </w:t>
            </w:r>
            <w:r w:rsidRPr="00657613">
              <w:rPr>
                <w:rFonts w:ascii="Marianne" w:eastAsia="Times New Roman" w:hAnsi="Marianne"/>
                <w:color w:val="00000A"/>
                <w:sz w:val="20"/>
                <w:szCs w:val="20"/>
                <w:lang w:eastAsia="fr-FR"/>
              </w:rPr>
              <w:t>? (Selon les lots</w:t>
            </w:r>
            <w:r w:rsidRPr="00657613"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fr-FR"/>
              </w:rPr>
              <w:t> </w:t>
            </w:r>
            <w:r w:rsidRPr="00657613">
              <w:rPr>
                <w:rFonts w:ascii="Marianne" w:eastAsia="Times New Roman" w:hAnsi="Marianne"/>
                <w:color w:val="00000A"/>
                <w:sz w:val="20"/>
                <w:szCs w:val="20"/>
                <w:lang w:eastAsia="fr-FR"/>
              </w:rPr>
              <w:t xml:space="preserve">: modes de déplacements, cycle de </w:t>
            </w:r>
            <w:r w:rsidRPr="00405E08">
              <w:rPr>
                <w:rFonts w:ascii="Marianne" w:eastAsia="Times New Roman" w:hAnsi="Marianne"/>
                <w:color w:val="00000A"/>
                <w:sz w:val="20"/>
                <w:szCs w:val="20"/>
                <w:lang w:eastAsia="fr-FR"/>
              </w:rPr>
              <w:t xml:space="preserve">vie des ordinateurs, </w:t>
            </w:r>
            <w:r w:rsidR="00405E08">
              <w:rPr>
                <w:rFonts w:ascii="Marianne" w:eastAsia="Times New Roman" w:hAnsi="Marianne"/>
                <w:color w:val="00000A"/>
                <w:sz w:val="20"/>
                <w:szCs w:val="20"/>
                <w:lang w:eastAsia="fr-FR"/>
              </w:rPr>
              <w:t xml:space="preserve">réduction des </w:t>
            </w:r>
            <w:r w:rsidRPr="00405E08">
              <w:rPr>
                <w:rFonts w:ascii="Marianne" w:eastAsia="Times New Roman" w:hAnsi="Marianne"/>
                <w:color w:val="00000A"/>
                <w:sz w:val="20"/>
                <w:szCs w:val="20"/>
                <w:lang w:eastAsia="fr-FR"/>
              </w:rPr>
              <w:t>matériaux d’emballages</w:t>
            </w:r>
            <w:r w:rsidR="00405E08">
              <w:rPr>
                <w:rFonts w:ascii="Marianne" w:eastAsia="Times New Roman" w:hAnsi="Marianne" w:cs="Calibri"/>
                <w:color w:val="00000A"/>
                <w:sz w:val="20"/>
                <w:szCs w:val="20"/>
                <w:lang w:eastAsia="fr-FR"/>
              </w:rPr>
              <w:t xml:space="preserve"> </w:t>
            </w:r>
            <w:r w:rsidRPr="00405E08">
              <w:rPr>
                <w:rFonts w:ascii="Marianne" w:eastAsia="Times New Roman" w:hAnsi="Marianne"/>
                <w:color w:val="00000A"/>
                <w:sz w:val="20"/>
                <w:szCs w:val="20"/>
                <w:lang w:eastAsia="fr-FR"/>
              </w:rPr>
              <w:t>…)</w:t>
            </w:r>
          </w:p>
          <w:p w14:paraId="6B77901D" w14:textId="469DB059" w:rsidR="005A7ECB" w:rsidRDefault="00657613" w:rsidP="00657613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613">
              <w:rPr>
                <w:rFonts w:ascii="Marianne" w:eastAsia="Times New Roman" w:hAnsi="Marianne"/>
                <w:color w:val="00000A"/>
                <w:sz w:val="20"/>
                <w:szCs w:val="20"/>
                <w:lang w:eastAsia="fr-FR"/>
              </w:rPr>
              <w:t>Formation des collaborateurs mobilisés pour l’exécution du marché</w:t>
            </w:r>
            <w:r w:rsidRPr="00657613"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fr-FR"/>
              </w:rPr>
              <w:t> </w:t>
            </w:r>
            <w:r w:rsidRPr="00657613">
              <w:rPr>
                <w:rFonts w:ascii="Marianne" w:eastAsia="Times New Roman" w:hAnsi="Marianne"/>
                <w:color w:val="00000A"/>
                <w:sz w:val="20"/>
                <w:szCs w:val="20"/>
                <w:lang w:eastAsia="fr-FR"/>
              </w:rPr>
              <w:t>?</w:t>
            </w:r>
          </w:p>
        </w:tc>
        <w:tc>
          <w:tcPr>
            <w:tcW w:w="6090" w:type="dxa"/>
            <w:tcBorders>
              <w:top w:val="nil"/>
            </w:tcBorders>
          </w:tcPr>
          <w:p w14:paraId="1657D335" w14:textId="77777777" w:rsidR="00E2310B" w:rsidRDefault="00E2310B" w:rsidP="00B459C2"/>
        </w:tc>
        <w:tc>
          <w:tcPr>
            <w:tcW w:w="15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24E5AF1" w14:textId="77777777" w:rsidR="00E2310B" w:rsidRDefault="00E2310B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3039C5A" w14:textId="77777777" w:rsidR="00E2310B" w:rsidRDefault="00E2310B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C920981" w14:textId="77777777" w:rsidR="00E2310B" w:rsidRDefault="00E2310B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1232745" w14:textId="77777777" w:rsidR="00FB6668" w:rsidRPr="001118E8" w:rsidRDefault="00FB6668">
      <w:pPr>
        <w:rPr>
          <w:rFonts w:ascii="Marianne" w:hAnsi="Marianne"/>
          <w:sz w:val="20"/>
          <w:szCs w:val="20"/>
        </w:rPr>
      </w:pPr>
    </w:p>
    <w:sectPr w:rsidR="00FB6668" w:rsidRPr="001118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;宋体">
    <w:panose1 w:val="00000000000000000000"/>
    <w:charset w:val="80"/>
    <w:family w:val="roman"/>
    <w:notTrueType/>
    <w:pitch w:val="default"/>
  </w:font>
  <w:font w:name="Mangal">
    <w:altName w:val="Calibri"/>
    <w:panose1 w:val="00000400000000000000"/>
    <w:charset w:val="00"/>
    <w:family w:val="auto"/>
    <w:pitch w:val="variable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F37B1"/>
    <w:multiLevelType w:val="multilevel"/>
    <w:tmpl w:val="81ECBE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1" w15:restartNumberingAfterBreak="0">
    <w:nsid w:val="1FE67B8B"/>
    <w:multiLevelType w:val="hybridMultilevel"/>
    <w:tmpl w:val="B13E1A7C"/>
    <w:lvl w:ilvl="0" w:tplc="84E603FE">
      <w:start w:val="1"/>
      <w:numFmt w:val="decimal"/>
      <w:lvlText w:val="%1-"/>
      <w:lvlJc w:val="left"/>
      <w:pPr>
        <w:ind w:left="720" w:hanging="360"/>
      </w:pPr>
      <w:rPr>
        <w:rFonts w:ascii="Calibri" w:hAnsi="Calibri" w:cs="Calibri" w:hint="default"/>
        <w:b/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94E6E"/>
    <w:multiLevelType w:val="multilevel"/>
    <w:tmpl w:val="1C00A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3" w15:restartNumberingAfterBreak="0">
    <w:nsid w:val="6B3D43AF"/>
    <w:multiLevelType w:val="hybridMultilevel"/>
    <w:tmpl w:val="B13E1A7C"/>
    <w:lvl w:ilvl="0" w:tplc="84E603FE">
      <w:start w:val="1"/>
      <w:numFmt w:val="decimal"/>
      <w:lvlText w:val="%1-"/>
      <w:lvlJc w:val="left"/>
      <w:pPr>
        <w:ind w:left="720" w:hanging="360"/>
      </w:pPr>
      <w:rPr>
        <w:rFonts w:ascii="Calibri" w:hAnsi="Calibri" w:cs="Calibri" w:hint="default"/>
        <w:b/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D76DF9"/>
    <w:multiLevelType w:val="multilevel"/>
    <w:tmpl w:val="78C22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77FF51D4"/>
    <w:multiLevelType w:val="hybridMultilevel"/>
    <w:tmpl w:val="E12CF0F2"/>
    <w:lvl w:ilvl="0" w:tplc="2F80C118">
      <w:start w:val="1"/>
      <w:numFmt w:val="decimal"/>
      <w:lvlText w:val="%1-"/>
      <w:lvlJc w:val="left"/>
      <w:pPr>
        <w:ind w:left="405" w:hanging="360"/>
      </w:pPr>
      <w:rPr>
        <w:rFonts w:ascii="Calibri" w:eastAsia="Andale Sans UI" w:hAnsi="Calibri" w:cs="Calibri"/>
        <w:b/>
        <w:sz w:val="20"/>
      </w:rPr>
    </w:lvl>
    <w:lvl w:ilvl="1" w:tplc="040C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7EB1232C"/>
    <w:multiLevelType w:val="multilevel"/>
    <w:tmpl w:val="F984E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BC7"/>
    <w:rsid w:val="00007BF7"/>
    <w:rsid w:val="00053780"/>
    <w:rsid w:val="001118E8"/>
    <w:rsid w:val="0018184F"/>
    <w:rsid w:val="001E34E8"/>
    <w:rsid w:val="002249EA"/>
    <w:rsid w:val="0028103B"/>
    <w:rsid w:val="00312988"/>
    <w:rsid w:val="00405E08"/>
    <w:rsid w:val="004A0E11"/>
    <w:rsid w:val="005A7ECB"/>
    <w:rsid w:val="005B4C5A"/>
    <w:rsid w:val="005F5717"/>
    <w:rsid w:val="00657613"/>
    <w:rsid w:val="007271E5"/>
    <w:rsid w:val="008416B0"/>
    <w:rsid w:val="008D2239"/>
    <w:rsid w:val="008F6BDD"/>
    <w:rsid w:val="00973A45"/>
    <w:rsid w:val="009E4C21"/>
    <w:rsid w:val="00A070A4"/>
    <w:rsid w:val="00A26BC7"/>
    <w:rsid w:val="00AA7630"/>
    <w:rsid w:val="00AC64C6"/>
    <w:rsid w:val="00AF2429"/>
    <w:rsid w:val="00B459C2"/>
    <w:rsid w:val="00B60C4C"/>
    <w:rsid w:val="00C66430"/>
    <w:rsid w:val="00CC36AF"/>
    <w:rsid w:val="00D5566A"/>
    <w:rsid w:val="00D7002B"/>
    <w:rsid w:val="00D73CD3"/>
    <w:rsid w:val="00E2310B"/>
    <w:rsid w:val="00E33DF3"/>
    <w:rsid w:val="00E56C37"/>
    <w:rsid w:val="00E707C7"/>
    <w:rsid w:val="00FA2238"/>
    <w:rsid w:val="00FB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41F7D"/>
  <w15:chartTrackingRefBased/>
  <w15:docId w15:val="{0FE8105C-D09C-4288-9CEF-C3132B406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6BC7"/>
    <w:pPr>
      <w:spacing w:after="0" w:line="240" w:lineRule="auto"/>
      <w:jc w:val="both"/>
    </w:pPr>
    <w:rPr>
      <w:rFonts w:ascii="Arial" w:eastAsia="Arial Unicode MS" w:hAnsi="Arial" w:cs="Arial"/>
      <w:color w:val="000000"/>
      <w:lang w:eastAsia="es-E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tenudetableau">
    <w:name w:val="Contenu de tableau"/>
    <w:basedOn w:val="Normal"/>
    <w:qFormat/>
    <w:rsid w:val="00A26BC7"/>
    <w:pPr>
      <w:keepLines/>
      <w:widowControl w:val="0"/>
      <w:suppressLineNumbers/>
      <w:suppressAutoHyphens/>
      <w:overflowPunct w:val="0"/>
      <w:jc w:val="left"/>
    </w:pPr>
    <w:rPr>
      <w:rFonts w:ascii="Times New Roman" w:eastAsia="SimSun;宋体" w:hAnsi="Times New Roman" w:cs="Mangal"/>
      <w:color w:val="00000A"/>
      <w:kern w:val="2"/>
      <w:sz w:val="24"/>
      <w:szCs w:val="20"/>
      <w:lang w:eastAsia="zh-CN" w:bidi="hi-IN"/>
    </w:rPr>
  </w:style>
  <w:style w:type="paragraph" w:customStyle="1" w:styleId="T4">
    <w:name w:val="T4"/>
    <w:basedOn w:val="Normal"/>
    <w:qFormat/>
    <w:rsid w:val="00A26BC7"/>
    <w:pPr>
      <w:keepLines/>
      <w:spacing w:before="240" w:after="480" w:line="240" w:lineRule="exact"/>
      <w:ind w:left="567" w:right="675"/>
    </w:pPr>
    <w:rPr>
      <w:rFonts w:ascii="Helv" w:eastAsia="Times New Roman" w:hAnsi="Helv" w:cs="Times New Roman"/>
      <w:b/>
      <w:color w:val="00000A"/>
      <w:szCs w:val="20"/>
      <w:u w:val="single"/>
      <w:lang w:eastAsia="fr-FR"/>
    </w:rPr>
  </w:style>
  <w:style w:type="paragraph" w:customStyle="1" w:styleId="Contenudecadre">
    <w:name w:val="Contenu de cadre"/>
    <w:basedOn w:val="Normal"/>
    <w:qFormat/>
    <w:rsid w:val="00A26BC7"/>
  </w:style>
  <w:style w:type="paragraph" w:styleId="Paragraphedeliste">
    <w:name w:val="List Paragraph"/>
    <w:basedOn w:val="Normal"/>
    <w:uiPriority w:val="34"/>
    <w:qFormat/>
    <w:rsid w:val="00E2310B"/>
    <w:pPr>
      <w:widowControl w:val="0"/>
      <w:suppressAutoHyphens/>
      <w:ind w:left="708"/>
      <w:jc w:val="left"/>
    </w:pPr>
    <w:rPr>
      <w:rFonts w:ascii="Times New Roman" w:eastAsia="Andale Sans UI" w:hAnsi="Times New Roman" w:cs="Times New Roman"/>
      <w:color w:val="auto"/>
      <w:kern w:val="2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9E4C2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E4C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E4C21"/>
    <w:rPr>
      <w:rFonts w:ascii="Arial" w:eastAsia="Arial Unicode MS" w:hAnsi="Arial" w:cs="Arial"/>
      <w:color w:val="000000"/>
      <w:sz w:val="20"/>
      <w:szCs w:val="20"/>
      <w:lang w:eastAsia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4C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E4C21"/>
    <w:rPr>
      <w:rFonts w:ascii="Arial" w:eastAsia="Arial Unicode MS" w:hAnsi="Arial" w:cs="Arial"/>
      <w:b/>
      <w:bCs/>
      <w:color w:val="000000"/>
      <w:sz w:val="20"/>
      <w:szCs w:val="20"/>
      <w:lang w:eastAsia="es-E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E4C2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E4C21"/>
    <w:rPr>
      <w:rFonts w:ascii="Segoe UI" w:eastAsia="Arial Unicode MS" w:hAnsi="Segoe UI" w:cs="Segoe UI"/>
      <w:color w:val="000000"/>
      <w:sz w:val="18"/>
      <w:szCs w:val="18"/>
      <w:lang w:eastAsia="es-ES"/>
    </w:rPr>
  </w:style>
  <w:style w:type="character" w:customStyle="1" w:styleId="Aucun">
    <w:name w:val="Aucun"/>
    <w:qFormat/>
    <w:rsid w:val="00405E08"/>
  </w:style>
  <w:style w:type="paragraph" w:customStyle="1" w:styleId="Corps">
    <w:name w:val="Corps"/>
    <w:qFormat/>
    <w:rsid w:val="00405E08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u w:color="00000A"/>
      <w:lang w:eastAsia="fr-F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11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549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SAKHER Christelle</dc:creator>
  <cp:keywords/>
  <dc:description/>
  <cp:lastModifiedBy>SAKHER Christelle</cp:lastModifiedBy>
  <cp:revision>26</cp:revision>
  <dcterms:created xsi:type="dcterms:W3CDTF">2025-05-12T14:59:00Z</dcterms:created>
  <dcterms:modified xsi:type="dcterms:W3CDTF">2025-05-22T12:41:00Z</dcterms:modified>
</cp:coreProperties>
</file>