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6B3B7" w14:textId="6DBBEE4C" w:rsidR="000C0FAF" w:rsidRPr="001079F0" w:rsidRDefault="000C0FAF" w:rsidP="00B166D9">
      <w:pPr>
        <w:pStyle w:val="Warning"/>
      </w:pPr>
    </w:p>
    <w:p w14:paraId="35F94993" w14:textId="39BED3C0" w:rsidR="000C0FAF" w:rsidRPr="001079F0" w:rsidRDefault="0014451E" w:rsidP="000C0FAF">
      <w:pPr>
        <w:spacing w:before="0" w:after="0" w:line="240" w:lineRule="auto"/>
        <w:contextualSpacing/>
        <w:jc w:val="center"/>
      </w:pPr>
      <w:r>
        <w:rPr>
          <w:noProof/>
        </w:rPr>
        <w:drawing>
          <wp:inline distT="0" distB="0" distL="0" distR="0" wp14:anchorId="68CE47A3" wp14:editId="48EADBBC">
            <wp:extent cx="3077155" cy="9778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3116539" cy="990391"/>
                    </a:xfrm>
                    <a:prstGeom prst="rect">
                      <a:avLst/>
                    </a:prstGeom>
                  </pic:spPr>
                </pic:pic>
              </a:graphicData>
            </a:graphic>
          </wp:inline>
        </w:drawing>
      </w:r>
    </w:p>
    <w:p w14:paraId="37886891" w14:textId="77777777" w:rsidR="000C0FAF" w:rsidRPr="001079F0" w:rsidRDefault="000C0FAF" w:rsidP="000C0FAF">
      <w:pPr>
        <w:spacing w:before="0" w:after="0" w:line="240" w:lineRule="auto"/>
        <w:contextualSpacing/>
      </w:pPr>
    </w:p>
    <w:p w14:paraId="07204631" w14:textId="77777777" w:rsidR="000C0FAF" w:rsidRDefault="000C0FAF" w:rsidP="000C0FAF">
      <w:pPr>
        <w:pStyle w:val="Titre"/>
        <w:rPr>
          <w:color w:val="auto"/>
        </w:rPr>
      </w:pPr>
    </w:p>
    <w:p w14:paraId="7C316C29" w14:textId="77777777" w:rsidR="00524D96" w:rsidRPr="001079F0" w:rsidRDefault="00524D96" w:rsidP="00563054">
      <w:pPr>
        <w:pStyle w:val="Titre"/>
        <w:rPr>
          <w:color w:val="auto"/>
        </w:rPr>
      </w:pPr>
      <w:r w:rsidRPr="001079F0">
        <w:rPr>
          <w:color w:val="auto"/>
        </w:rPr>
        <w:t>Acte d’engagement</w:t>
      </w:r>
    </w:p>
    <w:p w14:paraId="0F0F611A" w14:textId="77777777" w:rsidR="0000667E" w:rsidRPr="001079F0" w:rsidRDefault="0000667E" w:rsidP="00563054">
      <w:pPr>
        <w:pStyle w:val="Titre2"/>
        <w:spacing w:before="0" w:line="240" w:lineRule="auto"/>
        <w:ind w:left="0"/>
        <w:contextualSpacing/>
        <w:rPr>
          <w:color w:val="auto"/>
        </w:rPr>
      </w:pPr>
    </w:p>
    <w:p w14:paraId="5C0CCDD4" w14:textId="77777777" w:rsidR="0000667E" w:rsidRPr="001079F0" w:rsidRDefault="0000667E" w:rsidP="00563054">
      <w:pPr>
        <w:pStyle w:val="Titre2"/>
        <w:spacing w:before="0" w:line="240" w:lineRule="auto"/>
        <w:ind w:left="0"/>
        <w:contextualSpacing/>
        <w:rPr>
          <w:color w:val="auto"/>
        </w:rPr>
      </w:pPr>
    </w:p>
    <w:p w14:paraId="72411E5F" w14:textId="77777777" w:rsidR="0000667E" w:rsidRPr="001079F0" w:rsidRDefault="0000667E" w:rsidP="00563054">
      <w:pPr>
        <w:pStyle w:val="Titre2"/>
        <w:spacing w:before="0" w:line="240" w:lineRule="auto"/>
        <w:ind w:left="0"/>
        <w:contextualSpacing/>
        <w:jc w:val="center"/>
        <w:rPr>
          <w:color w:val="auto"/>
        </w:rPr>
      </w:pPr>
    </w:p>
    <w:p w14:paraId="473712FB" w14:textId="5BDE7195" w:rsidR="002D01DF" w:rsidRPr="001079F0" w:rsidRDefault="00524D96" w:rsidP="00563054">
      <w:pPr>
        <w:pStyle w:val="Titre2"/>
        <w:spacing w:before="0" w:line="240" w:lineRule="auto"/>
        <w:ind w:left="0"/>
        <w:contextualSpacing/>
        <w:jc w:val="center"/>
        <w:rPr>
          <w:color w:val="auto"/>
        </w:rPr>
      </w:pPr>
      <w:r w:rsidRPr="001079F0">
        <w:rPr>
          <w:color w:val="auto"/>
        </w:rPr>
        <w:t xml:space="preserve">Lot </w:t>
      </w:r>
      <w:r w:rsidR="0014451E">
        <w:rPr>
          <w:color w:val="auto"/>
        </w:rPr>
        <w:t>unique</w:t>
      </w:r>
    </w:p>
    <w:p w14:paraId="26DFF363" w14:textId="77777777" w:rsidR="0000667E" w:rsidRPr="001079F0" w:rsidRDefault="0000667E" w:rsidP="00563054">
      <w:pPr>
        <w:spacing w:before="0" w:after="0" w:line="240" w:lineRule="auto"/>
        <w:contextualSpacing/>
        <w:jc w:val="center"/>
      </w:pPr>
    </w:p>
    <w:p w14:paraId="7888EC63" w14:textId="601AEB91" w:rsidR="000F19A5" w:rsidRPr="001079F0" w:rsidRDefault="0014451E" w:rsidP="00563054">
      <w:pPr>
        <w:pStyle w:val="Titre2"/>
        <w:spacing w:before="0" w:line="240" w:lineRule="auto"/>
        <w:ind w:left="0"/>
        <w:contextualSpacing/>
        <w:jc w:val="center"/>
        <w:rPr>
          <w:color w:val="auto"/>
        </w:rPr>
      </w:pPr>
      <w:r>
        <w:rPr>
          <w:color w:val="auto"/>
        </w:rPr>
        <w:t>Assistance et rapatriement pour le personnel d’Inria en France et à l’étranger</w:t>
      </w:r>
    </w:p>
    <w:p w14:paraId="37E1807C" w14:textId="77777777" w:rsidR="002D01DF" w:rsidRPr="001079F0" w:rsidRDefault="002D01DF" w:rsidP="00563054">
      <w:pPr>
        <w:spacing w:before="0" w:after="0" w:line="240" w:lineRule="auto"/>
        <w:contextualSpacing/>
      </w:pPr>
    </w:p>
    <w:p w14:paraId="610AEBE3" w14:textId="77777777" w:rsidR="002D01DF" w:rsidRPr="001079F0" w:rsidRDefault="002D01DF" w:rsidP="00563054">
      <w:pPr>
        <w:spacing w:before="0" w:after="0" w:line="240" w:lineRule="auto"/>
        <w:contextualSpacing/>
      </w:pPr>
    </w:p>
    <w:p w14:paraId="7B08514E" w14:textId="77777777" w:rsidR="002D01DF" w:rsidRPr="001079F0" w:rsidRDefault="002D01DF" w:rsidP="00563054">
      <w:pPr>
        <w:spacing w:before="0" w:after="0" w:line="240" w:lineRule="auto"/>
        <w:contextualSpacing/>
      </w:pPr>
    </w:p>
    <w:p w14:paraId="0924287B" w14:textId="77777777" w:rsidR="002D01DF" w:rsidRPr="001079F0" w:rsidRDefault="002D01DF" w:rsidP="00563054">
      <w:pPr>
        <w:spacing w:before="0" w:after="0" w:line="240" w:lineRule="auto"/>
        <w:contextualSpacing/>
      </w:pPr>
    </w:p>
    <w:p w14:paraId="4B31B5FF" w14:textId="77777777" w:rsidR="002D01DF" w:rsidRPr="001079F0" w:rsidRDefault="002D01DF" w:rsidP="00563054">
      <w:pPr>
        <w:spacing w:before="0" w:after="0" w:line="240" w:lineRule="auto"/>
        <w:contextualSpacing/>
      </w:pPr>
    </w:p>
    <w:p w14:paraId="4D1FE422" w14:textId="77777777" w:rsidR="002D01DF" w:rsidRPr="001079F0" w:rsidRDefault="002D01DF" w:rsidP="00563054">
      <w:pPr>
        <w:spacing w:before="0" w:after="0" w:line="240" w:lineRule="auto"/>
        <w:contextualSpacing/>
      </w:pPr>
    </w:p>
    <w:p w14:paraId="5B7FC6CA" w14:textId="77777777" w:rsidR="002D01DF" w:rsidRPr="001079F0" w:rsidRDefault="002D01DF" w:rsidP="00563054">
      <w:pPr>
        <w:spacing w:before="0" w:after="0" w:line="240" w:lineRule="auto"/>
        <w:contextualSpacing/>
      </w:pPr>
    </w:p>
    <w:p w14:paraId="4FFA1670" w14:textId="77777777" w:rsidR="002D01DF" w:rsidRPr="001079F0" w:rsidRDefault="002D01DF" w:rsidP="00563054">
      <w:pPr>
        <w:spacing w:before="0" w:after="0" w:line="240" w:lineRule="auto"/>
        <w:contextualSpacing/>
      </w:pPr>
    </w:p>
    <w:p w14:paraId="483BA579" w14:textId="77777777" w:rsidR="002D01DF" w:rsidRPr="001079F0" w:rsidRDefault="002D01DF" w:rsidP="00563054">
      <w:pPr>
        <w:spacing w:before="0" w:after="0" w:line="240" w:lineRule="auto"/>
        <w:contextualSpacing/>
      </w:pPr>
    </w:p>
    <w:p w14:paraId="3347E42E" w14:textId="77777777" w:rsidR="002D01DF" w:rsidRPr="001079F0" w:rsidRDefault="002D01DF" w:rsidP="00563054">
      <w:pPr>
        <w:spacing w:before="0" w:after="0" w:line="240" w:lineRule="auto"/>
        <w:contextualSpacing/>
      </w:pPr>
    </w:p>
    <w:p w14:paraId="68098EA7" w14:textId="77777777" w:rsidR="002D01DF" w:rsidRPr="001079F0" w:rsidRDefault="002D01DF" w:rsidP="00563054">
      <w:pPr>
        <w:spacing w:before="0" w:after="0" w:line="240" w:lineRule="auto"/>
        <w:contextualSpacing/>
      </w:pPr>
    </w:p>
    <w:p w14:paraId="51B2839E" w14:textId="77777777" w:rsidR="002D01DF" w:rsidRPr="001079F0" w:rsidRDefault="002D01DF" w:rsidP="00563054">
      <w:pPr>
        <w:spacing w:before="0" w:after="0" w:line="240" w:lineRule="auto"/>
        <w:contextualSpacing/>
      </w:pPr>
    </w:p>
    <w:p w14:paraId="48703444" w14:textId="77777777" w:rsidR="002D01DF" w:rsidRPr="001079F0" w:rsidRDefault="002D01DF" w:rsidP="00563054">
      <w:pPr>
        <w:spacing w:before="0" w:after="0" w:line="240" w:lineRule="auto"/>
        <w:contextualSpacing/>
      </w:pPr>
    </w:p>
    <w:p w14:paraId="1391F5D0" w14:textId="77777777" w:rsidR="002D01DF" w:rsidRPr="001079F0" w:rsidRDefault="002D01DF" w:rsidP="00563054">
      <w:pPr>
        <w:spacing w:before="0" w:after="0" w:line="240" w:lineRule="auto"/>
        <w:contextualSpacing/>
      </w:pPr>
    </w:p>
    <w:p w14:paraId="618FEF9F" w14:textId="77777777" w:rsidR="002D01DF" w:rsidRPr="001079F0" w:rsidRDefault="002D01DF" w:rsidP="00563054">
      <w:pPr>
        <w:spacing w:before="0" w:after="0" w:line="240" w:lineRule="auto"/>
        <w:contextualSpacing/>
      </w:pPr>
    </w:p>
    <w:p w14:paraId="69E89667" w14:textId="77777777" w:rsidR="002D01DF" w:rsidRPr="001079F0" w:rsidRDefault="002D01DF" w:rsidP="00563054">
      <w:pPr>
        <w:spacing w:before="0" w:after="0" w:line="240" w:lineRule="auto"/>
        <w:contextualSpacing/>
        <w:jc w:val="center"/>
      </w:pPr>
    </w:p>
    <w:p w14:paraId="1ADEDFFC" w14:textId="77777777" w:rsidR="00563054" w:rsidRDefault="00563054">
      <w:pPr>
        <w:spacing w:before="0"/>
        <w:jc w:val="left"/>
        <w:rPr>
          <w:rFonts w:ascii="Century Gothic" w:eastAsiaTheme="majorEastAsia" w:hAnsi="Century Gothic" w:cstheme="majorBidi"/>
          <w:b/>
          <w:sz w:val="36"/>
          <w:szCs w:val="36"/>
        </w:rPr>
      </w:pPr>
      <w:r>
        <w:br w:type="page"/>
      </w:r>
    </w:p>
    <w:p w14:paraId="734395F8" w14:textId="77777777" w:rsidR="00524D96" w:rsidRPr="001079F0" w:rsidRDefault="00524D96" w:rsidP="00563054">
      <w:pPr>
        <w:pStyle w:val="Titre1"/>
        <w:spacing w:before="0" w:line="240" w:lineRule="auto"/>
        <w:contextualSpacing/>
        <w:rPr>
          <w:color w:val="auto"/>
        </w:rPr>
      </w:pPr>
      <w:r w:rsidRPr="001079F0">
        <w:rPr>
          <w:color w:val="auto"/>
        </w:rPr>
        <w:lastRenderedPageBreak/>
        <w:t>ACTE D’ENGAGEMENT</w:t>
      </w:r>
    </w:p>
    <w:p w14:paraId="02DD399E" w14:textId="77777777" w:rsidR="00524D96" w:rsidRPr="001079F0" w:rsidRDefault="00524D96" w:rsidP="00563054">
      <w:pPr>
        <w:pStyle w:val="NormalRiskpart"/>
        <w:contextualSpacing/>
        <w:rPr>
          <w:rFonts w:asciiTheme="minorHAnsi" w:hAnsiTheme="minorHAnsi" w:cstheme="minorHAnsi"/>
        </w:rPr>
      </w:pPr>
    </w:p>
    <w:p w14:paraId="7BF812E0" w14:textId="77777777" w:rsidR="00563054" w:rsidRDefault="00563054" w:rsidP="00563054">
      <w:pPr>
        <w:pStyle w:val="Titre2"/>
        <w:spacing w:before="0" w:line="240" w:lineRule="auto"/>
        <w:ind w:left="0"/>
        <w:contextualSpacing/>
        <w:jc w:val="center"/>
        <w:rPr>
          <w:color w:val="auto"/>
        </w:rPr>
      </w:pPr>
    </w:p>
    <w:p w14:paraId="76F90938" w14:textId="7D73B318" w:rsidR="00206103" w:rsidRPr="001079F0" w:rsidRDefault="00206103" w:rsidP="0014451E">
      <w:pPr>
        <w:pStyle w:val="Titre2"/>
        <w:spacing w:before="0" w:line="240" w:lineRule="auto"/>
        <w:ind w:left="0"/>
        <w:contextualSpacing/>
        <w:jc w:val="center"/>
        <w:rPr>
          <w:color w:val="auto"/>
        </w:rPr>
      </w:pPr>
      <w:r w:rsidRPr="001079F0">
        <w:rPr>
          <w:color w:val="auto"/>
        </w:rPr>
        <w:t>Assurance « </w:t>
      </w:r>
      <w:r w:rsidR="0014451E">
        <w:rPr>
          <w:color w:val="auto"/>
        </w:rPr>
        <w:t xml:space="preserve">Assistance et rapatriement pour le personnel d’Inria en France et à l’étranger </w:t>
      </w:r>
      <w:r w:rsidRPr="001079F0">
        <w:rPr>
          <w:color w:val="auto"/>
        </w:rPr>
        <w:t>»</w:t>
      </w:r>
    </w:p>
    <w:p w14:paraId="4AE3A533" w14:textId="77777777" w:rsidR="00524D96" w:rsidRDefault="00524D96" w:rsidP="00563054">
      <w:pPr>
        <w:pStyle w:val="TitreRiskpart4"/>
        <w:spacing w:before="0"/>
        <w:contextualSpacing/>
        <w:rPr>
          <w:rFonts w:asciiTheme="minorHAnsi" w:hAnsiTheme="minorHAnsi" w:cstheme="minorHAnsi"/>
          <w:i w:val="0"/>
          <w:iCs w:val="0"/>
        </w:rPr>
      </w:pPr>
    </w:p>
    <w:p w14:paraId="1A45791C" w14:textId="77777777" w:rsidR="009D355F" w:rsidRDefault="009D355F" w:rsidP="009D355F">
      <w:pPr>
        <w:pStyle w:val="Paragraphedeliste"/>
        <w:spacing w:before="0" w:after="0" w:line="240" w:lineRule="auto"/>
        <w:rPr>
          <w:rFonts w:ascii="Century Gothic" w:hAnsi="Century Gothic"/>
          <w:sz w:val="24"/>
          <w:szCs w:val="24"/>
        </w:rPr>
      </w:pPr>
    </w:p>
    <w:p w14:paraId="7643EA01" w14:textId="77777777" w:rsidR="008B315B" w:rsidRPr="00372E64" w:rsidRDefault="008B315B" w:rsidP="008B315B">
      <w:pPr>
        <w:pStyle w:val="Paragraphedeliste"/>
        <w:numPr>
          <w:ilvl w:val="0"/>
          <w:numId w:val="17"/>
        </w:numPr>
        <w:spacing w:line="256" w:lineRule="auto"/>
        <w:rPr>
          <w:rFonts w:ascii="Century Gothic" w:hAnsi="Century Gothic"/>
          <w:sz w:val="24"/>
          <w:szCs w:val="24"/>
        </w:rPr>
      </w:pPr>
      <w:r w:rsidRPr="00372E64">
        <w:rPr>
          <w:rFonts w:ascii="Century Gothic" w:hAnsi="Century Gothic"/>
          <w:sz w:val="24"/>
          <w:szCs w:val="24"/>
        </w:rPr>
        <w:t>Représentant légal de la personne publique contractante :</w:t>
      </w:r>
    </w:p>
    <w:p w14:paraId="26752977" w14:textId="77777777" w:rsidR="008B315B" w:rsidRPr="00372E64" w:rsidRDefault="008B315B" w:rsidP="008B315B">
      <w:pPr>
        <w:pStyle w:val="TitreRiskpart4"/>
        <w:rPr>
          <w:rFonts w:asciiTheme="minorHAnsi" w:hAnsiTheme="minorHAnsi" w:cstheme="minorHAnsi"/>
          <w:i w:val="0"/>
          <w:iCs w:val="0"/>
        </w:rPr>
      </w:pPr>
    </w:p>
    <w:p w14:paraId="77C492DE" w14:textId="77777777" w:rsidR="008B315B" w:rsidRPr="00372E64" w:rsidRDefault="008B315B" w:rsidP="008B315B">
      <w:pPr>
        <w:pStyle w:val="Paragrapheenexcergue"/>
        <w:rPr>
          <w:rFonts w:asciiTheme="minorHAnsi" w:hAnsiTheme="minorHAnsi" w:cstheme="minorHAnsi"/>
          <w:b w:val="0"/>
          <w:bCs w:val="0"/>
          <w:i w:val="0"/>
          <w:iCs w:val="0"/>
          <w:sz w:val="28"/>
          <w:szCs w:val="28"/>
        </w:rPr>
      </w:pPr>
      <w:r w:rsidRPr="00DD2E87">
        <w:rPr>
          <w:rFonts w:asciiTheme="majorHAnsi" w:hAnsiTheme="majorHAnsi" w:cstheme="majorHAnsi"/>
          <w:noProof/>
        </w:rPr>
        <w:t>Monsieur Bruno SPORTISSE</w:t>
      </w:r>
      <w:r w:rsidRPr="00372E64">
        <w:rPr>
          <w:rFonts w:asciiTheme="majorHAnsi" w:hAnsiTheme="majorHAnsi" w:cstheme="majorHAnsi"/>
          <w:b w:val="0"/>
          <w:bCs w:val="0"/>
          <w:i w:val="0"/>
          <w:iCs w:val="0"/>
          <w:sz w:val="22"/>
          <w:szCs w:val="22"/>
        </w:rPr>
        <w:t xml:space="preserve"> - </w:t>
      </w:r>
      <w:r w:rsidRPr="00DD2E87">
        <w:rPr>
          <w:rFonts w:asciiTheme="majorHAnsi" w:hAnsiTheme="majorHAnsi" w:cstheme="majorHAnsi"/>
          <w:noProof/>
        </w:rPr>
        <w:t>Président Directeur Général</w:t>
      </w:r>
    </w:p>
    <w:p w14:paraId="4B434A48" w14:textId="77777777" w:rsidR="008B315B" w:rsidRDefault="008B315B" w:rsidP="008B315B">
      <w:pPr>
        <w:pStyle w:val="Paragrapheenexcergue"/>
        <w:rPr>
          <w:rFonts w:asciiTheme="minorHAnsi" w:hAnsiTheme="minorHAnsi" w:cstheme="minorHAnsi"/>
          <w:b w:val="0"/>
          <w:bCs w:val="0"/>
          <w:i w:val="0"/>
          <w:iCs w:val="0"/>
          <w:sz w:val="28"/>
          <w:szCs w:val="28"/>
        </w:rPr>
      </w:pPr>
    </w:p>
    <w:p w14:paraId="6F857AE7" w14:textId="77777777" w:rsidR="008B315B" w:rsidRPr="00372E64" w:rsidRDefault="008B315B" w:rsidP="008B315B">
      <w:pPr>
        <w:pStyle w:val="Paragrapheenexcergue"/>
        <w:rPr>
          <w:rFonts w:asciiTheme="minorHAnsi" w:hAnsiTheme="minorHAnsi" w:cstheme="minorHAnsi"/>
          <w:b w:val="0"/>
          <w:bCs w:val="0"/>
          <w:i w:val="0"/>
          <w:iCs w:val="0"/>
          <w:sz w:val="28"/>
          <w:szCs w:val="28"/>
        </w:rPr>
      </w:pPr>
    </w:p>
    <w:p w14:paraId="6EC8EC72" w14:textId="77777777" w:rsidR="008B315B" w:rsidRPr="00372E64" w:rsidRDefault="008B315B" w:rsidP="008B315B">
      <w:pPr>
        <w:pStyle w:val="Paragraphedeliste"/>
        <w:numPr>
          <w:ilvl w:val="0"/>
          <w:numId w:val="17"/>
        </w:numPr>
        <w:spacing w:line="256" w:lineRule="auto"/>
        <w:rPr>
          <w:rFonts w:ascii="Century Gothic" w:hAnsi="Century Gothic"/>
          <w:sz w:val="24"/>
          <w:szCs w:val="24"/>
        </w:rPr>
      </w:pPr>
      <w:r w:rsidRPr="00372E64">
        <w:rPr>
          <w:rFonts w:ascii="Century Gothic" w:hAnsi="Century Gothic"/>
          <w:sz w:val="24"/>
          <w:szCs w:val="24"/>
        </w:rPr>
        <w:t>Ordonnateur :</w:t>
      </w:r>
    </w:p>
    <w:p w14:paraId="2D23CD6C" w14:textId="77777777" w:rsidR="008B315B" w:rsidRPr="00372E64" w:rsidRDefault="008B315B" w:rsidP="008B315B">
      <w:pPr>
        <w:pStyle w:val="TitreRiskpart4"/>
        <w:ind w:left="0"/>
        <w:rPr>
          <w:rFonts w:asciiTheme="majorHAnsi" w:hAnsiTheme="majorHAnsi" w:cstheme="majorHAnsi"/>
          <w:i w:val="0"/>
          <w:iCs w:val="0"/>
          <w:sz w:val="22"/>
          <w:szCs w:val="22"/>
        </w:rPr>
      </w:pPr>
    </w:p>
    <w:p w14:paraId="518C7363" w14:textId="77777777" w:rsidR="008B315B" w:rsidRPr="00372E64" w:rsidRDefault="008B315B" w:rsidP="008B315B">
      <w:pPr>
        <w:pStyle w:val="Paragrapheenexcergue"/>
        <w:rPr>
          <w:rFonts w:asciiTheme="majorHAnsi" w:hAnsiTheme="majorHAnsi" w:cstheme="majorHAnsi"/>
          <w:b w:val="0"/>
          <w:bCs w:val="0"/>
          <w:i w:val="0"/>
          <w:iCs w:val="0"/>
          <w:noProof/>
          <w:sz w:val="22"/>
          <w:szCs w:val="22"/>
        </w:rPr>
      </w:pPr>
      <w:r w:rsidRPr="00DD2E87">
        <w:rPr>
          <w:rFonts w:asciiTheme="majorHAnsi" w:hAnsiTheme="majorHAnsi" w:cstheme="majorHAnsi"/>
          <w:noProof/>
        </w:rPr>
        <w:t>Monsieur Bruno SPORTISSE</w:t>
      </w:r>
      <w:r w:rsidRPr="00372E64">
        <w:rPr>
          <w:rFonts w:asciiTheme="majorHAnsi" w:hAnsiTheme="majorHAnsi" w:cstheme="majorHAnsi"/>
          <w:b w:val="0"/>
          <w:bCs w:val="0"/>
          <w:i w:val="0"/>
          <w:iCs w:val="0"/>
          <w:noProof/>
          <w:sz w:val="22"/>
          <w:szCs w:val="22"/>
        </w:rPr>
        <w:t xml:space="preserve"> - </w:t>
      </w:r>
      <w:r w:rsidRPr="00DD2E87">
        <w:rPr>
          <w:rFonts w:asciiTheme="majorHAnsi" w:hAnsiTheme="majorHAnsi" w:cstheme="majorHAnsi"/>
          <w:noProof/>
        </w:rPr>
        <w:t>Président Directeur Général</w:t>
      </w:r>
    </w:p>
    <w:p w14:paraId="14337DED" w14:textId="77777777" w:rsidR="008B315B" w:rsidRPr="00372E64" w:rsidRDefault="008B315B" w:rsidP="008B315B">
      <w:pPr>
        <w:pStyle w:val="Paragrapheenexcergue"/>
        <w:rPr>
          <w:rFonts w:asciiTheme="minorHAnsi" w:hAnsiTheme="minorHAnsi" w:cstheme="minorHAnsi"/>
          <w:b w:val="0"/>
          <w:bCs w:val="0"/>
          <w:i w:val="0"/>
          <w:iCs w:val="0"/>
          <w:sz w:val="28"/>
          <w:szCs w:val="28"/>
        </w:rPr>
      </w:pPr>
    </w:p>
    <w:p w14:paraId="1672A23A" w14:textId="77777777" w:rsidR="008B315B" w:rsidRPr="00372E64" w:rsidRDefault="008B315B" w:rsidP="008B315B">
      <w:pPr>
        <w:pStyle w:val="Paragrapheenexcergue"/>
        <w:rPr>
          <w:rFonts w:asciiTheme="minorHAnsi" w:hAnsiTheme="minorHAnsi" w:cstheme="minorHAnsi"/>
          <w:b w:val="0"/>
          <w:bCs w:val="0"/>
          <w:i w:val="0"/>
          <w:iCs w:val="0"/>
          <w:sz w:val="28"/>
          <w:szCs w:val="28"/>
        </w:rPr>
      </w:pPr>
    </w:p>
    <w:p w14:paraId="46C6363B" w14:textId="77777777" w:rsidR="008B315B" w:rsidRPr="00372E64" w:rsidRDefault="008B315B" w:rsidP="008B315B">
      <w:pPr>
        <w:pStyle w:val="Paragraphedeliste"/>
        <w:numPr>
          <w:ilvl w:val="0"/>
          <w:numId w:val="17"/>
        </w:numPr>
        <w:spacing w:line="256" w:lineRule="auto"/>
        <w:rPr>
          <w:rFonts w:ascii="Century Gothic" w:hAnsi="Century Gothic"/>
          <w:sz w:val="24"/>
          <w:szCs w:val="24"/>
        </w:rPr>
      </w:pPr>
      <w:r w:rsidRPr="00372E64">
        <w:rPr>
          <w:rFonts w:ascii="Century Gothic" w:hAnsi="Century Gothic"/>
          <w:sz w:val="24"/>
          <w:szCs w:val="24"/>
        </w:rPr>
        <w:t>Comptable public assignataire des paiements :</w:t>
      </w:r>
    </w:p>
    <w:p w14:paraId="3D1B40E3" w14:textId="77777777" w:rsidR="008B315B" w:rsidRPr="00372E64" w:rsidRDefault="008B315B" w:rsidP="008B315B">
      <w:pPr>
        <w:pStyle w:val="Paragrapheenexcergue"/>
        <w:rPr>
          <w:rFonts w:asciiTheme="minorHAnsi" w:hAnsiTheme="minorHAnsi" w:cstheme="minorHAnsi"/>
          <w:b w:val="0"/>
          <w:bCs w:val="0"/>
          <w:i w:val="0"/>
          <w:iCs w:val="0"/>
          <w:sz w:val="28"/>
          <w:szCs w:val="28"/>
        </w:rPr>
      </w:pPr>
    </w:p>
    <w:p w14:paraId="59951AEE" w14:textId="77777777" w:rsidR="008B315B" w:rsidRPr="00372E64" w:rsidRDefault="008B315B" w:rsidP="008B315B">
      <w:pPr>
        <w:pStyle w:val="Paragrapheenexcergue"/>
        <w:rPr>
          <w:rFonts w:asciiTheme="majorHAnsi" w:hAnsiTheme="majorHAnsi" w:cstheme="majorHAnsi"/>
          <w:b w:val="0"/>
          <w:bCs w:val="0"/>
          <w:i w:val="0"/>
          <w:iCs w:val="0"/>
          <w:noProof/>
          <w:sz w:val="22"/>
          <w:szCs w:val="22"/>
        </w:rPr>
      </w:pPr>
      <w:r w:rsidRPr="00DD2E87">
        <w:rPr>
          <w:rFonts w:asciiTheme="majorHAnsi" w:hAnsiTheme="majorHAnsi" w:cstheme="majorHAnsi"/>
          <w:noProof/>
        </w:rPr>
        <w:t>Madame L’Agent Comptable d’Inria</w:t>
      </w:r>
    </w:p>
    <w:p w14:paraId="48370DD4" w14:textId="77777777" w:rsidR="008B315B" w:rsidRPr="00372E64" w:rsidRDefault="008B315B" w:rsidP="008B315B">
      <w:pPr>
        <w:pStyle w:val="Paragrapheenexcergue"/>
        <w:rPr>
          <w:rFonts w:asciiTheme="minorHAnsi" w:hAnsiTheme="minorHAnsi" w:cstheme="minorHAnsi"/>
          <w:b w:val="0"/>
          <w:bCs w:val="0"/>
          <w:i w:val="0"/>
          <w:iCs w:val="0"/>
        </w:rPr>
      </w:pPr>
    </w:p>
    <w:p w14:paraId="031A510A" w14:textId="77777777" w:rsidR="008B315B" w:rsidRPr="00372E64" w:rsidRDefault="008B315B" w:rsidP="008B315B">
      <w:pPr>
        <w:pStyle w:val="Paragrapheenexcergue"/>
        <w:rPr>
          <w:rFonts w:asciiTheme="minorHAnsi" w:hAnsiTheme="minorHAnsi" w:cstheme="minorHAnsi"/>
          <w:b w:val="0"/>
          <w:bCs w:val="0"/>
          <w:i w:val="0"/>
          <w:iCs w:val="0"/>
        </w:rPr>
      </w:pPr>
    </w:p>
    <w:p w14:paraId="23A3AA00" w14:textId="77777777" w:rsidR="008B315B" w:rsidRPr="00372E64" w:rsidRDefault="008B315B" w:rsidP="008B315B">
      <w:pPr>
        <w:pStyle w:val="Paragrapheenexcergue"/>
        <w:rPr>
          <w:rFonts w:asciiTheme="minorHAnsi" w:hAnsiTheme="minorHAnsi" w:cstheme="minorHAnsi"/>
          <w:b w:val="0"/>
          <w:bCs w:val="0"/>
          <w:i w:val="0"/>
          <w:iCs w:val="0"/>
        </w:rPr>
      </w:pPr>
    </w:p>
    <w:p w14:paraId="58BD92C6" w14:textId="77777777" w:rsidR="008B315B" w:rsidRPr="00372E64" w:rsidRDefault="008B315B" w:rsidP="008B315B">
      <w:pPr>
        <w:pStyle w:val="Paragraphedeliste"/>
        <w:numPr>
          <w:ilvl w:val="0"/>
          <w:numId w:val="17"/>
        </w:numPr>
        <w:spacing w:line="256" w:lineRule="auto"/>
        <w:rPr>
          <w:rFonts w:ascii="Century Gothic" w:hAnsi="Century Gothic"/>
          <w:sz w:val="24"/>
          <w:szCs w:val="24"/>
        </w:rPr>
      </w:pPr>
      <w:r w:rsidRPr="00372E64">
        <w:rPr>
          <w:rFonts w:ascii="Century Gothic" w:hAnsi="Century Gothic"/>
          <w:sz w:val="24"/>
          <w:szCs w:val="24"/>
        </w:rPr>
        <w:t>Procédure :</w:t>
      </w:r>
    </w:p>
    <w:p w14:paraId="7BB49F6D" w14:textId="77777777" w:rsidR="008B315B" w:rsidRPr="00372E64" w:rsidRDefault="008B315B" w:rsidP="008B315B">
      <w:pPr>
        <w:pStyle w:val="Paragrapheenexcergue"/>
        <w:rPr>
          <w:rFonts w:asciiTheme="minorHAnsi" w:hAnsiTheme="minorHAnsi" w:cstheme="minorHAnsi"/>
          <w:b w:val="0"/>
          <w:bCs w:val="0"/>
          <w:i w:val="0"/>
          <w:iCs w:val="0"/>
        </w:rPr>
      </w:pPr>
    </w:p>
    <w:p w14:paraId="5B550F35" w14:textId="706259FA" w:rsidR="008B315B" w:rsidRDefault="008B315B" w:rsidP="008B315B">
      <w:pPr>
        <w:pStyle w:val="Paragrapheenexcergue"/>
        <w:rPr>
          <w:rFonts w:asciiTheme="majorHAnsi" w:hAnsiTheme="majorHAnsi" w:cstheme="majorHAnsi"/>
          <w:b w:val="0"/>
          <w:bCs w:val="0"/>
          <w:i w:val="0"/>
          <w:iCs w:val="0"/>
          <w:noProof/>
          <w:sz w:val="22"/>
          <w:szCs w:val="22"/>
        </w:rPr>
      </w:pPr>
      <w:r w:rsidRPr="007B7AE7">
        <w:rPr>
          <w:rFonts w:asciiTheme="majorHAnsi" w:hAnsiTheme="majorHAnsi" w:cstheme="majorHAnsi"/>
          <w:noProof/>
        </w:rPr>
        <w:t xml:space="preserve">La présente consultation est lancée sous forme de procédure </w:t>
      </w:r>
      <w:r w:rsidR="007B7AE7" w:rsidRPr="007B7AE7">
        <w:rPr>
          <w:rFonts w:asciiTheme="majorHAnsi" w:hAnsiTheme="majorHAnsi" w:cstheme="majorHAnsi"/>
          <w:noProof/>
        </w:rPr>
        <w:t>adapté (MAPA)</w:t>
      </w:r>
      <w:r w:rsidR="0069407D">
        <w:rPr>
          <w:rFonts w:asciiTheme="majorHAnsi" w:hAnsiTheme="majorHAnsi" w:cstheme="majorHAnsi"/>
          <w:noProof/>
        </w:rPr>
        <w:t xml:space="preserve"> et</w:t>
      </w:r>
      <w:r w:rsidR="007B7AE7" w:rsidRPr="007B7AE7">
        <w:rPr>
          <w:rFonts w:asciiTheme="majorHAnsi" w:hAnsiTheme="majorHAnsi" w:cstheme="majorHAnsi"/>
          <w:noProof/>
        </w:rPr>
        <w:t xml:space="preserve"> soumise aux dispositions des articles </w:t>
      </w:r>
      <w:r w:rsidR="007B7AE7">
        <w:rPr>
          <w:rFonts w:asciiTheme="majorHAnsi" w:hAnsiTheme="majorHAnsi" w:cstheme="majorHAnsi"/>
          <w:noProof/>
        </w:rPr>
        <w:t>L</w:t>
      </w:r>
      <w:r w:rsidR="007B7AE7" w:rsidRPr="007B7AE7">
        <w:rPr>
          <w:rFonts w:asciiTheme="majorHAnsi" w:hAnsiTheme="majorHAnsi" w:cstheme="majorHAnsi"/>
          <w:noProof/>
        </w:rPr>
        <w:t xml:space="preserve">2123- </w:t>
      </w:r>
      <w:r w:rsidR="007B7AE7">
        <w:rPr>
          <w:rFonts w:asciiTheme="majorHAnsi" w:hAnsiTheme="majorHAnsi" w:cstheme="majorHAnsi"/>
          <w:noProof/>
        </w:rPr>
        <w:t xml:space="preserve">1, R2123-1, 1° et R2131-12, 1° du </w:t>
      </w:r>
      <w:r w:rsidR="007B7AE7" w:rsidRPr="007B7AE7">
        <w:rPr>
          <w:rFonts w:asciiTheme="majorHAnsi" w:hAnsiTheme="majorHAnsi" w:cstheme="majorHAnsi"/>
          <w:noProof/>
        </w:rPr>
        <w:t>code de la commande publique</w:t>
      </w:r>
      <w:r w:rsidR="007B7AE7">
        <w:rPr>
          <w:rFonts w:asciiTheme="majorHAnsi" w:hAnsiTheme="majorHAnsi" w:cstheme="majorHAnsi"/>
          <w:noProof/>
        </w:rPr>
        <w:t>.</w:t>
      </w:r>
    </w:p>
    <w:p w14:paraId="693552C5" w14:textId="77777777" w:rsidR="008B315B" w:rsidRPr="00372E64" w:rsidRDefault="008B315B" w:rsidP="008B315B">
      <w:pPr>
        <w:pStyle w:val="Paragrapheenexcergue"/>
        <w:rPr>
          <w:rFonts w:asciiTheme="majorHAnsi" w:hAnsiTheme="majorHAnsi" w:cstheme="majorHAnsi"/>
          <w:b w:val="0"/>
          <w:bCs w:val="0"/>
          <w:i w:val="0"/>
          <w:iCs w:val="0"/>
          <w:noProof/>
          <w:sz w:val="22"/>
          <w:szCs w:val="22"/>
        </w:rPr>
      </w:pPr>
    </w:p>
    <w:p w14:paraId="3DB54CB2" w14:textId="085D7D6F" w:rsidR="008B315B" w:rsidRPr="00372E64" w:rsidRDefault="008B315B" w:rsidP="008B315B">
      <w:pPr>
        <w:pStyle w:val="Paragraphedeliste"/>
        <w:numPr>
          <w:ilvl w:val="0"/>
          <w:numId w:val="17"/>
        </w:numPr>
        <w:spacing w:line="256" w:lineRule="auto"/>
        <w:rPr>
          <w:rFonts w:ascii="Century Gothic" w:hAnsi="Century Gothic"/>
          <w:sz w:val="24"/>
          <w:szCs w:val="24"/>
        </w:rPr>
      </w:pPr>
      <w:r w:rsidRPr="00372E64">
        <w:rPr>
          <w:rFonts w:ascii="Century Gothic" w:hAnsi="Century Gothic"/>
          <w:sz w:val="24"/>
          <w:szCs w:val="24"/>
        </w:rPr>
        <w:t>Marché n</w:t>
      </w:r>
      <w:r w:rsidR="0014451E">
        <w:rPr>
          <w:rFonts w:ascii="Century Gothic" w:hAnsi="Century Gothic"/>
          <w:sz w:val="24"/>
          <w:szCs w:val="24"/>
        </w:rPr>
        <w:t>°2025-1145</w:t>
      </w:r>
    </w:p>
    <w:p w14:paraId="6F4C2F8A" w14:textId="77777777" w:rsidR="00221A80" w:rsidRDefault="008B315B" w:rsidP="008B315B">
      <w:pPr>
        <w:spacing w:before="0"/>
        <w:jc w:val="left"/>
        <w:rPr>
          <w:u w:val="single"/>
        </w:rPr>
      </w:pPr>
      <w:r>
        <w:rPr>
          <w:u w:val="single"/>
        </w:rPr>
        <w:br w:type="page"/>
      </w:r>
      <w:r w:rsidR="00221A80" w:rsidRPr="007956AD">
        <w:rPr>
          <w:u w:val="single"/>
        </w:rPr>
        <w:lastRenderedPageBreak/>
        <w:t>Article 1 – Contractant</w:t>
      </w:r>
    </w:p>
    <w:p w14:paraId="58C8AA08"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37D03367"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252FDA23"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476AD1B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950C33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A5E1C27"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F77C06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7FC599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068060"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54C3BC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01C63D1"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C2E1832" w14:textId="77777777" w:rsidR="00221A80" w:rsidRPr="001079F0" w:rsidRDefault="00041189"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0F633D1D" w14:textId="77777777" w:rsidR="00221A80" w:rsidRPr="001079F0" w:rsidRDefault="00041189"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6D2C3A41" w14:textId="77777777" w:rsidR="00221A80" w:rsidRPr="001079F0" w:rsidRDefault="00041189"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7C4E5CBF"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42B5793"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3DCB8ADA"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449AAF20"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D3D47F9"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32FF0422"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221A80" w:rsidRPr="001079F0" w14:paraId="5AE97335"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54907C4"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DBBD820"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A5F090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9E246B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8F59E2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1C13F9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B0921D"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70651F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8BFAEB3"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C9DE929"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106A57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7B79CE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846AF9"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B0882E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093F8A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BFA008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0B093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46E0900"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C5C4CC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4F4AA72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0F20DAA"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102DA18"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575B26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05D224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DFBA62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A21692D"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ECCC2E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2F9668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FF8F741"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D323CF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59114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2490C9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4E01640"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3C265B9"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C5473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5E3BE2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7535B4"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69A185A"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0A505FF"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BB0E0A0"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D03F3E9"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3A4C210A"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BA62FB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8083C7"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0385B39"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59C5BDF"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7D33C8"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0BA67C0"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D104BD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3A1812"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0A2AD1DF" w14:textId="77777777" w:rsidR="00221A80" w:rsidRDefault="00221A80" w:rsidP="00563054">
      <w:pPr>
        <w:spacing w:before="0" w:after="0" w:line="240" w:lineRule="auto"/>
        <w:contextualSpacing/>
        <w:rPr>
          <w:i/>
          <w:iCs/>
        </w:rPr>
      </w:pPr>
      <w:bookmarkStart w:id="0" w:name="_Hlk100515923"/>
      <w:r>
        <w:rPr>
          <w:i/>
          <w:iCs/>
        </w:rPr>
        <w:t>* En cas de co-assurance, renseigner la compagnie apéritrice et joindre en annexe la présentation des autres compagnies et les modalités de la coassurance</w:t>
      </w:r>
      <w:bookmarkEnd w:id="0"/>
    </w:p>
    <w:p w14:paraId="27C2166E" w14:textId="77777777" w:rsidR="00563054" w:rsidRPr="00372E64" w:rsidRDefault="00563054" w:rsidP="00563054">
      <w:pPr>
        <w:spacing w:before="0" w:after="0" w:line="240" w:lineRule="auto"/>
        <w:contextualSpacing/>
        <w:rPr>
          <w:i/>
          <w:iCs/>
        </w:rPr>
      </w:pPr>
    </w:p>
    <w:p w14:paraId="5BE344B3" w14:textId="77777777" w:rsidR="00221A80" w:rsidRPr="001079F0" w:rsidRDefault="00221A80" w:rsidP="00563054">
      <w:pPr>
        <w:pStyle w:val="Paragraphedeliste"/>
        <w:numPr>
          <w:ilvl w:val="0"/>
          <w:numId w:val="21"/>
        </w:numPr>
        <w:spacing w:before="0" w:after="0" w:line="240" w:lineRule="auto"/>
      </w:pPr>
      <w:r w:rsidRPr="001079F0">
        <w:t>après avoir pris connaissance du présent cahier des charges et des documents qui y sont mentionnés;</w:t>
      </w:r>
    </w:p>
    <w:p w14:paraId="38CF7B34" w14:textId="77777777" w:rsidR="00221A80" w:rsidRPr="001079F0" w:rsidRDefault="00221A80" w:rsidP="0056305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0AB658E7" w14:textId="77777777" w:rsidR="00221A80" w:rsidRPr="001079F0" w:rsidRDefault="00221A80" w:rsidP="0056305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107D55AF" w14:textId="77777777" w:rsidR="00563054" w:rsidRDefault="00563054" w:rsidP="00563054">
      <w:pPr>
        <w:spacing w:before="0" w:after="0" w:line="240" w:lineRule="auto"/>
        <w:contextualSpacing/>
      </w:pPr>
    </w:p>
    <w:p w14:paraId="334CE428" w14:textId="77777777"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27D9943F" w14:textId="77777777"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6118F3D3" w14:textId="77777777" w:rsidR="00563054" w:rsidRDefault="00563054" w:rsidP="00563054">
      <w:pPr>
        <w:pStyle w:val="Paragraphedeliste"/>
        <w:spacing w:before="0" w:after="0" w:line="240" w:lineRule="auto"/>
      </w:pPr>
    </w:p>
    <w:p w14:paraId="154ED5AC" w14:textId="77777777"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0C67F02B" w14:textId="77777777" w:rsidR="00563054" w:rsidRDefault="00563054" w:rsidP="00563054">
      <w:pPr>
        <w:spacing w:before="0" w:after="0" w:line="240" w:lineRule="auto"/>
        <w:contextualSpacing/>
      </w:pPr>
    </w:p>
    <w:p w14:paraId="0A755C72" w14:textId="77777777" w:rsidR="00BB3064" w:rsidRPr="00276D4B" w:rsidRDefault="00BB3064" w:rsidP="00BB3064">
      <w:pPr>
        <w:spacing w:before="0" w:after="0" w:line="240" w:lineRule="auto"/>
        <w:contextualSpacing/>
      </w:pPr>
      <w:r w:rsidRPr="00276D4B">
        <w:t xml:space="preserve">Durée de marché : </w:t>
      </w:r>
      <w:r w:rsidR="008B315B">
        <w:t>4</w:t>
      </w:r>
      <w:r>
        <w:rPr>
          <w:noProof/>
        </w:rPr>
        <w:t xml:space="preserve"> ans</w:t>
      </w:r>
    </w:p>
    <w:p w14:paraId="53682514" w14:textId="77777777" w:rsidR="00BB3064" w:rsidRPr="00276D4B" w:rsidRDefault="00BB3064" w:rsidP="00BB3064">
      <w:pPr>
        <w:spacing w:before="0" w:after="0" w:line="240" w:lineRule="auto"/>
        <w:contextualSpacing/>
      </w:pPr>
      <w:r w:rsidRPr="00276D4B">
        <w:t xml:space="preserve">Date d’effet : </w:t>
      </w:r>
      <w:r>
        <w:rPr>
          <w:noProof/>
        </w:rPr>
        <w:t>01/0</w:t>
      </w:r>
      <w:r w:rsidR="00B166D9">
        <w:rPr>
          <w:noProof/>
        </w:rPr>
        <w:t>1</w:t>
      </w:r>
      <w:r>
        <w:rPr>
          <w:noProof/>
        </w:rPr>
        <w:t>/202</w:t>
      </w:r>
      <w:r w:rsidR="007B7AE7">
        <w:rPr>
          <w:noProof/>
        </w:rPr>
        <w:t>6</w:t>
      </w:r>
    </w:p>
    <w:p w14:paraId="5D635BC9" w14:textId="77777777" w:rsidR="00BB3064" w:rsidRDefault="00BB3064" w:rsidP="00BB3064">
      <w:pPr>
        <w:spacing w:before="0" w:after="0" w:line="240" w:lineRule="auto"/>
        <w:contextualSpacing/>
      </w:pPr>
      <w:r w:rsidRPr="00276D4B">
        <w:t xml:space="preserve">Fin de marché : </w:t>
      </w:r>
      <w:r>
        <w:rPr>
          <w:noProof/>
        </w:rPr>
        <w:t>31/</w:t>
      </w:r>
      <w:r w:rsidR="007B7AE7">
        <w:rPr>
          <w:noProof/>
        </w:rPr>
        <w:t>12</w:t>
      </w:r>
      <w:r>
        <w:rPr>
          <w:noProof/>
        </w:rPr>
        <w:t>/20</w:t>
      </w:r>
      <w:r w:rsidR="008B315B">
        <w:rPr>
          <w:noProof/>
        </w:rPr>
        <w:t>29</w:t>
      </w:r>
    </w:p>
    <w:p w14:paraId="47C520F6" w14:textId="77777777" w:rsidR="00563054" w:rsidRDefault="00563054" w:rsidP="00563054">
      <w:pPr>
        <w:spacing w:before="0" w:after="0" w:line="240" w:lineRule="auto"/>
        <w:contextualSpacing/>
      </w:pPr>
    </w:p>
    <w:p w14:paraId="708E4944" w14:textId="77777777"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1D9DB5FC" w14:textId="77777777" w:rsidR="00563054" w:rsidRDefault="00563054" w:rsidP="00563054">
      <w:pPr>
        <w:spacing w:before="0" w:after="0" w:line="240" w:lineRule="auto"/>
        <w:contextualSpacing/>
      </w:pPr>
    </w:p>
    <w:p w14:paraId="465B36D3" w14:textId="77777777" w:rsidR="000D57D0" w:rsidRPr="001079F0" w:rsidRDefault="000D57D0" w:rsidP="00563054">
      <w:pPr>
        <w:spacing w:before="0" w:after="0" w:line="240" w:lineRule="auto"/>
        <w:contextualSpacing/>
      </w:pPr>
      <w:r w:rsidRPr="001079F0">
        <w:t>Le délai d’exécution part de la date d’effet du contrat telle que prévue aux conditions particulières (cahier des clauses techniques particulières).</w:t>
      </w:r>
    </w:p>
    <w:p w14:paraId="345311EC" w14:textId="77777777" w:rsidR="000D57D0" w:rsidRDefault="000D57D0" w:rsidP="00563054">
      <w:pPr>
        <w:spacing w:before="0" w:after="0" w:line="240" w:lineRule="auto"/>
        <w:contextualSpacing/>
      </w:pPr>
    </w:p>
    <w:p w14:paraId="71E35955" w14:textId="77777777" w:rsidR="00563054" w:rsidRPr="001079F0" w:rsidRDefault="00563054" w:rsidP="00563054">
      <w:pPr>
        <w:spacing w:before="0" w:after="0" w:line="240" w:lineRule="auto"/>
        <w:contextualSpacing/>
      </w:pPr>
    </w:p>
    <w:p w14:paraId="39E70079"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6E09FFB1" w14:textId="77777777" w:rsidR="00563054" w:rsidRDefault="00563054" w:rsidP="00563054">
      <w:pPr>
        <w:spacing w:before="0" w:after="0" w:line="240" w:lineRule="auto"/>
        <w:contextualSpacing/>
      </w:pPr>
    </w:p>
    <w:p w14:paraId="10A30C0F" w14:textId="77777777"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5A125E82" w14:textId="77777777" w:rsidR="00221A80" w:rsidRDefault="00221A80" w:rsidP="00563054">
      <w:pPr>
        <w:spacing w:before="0" w:after="0" w:line="240" w:lineRule="auto"/>
        <w:contextualSpacing/>
      </w:pPr>
      <w:bookmarkStart w:id="1" w:name="_Hlk100390042"/>
    </w:p>
    <w:p w14:paraId="0DC090E0" w14:textId="77777777" w:rsidR="00563054" w:rsidRDefault="00563054" w:rsidP="0056305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3D8A186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F828737"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35BA6DA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D715E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57716EF4" w14:textId="77777777" w:rsidR="00221A80" w:rsidRDefault="00221A80" w:rsidP="00563054">
            <w:pPr>
              <w:spacing w:before="0"/>
              <w:contextualSpacing/>
              <w:jc w:val="left"/>
            </w:pPr>
          </w:p>
        </w:tc>
      </w:tr>
      <w:tr w:rsidR="00221A80" w14:paraId="0C0959B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C0E099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5192E934" w14:textId="77777777" w:rsidR="00221A80" w:rsidRDefault="00221A80" w:rsidP="00563054">
            <w:pPr>
              <w:spacing w:before="0"/>
              <w:contextualSpacing/>
              <w:jc w:val="left"/>
            </w:pPr>
          </w:p>
        </w:tc>
      </w:tr>
      <w:tr w:rsidR="00221A80" w14:paraId="1B957F7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C2A10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0EA99A6A" w14:textId="77777777" w:rsidR="00221A80" w:rsidRDefault="00221A80" w:rsidP="00563054">
            <w:pPr>
              <w:spacing w:before="0"/>
              <w:contextualSpacing/>
              <w:jc w:val="left"/>
            </w:pPr>
          </w:p>
        </w:tc>
      </w:tr>
      <w:tr w:rsidR="00221A80" w14:paraId="1F0E0C6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146EEF6"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294A3633" w14:textId="77777777" w:rsidR="00221A80" w:rsidRDefault="00221A80" w:rsidP="00563054">
            <w:pPr>
              <w:spacing w:before="0"/>
              <w:contextualSpacing/>
              <w:jc w:val="left"/>
            </w:pPr>
          </w:p>
        </w:tc>
      </w:tr>
      <w:tr w:rsidR="00221A80" w14:paraId="02987E4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8FECF5D"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62661DF7" w14:textId="77777777" w:rsidR="00221A80" w:rsidRDefault="00221A80" w:rsidP="00563054">
            <w:pPr>
              <w:spacing w:before="0"/>
              <w:contextualSpacing/>
              <w:jc w:val="left"/>
            </w:pPr>
          </w:p>
        </w:tc>
      </w:tr>
      <w:tr w:rsidR="00221A80" w14:paraId="67D2638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F3017D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630F94F5" w14:textId="77777777" w:rsidR="00221A80" w:rsidRDefault="00221A80" w:rsidP="00563054">
            <w:pPr>
              <w:spacing w:before="0"/>
              <w:contextualSpacing/>
              <w:jc w:val="left"/>
            </w:pPr>
          </w:p>
        </w:tc>
        <w:bookmarkEnd w:id="1"/>
      </w:tr>
    </w:tbl>
    <w:p w14:paraId="0D411ACC" w14:textId="77777777" w:rsidR="00221A80" w:rsidRPr="001079F0" w:rsidRDefault="00221A80" w:rsidP="00563054">
      <w:pPr>
        <w:spacing w:before="0" w:after="0" w:line="240" w:lineRule="auto"/>
        <w:contextualSpacing/>
      </w:pPr>
    </w:p>
    <w:p w14:paraId="15ADB50A" w14:textId="77777777" w:rsidR="00DE27C2" w:rsidRPr="001079F0" w:rsidRDefault="000D57D0" w:rsidP="0056305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4070B90" w14:textId="77777777" w:rsidR="00DE27C2" w:rsidRPr="001079F0" w:rsidRDefault="00DE27C2" w:rsidP="00563054">
      <w:pPr>
        <w:spacing w:before="0" w:after="0" w:line="240" w:lineRule="auto"/>
        <w:contextualSpacing/>
        <w:jc w:val="left"/>
      </w:pPr>
      <w:r w:rsidRPr="001079F0">
        <w:br w:type="page"/>
      </w:r>
    </w:p>
    <w:p w14:paraId="5D535F5D"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627E5AA2" w14:textId="77777777" w:rsidR="00563054" w:rsidRPr="00563054" w:rsidRDefault="00563054" w:rsidP="00563054">
      <w:pPr>
        <w:spacing w:before="0" w:after="0" w:line="240" w:lineRule="auto"/>
        <w:rPr>
          <w:rFonts w:ascii="Century Gothic" w:hAnsi="Century Gothic"/>
          <w:sz w:val="24"/>
          <w:szCs w:val="24"/>
        </w:rPr>
      </w:pPr>
    </w:p>
    <w:p w14:paraId="2467EF9D" w14:textId="77777777" w:rsidR="000F19A5" w:rsidRDefault="00816C3F" w:rsidP="00563054">
      <w:pPr>
        <w:pStyle w:val="Paragraphedeliste"/>
        <w:numPr>
          <w:ilvl w:val="0"/>
          <w:numId w:val="20"/>
        </w:numPr>
        <w:spacing w:before="0" w:after="0" w:line="240" w:lineRule="auto"/>
        <w:rPr>
          <w:rFonts w:ascii="Century Gothic" w:hAnsi="Century Gothic"/>
          <w:sz w:val="24"/>
          <w:szCs w:val="24"/>
        </w:rPr>
      </w:pPr>
      <w:r w:rsidRPr="00821C7A">
        <w:rPr>
          <w:rFonts w:ascii="Century Gothic" w:hAnsi="Century Gothic"/>
          <w:sz w:val="24"/>
          <w:szCs w:val="24"/>
        </w:rPr>
        <w:t xml:space="preserve">OFFRE DE BASE : </w:t>
      </w:r>
      <w:r w:rsidRPr="00714A12">
        <w:rPr>
          <w:rFonts w:ascii="Century Gothic" w:hAnsi="Century Gothic"/>
          <w:sz w:val="24"/>
          <w:szCs w:val="24"/>
        </w:rPr>
        <w:t>Assurance</w:t>
      </w:r>
      <w:r w:rsidR="00DE27C2" w:rsidRPr="00714A12">
        <w:rPr>
          <w:rFonts w:ascii="Century Gothic" w:hAnsi="Century Gothic"/>
          <w:sz w:val="24"/>
          <w:szCs w:val="24"/>
        </w:rPr>
        <w:t xml:space="preserv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Pr>
          <w:rFonts w:ascii="Century Gothic" w:hAnsi="Century Gothic"/>
          <w:sz w:val="24"/>
          <w:szCs w:val="24"/>
        </w:rPr>
        <w:t>ASSISTANCE</w:t>
      </w:r>
      <w:r w:rsidR="00DF5CBC">
        <w:rPr>
          <w:rFonts w:ascii="Century Gothic" w:hAnsi="Century Gothic"/>
          <w:sz w:val="24"/>
          <w:szCs w:val="24"/>
        </w:rPr>
        <w:t xml:space="preserve"> </w:t>
      </w:r>
      <w:r w:rsidR="00026AF8" w:rsidRPr="00714A12">
        <w:rPr>
          <w:rFonts w:ascii="Century Gothic" w:hAnsi="Century Gothic"/>
          <w:sz w:val="24"/>
          <w:szCs w:val="24"/>
        </w:rPr>
        <w:t>»</w:t>
      </w:r>
    </w:p>
    <w:p w14:paraId="4260300E" w14:textId="77777777" w:rsidR="00563054" w:rsidRPr="00714A12" w:rsidRDefault="00563054" w:rsidP="00563054">
      <w:pPr>
        <w:pStyle w:val="Paragraphedeliste"/>
        <w:spacing w:before="0" w:after="0" w:line="240" w:lineRule="auto"/>
        <w:rPr>
          <w:rFonts w:ascii="Century Gothic" w:hAnsi="Century Gothic"/>
          <w:sz w:val="24"/>
          <w:szCs w:val="24"/>
        </w:rPr>
      </w:pPr>
    </w:p>
    <w:p w14:paraId="7F2050A4" w14:textId="77777777" w:rsidR="00816C3F" w:rsidRPr="001079F0" w:rsidRDefault="00816C3F" w:rsidP="00816C3F">
      <w:pPr>
        <w:spacing w:before="0" w:after="0" w:line="240" w:lineRule="auto"/>
        <w:contextualSpacing/>
      </w:pPr>
    </w:p>
    <w:tbl>
      <w:tblPr>
        <w:tblStyle w:val="Grilledutableau"/>
        <w:tblW w:w="5000" w:type="pct"/>
        <w:tblLook w:val="04A0" w:firstRow="1" w:lastRow="0" w:firstColumn="1" w:lastColumn="0" w:noHBand="0" w:noVBand="1"/>
      </w:tblPr>
      <w:tblGrid>
        <w:gridCol w:w="3611"/>
        <w:gridCol w:w="2963"/>
        <w:gridCol w:w="3054"/>
      </w:tblGrid>
      <w:tr w:rsidR="009B1341" w:rsidRPr="001079F0" w14:paraId="08F1FAF0" w14:textId="77777777" w:rsidTr="009B1341">
        <w:trPr>
          <w:trHeight w:val="562"/>
        </w:trPr>
        <w:tc>
          <w:tcPr>
            <w:tcW w:w="1875" w:type="pct"/>
            <w:shd w:val="clear" w:color="auto" w:fill="D9E2F3" w:themeFill="accent1" w:themeFillTint="33"/>
            <w:vAlign w:val="center"/>
          </w:tcPr>
          <w:p w14:paraId="15C28F54" w14:textId="77777777" w:rsidR="009B1341" w:rsidRPr="00714A12" w:rsidRDefault="009B1341" w:rsidP="001458AE">
            <w:pPr>
              <w:spacing w:before="0"/>
              <w:contextualSpacing/>
              <w:jc w:val="center"/>
              <w:rPr>
                <w:rFonts w:asciiTheme="majorHAnsi" w:hAnsiTheme="majorHAnsi" w:cstheme="majorHAnsi"/>
              </w:rPr>
            </w:pPr>
          </w:p>
        </w:tc>
        <w:tc>
          <w:tcPr>
            <w:tcW w:w="1539" w:type="pct"/>
            <w:shd w:val="clear" w:color="auto" w:fill="D9E2F3" w:themeFill="accent1" w:themeFillTint="33"/>
            <w:vAlign w:val="center"/>
          </w:tcPr>
          <w:p w14:paraId="640144C8" w14:textId="5AAAAB9C" w:rsidR="009B1341" w:rsidRPr="00821C7A" w:rsidRDefault="009B1341" w:rsidP="008B315B">
            <w:pPr>
              <w:spacing w:before="0"/>
              <w:contextualSpacing/>
              <w:jc w:val="center"/>
              <w:rPr>
                <w:rFonts w:asciiTheme="majorHAnsi" w:hAnsiTheme="majorHAnsi" w:cstheme="majorHAnsi"/>
                <w:b/>
                <w:bCs/>
              </w:rPr>
            </w:pPr>
            <w:r>
              <w:rPr>
                <w:rFonts w:asciiTheme="majorHAnsi" w:hAnsiTheme="majorHAnsi" w:cstheme="majorHAnsi"/>
                <w:b/>
                <w:bCs/>
              </w:rPr>
              <w:t>Mission inférieur</w:t>
            </w:r>
            <w:r w:rsidR="0014451E">
              <w:rPr>
                <w:rFonts w:asciiTheme="majorHAnsi" w:hAnsiTheme="majorHAnsi" w:cstheme="majorHAnsi"/>
                <w:b/>
                <w:bCs/>
              </w:rPr>
              <w:t>e</w:t>
            </w:r>
            <w:r>
              <w:rPr>
                <w:rFonts w:asciiTheme="majorHAnsi" w:hAnsiTheme="majorHAnsi" w:cstheme="majorHAnsi"/>
                <w:b/>
                <w:bCs/>
              </w:rPr>
              <w:t xml:space="preserve"> à 365 Jours</w:t>
            </w:r>
          </w:p>
        </w:tc>
        <w:tc>
          <w:tcPr>
            <w:tcW w:w="1586" w:type="pct"/>
            <w:shd w:val="clear" w:color="auto" w:fill="D9E2F3" w:themeFill="accent1" w:themeFillTint="33"/>
            <w:vAlign w:val="center"/>
          </w:tcPr>
          <w:p w14:paraId="1FB8A07F" w14:textId="60865E4E" w:rsidR="009B1341" w:rsidRPr="00821C7A" w:rsidRDefault="009B1341" w:rsidP="008B315B">
            <w:pPr>
              <w:spacing w:before="0"/>
              <w:contextualSpacing/>
              <w:jc w:val="center"/>
              <w:rPr>
                <w:rFonts w:asciiTheme="majorHAnsi" w:hAnsiTheme="majorHAnsi" w:cstheme="majorHAnsi"/>
                <w:b/>
                <w:bCs/>
              </w:rPr>
            </w:pPr>
            <w:r>
              <w:rPr>
                <w:rFonts w:asciiTheme="majorHAnsi" w:hAnsiTheme="majorHAnsi" w:cstheme="majorHAnsi"/>
                <w:b/>
                <w:bCs/>
              </w:rPr>
              <w:t>Mission supérieur</w:t>
            </w:r>
            <w:r w:rsidR="0014451E">
              <w:rPr>
                <w:rFonts w:asciiTheme="majorHAnsi" w:hAnsiTheme="majorHAnsi" w:cstheme="majorHAnsi"/>
                <w:b/>
                <w:bCs/>
              </w:rPr>
              <w:t>e</w:t>
            </w:r>
            <w:r>
              <w:rPr>
                <w:rFonts w:asciiTheme="majorHAnsi" w:hAnsiTheme="majorHAnsi" w:cstheme="majorHAnsi"/>
                <w:b/>
                <w:bCs/>
              </w:rPr>
              <w:t xml:space="preserve"> à 365 Jours</w:t>
            </w:r>
          </w:p>
        </w:tc>
      </w:tr>
      <w:tr w:rsidR="009B1341" w:rsidRPr="001079F0" w14:paraId="09E46D1E" w14:textId="77777777" w:rsidTr="009B1341">
        <w:trPr>
          <w:trHeight w:val="628"/>
        </w:trPr>
        <w:tc>
          <w:tcPr>
            <w:tcW w:w="1875" w:type="pct"/>
            <w:shd w:val="clear" w:color="auto" w:fill="D9E2F3" w:themeFill="accent1" w:themeFillTint="33"/>
            <w:vAlign w:val="center"/>
          </w:tcPr>
          <w:p w14:paraId="463471A6" w14:textId="77777777" w:rsidR="009B1341" w:rsidRPr="00714A12" w:rsidRDefault="009B1341" w:rsidP="001458AE">
            <w:pPr>
              <w:spacing w:before="0"/>
              <w:contextualSpacing/>
              <w:jc w:val="center"/>
              <w:rPr>
                <w:rFonts w:asciiTheme="majorHAnsi" w:hAnsiTheme="majorHAnsi" w:cstheme="majorHAnsi"/>
              </w:rPr>
            </w:pPr>
            <w:r>
              <w:rPr>
                <w:rFonts w:asciiTheme="majorHAnsi" w:hAnsiTheme="majorHAnsi" w:cstheme="majorHAnsi"/>
                <w:b/>
                <w:bCs/>
              </w:rPr>
              <w:t xml:space="preserve">Prime HT par personnes </w:t>
            </w:r>
          </w:p>
        </w:tc>
        <w:tc>
          <w:tcPr>
            <w:tcW w:w="1539" w:type="pct"/>
            <w:vAlign w:val="center"/>
          </w:tcPr>
          <w:p w14:paraId="64F8CA70" w14:textId="77777777" w:rsidR="009B1341" w:rsidRPr="00714A12" w:rsidRDefault="009B1341" w:rsidP="001458AE">
            <w:pPr>
              <w:spacing w:before="0"/>
              <w:contextualSpacing/>
              <w:jc w:val="center"/>
              <w:rPr>
                <w:rFonts w:asciiTheme="majorHAnsi" w:hAnsiTheme="majorHAnsi" w:cstheme="majorHAnsi"/>
              </w:rPr>
            </w:pPr>
          </w:p>
        </w:tc>
        <w:tc>
          <w:tcPr>
            <w:tcW w:w="1586" w:type="pct"/>
          </w:tcPr>
          <w:p w14:paraId="377B226C" w14:textId="77777777" w:rsidR="009B1341" w:rsidRPr="00714A12" w:rsidRDefault="009B1341" w:rsidP="001458AE">
            <w:pPr>
              <w:spacing w:before="0"/>
              <w:contextualSpacing/>
              <w:jc w:val="center"/>
              <w:rPr>
                <w:rFonts w:asciiTheme="majorHAnsi" w:hAnsiTheme="majorHAnsi" w:cstheme="majorHAnsi"/>
              </w:rPr>
            </w:pPr>
          </w:p>
        </w:tc>
      </w:tr>
      <w:tr w:rsidR="009B1341" w:rsidRPr="001079F0" w14:paraId="43B691A8" w14:textId="77777777" w:rsidTr="009B1341">
        <w:trPr>
          <w:trHeight w:val="708"/>
        </w:trPr>
        <w:tc>
          <w:tcPr>
            <w:tcW w:w="1875" w:type="pct"/>
            <w:shd w:val="clear" w:color="auto" w:fill="D9E2F3" w:themeFill="accent1" w:themeFillTint="33"/>
            <w:vAlign w:val="center"/>
          </w:tcPr>
          <w:p w14:paraId="1B3AD03F" w14:textId="77777777" w:rsidR="009B1341" w:rsidRPr="00714A12" w:rsidRDefault="009B1341" w:rsidP="001458AE">
            <w:pPr>
              <w:spacing w:before="0"/>
              <w:contextualSpacing/>
              <w:jc w:val="center"/>
              <w:rPr>
                <w:rFonts w:asciiTheme="majorHAnsi" w:hAnsiTheme="majorHAnsi" w:cstheme="majorHAnsi"/>
              </w:rPr>
            </w:pPr>
            <w:r>
              <w:rPr>
                <w:rFonts w:asciiTheme="majorHAnsi" w:hAnsiTheme="majorHAnsi" w:cstheme="majorHAnsi"/>
                <w:b/>
                <w:bCs/>
              </w:rPr>
              <w:t xml:space="preserve">Prime TTC par personnes </w:t>
            </w:r>
          </w:p>
        </w:tc>
        <w:tc>
          <w:tcPr>
            <w:tcW w:w="1539" w:type="pct"/>
            <w:vAlign w:val="center"/>
          </w:tcPr>
          <w:p w14:paraId="3A53CB24" w14:textId="77777777" w:rsidR="009B1341" w:rsidRPr="00714A12" w:rsidRDefault="009B1341" w:rsidP="001458AE">
            <w:pPr>
              <w:spacing w:before="0"/>
              <w:contextualSpacing/>
              <w:jc w:val="center"/>
              <w:rPr>
                <w:rFonts w:asciiTheme="majorHAnsi" w:hAnsiTheme="majorHAnsi" w:cstheme="majorHAnsi"/>
              </w:rPr>
            </w:pPr>
          </w:p>
        </w:tc>
        <w:tc>
          <w:tcPr>
            <w:tcW w:w="1586" w:type="pct"/>
          </w:tcPr>
          <w:p w14:paraId="3BA4FE24" w14:textId="77777777" w:rsidR="009B1341" w:rsidRPr="00714A12" w:rsidRDefault="009B1341" w:rsidP="001458AE">
            <w:pPr>
              <w:spacing w:before="0"/>
              <w:contextualSpacing/>
              <w:jc w:val="center"/>
              <w:rPr>
                <w:rFonts w:asciiTheme="majorHAnsi" w:hAnsiTheme="majorHAnsi" w:cstheme="majorHAnsi"/>
              </w:rPr>
            </w:pPr>
          </w:p>
        </w:tc>
      </w:tr>
      <w:tr w:rsidR="009B1341" w:rsidRPr="001079F0" w14:paraId="59806448" w14:textId="77777777" w:rsidTr="009B1341">
        <w:trPr>
          <w:trHeight w:val="708"/>
        </w:trPr>
        <w:tc>
          <w:tcPr>
            <w:tcW w:w="1875" w:type="pct"/>
            <w:shd w:val="clear" w:color="auto" w:fill="D9E2F3" w:themeFill="accent1" w:themeFillTint="33"/>
            <w:vAlign w:val="center"/>
          </w:tcPr>
          <w:p w14:paraId="4DFEA70F" w14:textId="77777777" w:rsidR="009B1341" w:rsidRDefault="009B1341" w:rsidP="001458AE">
            <w:pPr>
              <w:spacing w:before="0"/>
              <w:contextualSpacing/>
              <w:jc w:val="center"/>
              <w:rPr>
                <w:rFonts w:asciiTheme="majorHAnsi" w:hAnsiTheme="majorHAnsi" w:cstheme="majorHAnsi"/>
                <w:b/>
                <w:bCs/>
              </w:rPr>
            </w:pPr>
            <w:r>
              <w:rPr>
                <w:rFonts w:asciiTheme="majorHAnsi" w:hAnsiTheme="majorHAnsi" w:cstheme="majorHAnsi"/>
                <w:b/>
                <w:bCs/>
              </w:rPr>
              <w:t>Nombre de personne en mission pour l’année 2024</w:t>
            </w:r>
          </w:p>
        </w:tc>
        <w:tc>
          <w:tcPr>
            <w:tcW w:w="1539" w:type="pct"/>
            <w:shd w:val="clear" w:color="auto" w:fill="E7E6E6" w:themeFill="background2"/>
            <w:vAlign w:val="center"/>
          </w:tcPr>
          <w:p w14:paraId="3D5BB9CC" w14:textId="77777777" w:rsidR="009B1341" w:rsidRPr="00714A12" w:rsidRDefault="00BF7EAE" w:rsidP="009B1341">
            <w:pPr>
              <w:spacing w:before="0"/>
              <w:contextualSpacing/>
              <w:jc w:val="center"/>
              <w:rPr>
                <w:rFonts w:asciiTheme="majorHAnsi" w:hAnsiTheme="majorHAnsi" w:cstheme="majorHAnsi"/>
              </w:rPr>
            </w:pPr>
            <w:r>
              <w:rPr>
                <w:rFonts w:asciiTheme="majorHAnsi" w:hAnsiTheme="majorHAnsi" w:cstheme="majorHAnsi"/>
              </w:rPr>
              <w:t xml:space="preserve">3979 missions à l’étranger pour des agents d’INRIA et 210 missions pour des invités en France soit </w:t>
            </w:r>
            <w:r w:rsidRPr="00BF7EAE">
              <w:rPr>
                <w:rFonts w:asciiTheme="majorHAnsi" w:hAnsiTheme="majorHAnsi" w:cstheme="majorHAnsi"/>
                <w:b/>
                <w:bCs/>
                <w:sz w:val="28"/>
                <w:szCs w:val="28"/>
              </w:rPr>
              <w:t>4189</w:t>
            </w:r>
          </w:p>
        </w:tc>
        <w:tc>
          <w:tcPr>
            <w:tcW w:w="1586" w:type="pct"/>
            <w:shd w:val="clear" w:color="auto" w:fill="E7E6E6" w:themeFill="background2"/>
            <w:vAlign w:val="center"/>
          </w:tcPr>
          <w:p w14:paraId="02F3AEAA" w14:textId="77777777" w:rsidR="009B1341" w:rsidRPr="00BF7EAE" w:rsidRDefault="00BF7EAE" w:rsidP="009B1341">
            <w:pPr>
              <w:spacing w:before="0"/>
              <w:contextualSpacing/>
              <w:jc w:val="center"/>
              <w:rPr>
                <w:rFonts w:asciiTheme="majorHAnsi" w:hAnsiTheme="majorHAnsi" w:cstheme="majorHAnsi"/>
                <w:b/>
                <w:bCs/>
              </w:rPr>
            </w:pPr>
            <w:r w:rsidRPr="00BF7EAE">
              <w:rPr>
                <w:rFonts w:asciiTheme="majorHAnsi" w:hAnsiTheme="majorHAnsi" w:cstheme="majorHAnsi"/>
                <w:b/>
                <w:bCs/>
                <w:sz w:val="28"/>
                <w:szCs w:val="28"/>
              </w:rPr>
              <w:t>2</w:t>
            </w:r>
            <w:r>
              <w:rPr>
                <w:rFonts w:asciiTheme="majorHAnsi" w:hAnsiTheme="majorHAnsi" w:cstheme="majorHAnsi"/>
                <w:b/>
                <w:bCs/>
              </w:rPr>
              <w:t xml:space="preserve"> </w:t>
            </w:r>
            <w:r w:rsidRPr="00BF7EAE">
              <w:rPr>
                <w:rFonts w:asciiTheme="majorHAnsi" w:hAnsiTheme="majorHAnsi" w:cstheme="majorHAnsi"/>
              </w:rPr>
              <w:t>missions à l’étranger pour des agents d’INRIA</w:t>
            </w:r>
          </w:p>
        </w:tc>
      </w:tr>
      <w:tr w:rsidR="009B1341" w:rsidRPr="001079F0" w14:paraId="1ACF3A49" w14:textId="77777777" w:rsidTr="009B1341">
        <w:trPr>
          <w:trHeight w:val="708"/>
        </w:trPr>
        <w:tc>
          <w:tcPr>
            <w:tcW w:w="1875" w:type="pct"/>
            <w:shd w:val="clear" w:color="auto" w:fill="D9E2F3" w:themeFill="accent1" w:themeFillTint="33"/>
            <w:vAlign w:val="center"/>
          </w:tcPr>
          <w:p w14:paraId="2D9404A9" w14:textId="77777777" w:rsidR="009B1341" w:rsidRDefault="009B1341" w:rsidP="001458AE">
            <w:pPr>
              <w:spacing w:before="0"/>
              <w:contextualSpacing/>
              <w:jc w:val="center"/>
              <w:rPr>
                <w:rFonts w:asciiTheme="majorHAnsi" w:hAnsiTheme="majorHAnsi" w:cstheme="majorHAnsi"/>
                <w:b/>
                <w:bCs/>
              </w:rPr>
            </w:pPr>
            <w:r>
              <w:rPr>
                <w:rFonts w:asciiTheme="majorHAnsi" w:hAnsiTheme="majorHAnsi" w:cstheme="majorHAnsi"/>
                <w:b/>
                <w:bCs/>
              </w:rPr>
              <w:t>Prime HT provisionnelle</w:t>
            </w:r>
          </w:p>
        </w:tc>
        <w:tc>
          <w:tcPr>
            <w:tcW w:w="1539" w:type="pct"/>
            <w:vAlign w:val="center"/>
          </w:tcPr>
          <w:p w14:paraId="2283A475" w14:textId="77777777" w:rsidR="009B1341" w:rsidRPr="00714A12" w:rsidRDefault="009B1341" w:rsidP="001458AE">
            <w:pPr>
              <w:spacing w:before="0"/>
              <w:contextualSpacing/>
              <w:jc w:val="center"/>
              <w:rPr>
                <w:rFonts w:asciiTheme="majorHAnsi" w:hAnsiTheme="majorHAnsi" w:cstheme="majorHAnsi"/>
              </w:rPr>
            </w:pPr>
          </w:p>
        </w:tc>
        <w:tc>
          <w:tcPr>
            <w:tcW w:w="1586" w:type="pct"/>
          </w:tcPr>
          <w:p w14:paraId="2F48E6E9" w14:textId="77777777" w:rsidR="009B1341" w:rsidRPr="00714A12" w:rsidRDefault="009B1341" w:rsidP="001458AE">
            <w:pPr>
              <w:spacing w:before="0"/>
              <w:contextualSpacing/>
              <w:jc w:val="center"/>
              <w:rPr>
                <w:rFonts w:asciiTheme="majorHAnsi" w:hAnsiTheme="majorHAnsi" w:cstheme="majorHAnsi"/>
              </w:rPr>
            </w:pPr>
          </w:p>
        </w:tc>
      </w:tr>
      <w:tr w:rsidR="009B1341" w:rsidRPr="001079F0" w14:paraId="3E56CDBF" w14:textId="77777777" w:rsidTr="009B1341">
        <w:trPr>
          <w:trHeight w:val="708"/>
        </w:trPr>
        <w:tc>
          <w:tcPr>
            <w:tcW w:w="1875" w:type="pct"/>
            <w:shd w:val="clear" w:color="auto" w:fill="D9E2F3" w:themeFill="accent1" w:themeFillTint="33"/>
            <w:vAlign w:val="center"/>
          </w:tcPr>
          <w:p w14:paraId="1AFBBA7E" w14:textId="77777777" w:rsidR="009B1341" w:rsidRDefault="009B1341" w:rsidP="001458AE">
            <w:pPr>
              <w:spacing w:before="0"/>
              <w:contextualSpacing/>
              <w:jc w:val="center"/>
              <w:rPr>
                <w:rFonts w:asciiTheme="majorHAnsi" w:hAnsiTheme="majorHAnsi" w:cstheme="majorHAnsi"/>
                <w:b/>
                <w:bCs/>
              </w:rPr>
            </w:pPr>
            <w:r>
              <w:rPr>
                <w:rFonts w:asciiTheme="majorHAnsi" w:hAnsiTheme="majorHAnsi" w:cstheme="majorHAnsi"/>
                <w:b/>
                <w:bCs/>
              </w:rPr>
              <w:t>Prime TTC provisionnelle</w:t>
            </w:r>
          </w:p>
        </w:tc>
        <w:tc>
          <w:tcPr>
            <w:tcW w:w="1539" w:type="pct"/>
            <w:vAlign w:val="center"/>
          </w:tcPr>
          <w:p w14:paraId="462E418D" w14:textId="77777777" w:rsidR="009B1341" w:rsidRPr="00714A12" w:rsidRDefault="009B1341" w:rsidP="001458AE">
            <w:pPr>
              <w:spacing w:before="0"/>
              <w:contextualSpacing/>
              <w:jc w:val="center"/>
              <w:rPr>
                <w:rFonts w:asciiTheme="majorHAnsi" w:hAnsiTheme="majorHAnsi" w:cstheme="majorHAnsi"/>
              </w:rPr>
            </w:pPr>
          </w:p>
        </w:tc>
        <w:tc>
          <w:tcPr>
            <w:tcW w:w="1586" w:type="pct"/>
          </w:tcPr>
          <w:p w14:paraId="77958687" w14:textId="77777777" w:rsidR="009B1341" w:rsidRPr="00714A12" w:rsidRDefault="009B1341" w:rsidP="001458AE">
            <w:pPr>
              <w:spacing w:before="0"/>
              <w:contextualSpacing/>
              <w:jc w:val="center"/>
              <w:rPr>
                <w:rFonts w:asciiTheme="majorHAnsi" w:hAnsiTheme="majorHAnsi" w:cstheme="majorHAnsi"/>
              </w:rPr>
            </w:pPr>
          </w:p>
        </w:tc>
      </w:tr>
      <w:tr w:rsidR="009B1341" w:rsidRPr="001079F0" w14:paraId="6C9F076A" w14:textId="77777777" w:rsidTr="009B1341">
        <w:trPr>
          <w:trHeight w:val="708"/>
        </w:trPr>
        <w:tc>
          <w:tcPr>
            <w:tcW w:w="1875" w:type="pct"/>
            <w:shd w:val="clear" w:color="auto" w:fill="D9E2F3" w:themeFill="accent1" w:themeFillTint="33"/>
            <w:vAlign w:val="center"/>
          </w:tcPr>
          <w:p w14:paraId="231FF706" w14:textId="3BBF52DC" w:rsidR="009B1341" w:rsidRDefault="009B1341" w:rsidP="001458AE">
            <w:pPr>
              <w:spacing w:before="0"/>
              <w:contextualSpacing/>
              <w:jc w:val="center"/>
              <w:rPr>
                <w:rFonts w:asciiTheme="majorHAnsi" w:hAnsiTheme="majorHAnsi" w:cstheme="majorHAnsi"/>
                <w:b/>
                <w:bCs/>
              </w:rPr>
            </w:pPr>
            <w:r>
              <w:rPr>
                <w:rFonts w:asciiTheme="majorHAnsi" w:hAnsiTheme="majorHAnsi" w:cstheme="majorHAnsi"/>
                <w:b/>
                <w:bCs/>
              </w:rPr>
              <w:t>Frais divers (quittancement, frais divers, honoraires</w:t>
            </w:r>
            <w:r w:rsidR="00041189">
              <w:rPr>
                <w:rFonts w:asciiTheme="majorHAnsi" w:hAnsiTheme="majorHAnsi" w:cstheme="majorHAnsi"/>
                <w:b/>
                <w:bCs/>
              </w:rPr>
              <w:t>)</w:t>
            </w:r>
          </w:p>
        </w:tc>
        <w:tc>
          <w:tcPr>
            <w:tcW w:w="3125" w:type="pct"/>
            <w:gridSpan w:val="2"/>
            <w:vAlign w:val="center"/>
          </w:tcPr>
          <w:p w14:paraId="1C546478" w14:textId="77777777" w:rsidR="009B1341" w:rsidRPr="00714A12" w:rsidRDefault="009B1341" w:rsidP="001458AE">
            <w:pPr>
              <w:spacing w:before="0"/>
              <w:contextualSpacing/>
              <w:jc w:val="center"/>
              <w:rPr>
                <w:rFonts w:asciiTheme="majorHAnsi" w:hAnsiTheme="majorHAnsi" w:cstheme="majorHAnsi"/>
              </w:rPr>
            </w:pPr>
          </w:p>
        </w:tc>
      </w:tr>
      <w:tr w:rsidR="009B1341" w:rsidRPr="001079F0" w14:paraId="4ECE86B6" w14:textId="77777777" w:rsidTr="009B1341">
        <w:trPr>
          <w:trHeight w:val="708"/>
        </w:trPr>
        <w:tc>
          <w:tcPr>
            <w:tcW w:w="1875" w:type="pct"/>
            <w:shd w:val="clear" w:color="auto" w:fill="D9E2F3" w:themeFill="accent1" w:themeFillTint="33"/>
            <w:vAlign w:val="center"/>
          </w:tcPr>
          <w:p w14:paraId="2BEC53B6" w14:textId="18D7CB23" w:rsidR="009B1341" w:rsidRDefault="009B1341" w:rsidP="001458AE">
            <w:pPr>
              <w:spacing w:before="0"/>
              <w:contextualSpacing/>
              <w:jc w:val="center"/>
              <w:rPr>
                <w:rFonts w:asciiTheme="majorHAnsi" w:hAnsiTheme="majorHAnsi" w:cstheme="majorHAnsi"/>
                <w:b/>
                <w:bCs/>
              </w:rPr>
            </w:pPr>
            <w:r>
              <w:rPr>
                <w:rFonts w:asciiTheme="majorHAnsi" w:hAnsiTheme="majorHAnsi" w:cstheme="majorHAnsi"/>
                <w:b/>
                <w:bCs/>
              </w:rPr>
              <w:t>Prime TTC y compris</w:t>
            </w:r>
            <w:r w:rsidR="00041189">
              <w:rPr>
                <w:rFonts w:asciiTheme="majorHAnsi" w:hAnsiTheme="majorHAnsi" w:cstheme="majorHAnsi"/>
                <w:b/>
                <w:bCs/>
              </w:rPr>
              <w:t xml:space="preserve"> les frais divers</w:t>
            </w:r>
            <w:r>
              <w:rPr>
                <w:rFonts w:asciiTheme="majorHAnsi" w:hAnsiTheme="majorHAnsi" w:cstheme="majorHAnsi"/>
                <w:b/>
                <w:bCs/>
              </w:rPr>
              <w:t xml:space="preserve"> </w:t>
            </w:r>
          </w:p>
        </w:tc>
        <w:tc>
          <w:tcPr>
            <w:tcW w:w="3125" w:type="pct"/>
            <w:gridSpan w:val="2"/>
            <w:vAlign w:val="center"/>
          </w:tcPr>
          <w:p w14:paraId="24543DAB" w14:textId="77777777" w:rsidR="009B1341" w:rsidRPr="00714A12" w:rsidRDefault="009B1341" w:rsidP="001458AE">
            <w:pPr>
              <w:spacing w:before="0"/>
              <w:contextualSpacing/>
              <w:jc w:val="center"/>
              <w:rPr>
                <w:rFonts w:asciiTheme="majorHAnsi" w:hAnsiTheme="majorHAnsi" w:cstheme="majorHAnsi"/>
              </w:rPr>
            </w:pPr>
          </w:p>
        </w:tc>
      </w:tr>
    </w:tbl>
    <w:p w14:paraId="6412D9CB" w14:textId="77777777" w:rsidR="00816C3F" w:rsidRPr="001079F0" w:rsidRDefault="00816C3F" w:rsidP="00816C3F">
      <w:pPr>
        <w:spacing w:before="0" w:after="0" w:line="240" w:lineRule="auto"/>
        <w:contextualSpacing/>
      </w:pPr>
    </w:p>
    <w:p w14:paraId="423A2D3E" w14:textId="77777777" w:rsidR="00221FA5" w:rsidRDefault="00221FA5" w:rsidP="00563054">
      <w:pPr>
        <w:spacing w:before="0" w:after="0" w:line="240" w:lineRule="auto"/>
        <w:contextualSpacing/>
        <w:rPr>
          <w:rFonts w:asciiTheme="minorHAnsi" w:hAnsiTheme="minorHAnsi" w:cstheme="minorHAnsi"/>
        </w:rPr>
      </w:pPr>
    </w:p>
    <w:p w14:paraId="4CE67DF6" w14:textId="77777777" w:rsidR="00EF1023" w:rsidRDefault="00EF1023" w:rsidP="00563054">
      <w:pPr>
        <w:spacing w:before="0" w:after="0" w:line="240" w:lineRule="auto"/>
        <w:contextualSpacing/>
        <w:rPr>
          <w:rFonts w:asciiTheme="minorHAnsi" w:hAnsiTheme="minorHAnsi" w:cstheme="minorHAnsi"/>
        </w:rPr>
      </w:pPr>
    </w:p>
    <w:tbl>
      <w:tblPr>
        <w:tblStyle w:val="Grilledutableau"/>
        <w:tblW w:w="5000" w:type="pct"/>
        <w:tblLook w:val="04A0" w:firstRow="1" w:lastRow="0" w:firstColumn="1" w:lastColumn="0" w:noHBand="0" w:noVBand="1"/>
      </w:tblPr>
      <w:tblGrid>
        <w:gridCol w:w="3610"/>
        <w:gridCol w:w="6018"/>
      </w:tblGrid>
      <w:tr w:rsidR="00EF1023" w:rsidRPr="00714A12" w14:paraId="32A7D80A" w14:textId="77777777" w:rsidTr="00971DC8">
        <w:trPr>
          <w:trHeight w:val="708"/>
        </w:trPr>
        <w:tc>
          <w:tcPr>
            <w:tcW w:w="1875" w:type="pct"/>
            <w:shd w:val="clear" w:color="auto" w:fill="D9E2F3" w:themeFill="accent1" w:themeFillTint="33"/>
            <w:vAlign w:val="center"/>
          </w:tcPr>
          <w:p w14:paraId="417B296C" w14:textId="77777777" w:rsidR="00EF1023" w:rsidRDefault="00EF1023" w:rsidP="00971DC8">
            <w:pPr>
              <w:spacing w:before="0"/>
              <w:contextualSpacing/>
              <w:jc w:val="center"/>
              <w:rPr>
                <w:rFonts w:asciiTheme="majorHAnsi" w:hAnsiTheme="majorHAnsi" w:cstheme="majorHAnsi"/>
                <w:b/>
                <w:bCs/>
              </w:rPr>
            </w:pPr>
            <w:r>
              <w:rPr>
                <w:rFonts w:asciiTheme="majorHAnsi" w:hAnsiTheme="majorHAnsi" w:cstheme="majorHAnsi"/>
                <w:b/>
                <w:bCs/>
              </w:rPr>
              <w:t xml:space="preserve">Prime HT minimum  </w:t>
            </w:r>
          </w:p>
        </w:tc>
        <w:tc>
          <w:tcPr>
            <w:tcW w:w="3125" w:type="pct"/>
            <w:vAlign w:val="center"/>
          </w:tcPr>
          <w:p w14:paraId="2CF0F305" w14:textId="77777777" w:rsidR="00EF1023" w:rsidRPr="00714A12" w:rsidRDefault="00EF1023" w:rsidP="00971DC8">
            <w:pPr>
              <w:spacing w:before="0"/>
              <w:contextualSpacing/>
              <w:jc w:val="center"/>
              <w:rPr>
                <w:rFonts w:asciiTheme="majorHAnsi" w:hAnsiTheme="majorHAnsi" w:cstheme="majorHAnsi"/>
              </w:rPr>
            </w:pPr>
          </w:p>
        </w:tc>
      </w:tr>
      <w:tr w:rsidR="00EF1023" w:rsidRPr="00714A12" w14:paraId="0A27D7B7" w14:textId="77777777" w:rsidTr="00971DC8">
        <w:trPr>
          <w:trHeight w:val="708"/>
        </w:trPr>
        <w:tc>
          <w:tcPr>
            <w:tcW w:w="1875" w:type="pct"/>
            <w:shd w:val="clear" w:color="auto" w:fill="D9E2F3" w:themeFill="accent1" w:themeFillTint="33"/>
            <w:vAlign w:val="center"/>
          </w:tcPr>
          <w:p w14:paraId="6C17CD93" w14:textId="77777777" w:rsidR="00EF1023" w:rsidRDefault="00EF1023" w:rsidP="00EF1023">
            <w:pPr>
              <w:spacing w:before="0"/>
              <w:contextualSpacing/>
              <w:jc w:val="center"/>
              <w:rPr>
                <w:rFonts w:asciiTheme="majorHAnsi" w:hAnsiTheme="majorHAnsi" w:cstheme="majorHAnsi"/>
                <w:b/>
                <w:bCs/>
              </w:rPr>
            </w:pPr>
            <w:r>
              <w:rPr>
                <w:rFonts w:asciiTheme="majorHAnsi" w:hAnsiTheme="majorHAnsi" w:cstheme="majorHAnsi"/>
                <w:b/>
                <w:bCs/>
              </w:rPr>
              <w:t xml:space="preserve">Prime TTC minimum  </w:t>
            </w:r>
          </w:p>
        </w:tc>
        <w:tc>
          <w:tcPr>
            <w:tcW w:w="3125" w:type="pct"/>
            <w:vAlign w:val="center"/>
          </w:tcPr>
          <w:p w14:paraId="6836675A" w14:textId="77777777" w:rsidR="00EF1023" w:rsidRPr="00714A12" w:rsidRDefault="00EF1023" w:rsidP="00EF1023">
            <w:pPr>
              <w:spacing w:before="0"/>
              <w:contextualSpacing/>
              <w:jc w:val="center"/>
              <w:rPr>
                <w:rFonts w:asciiTheme="majorHAnsi" w:hAnsiTheme="majorHAnsi" w:cstheme="majorHAnsi"/>
              </w:rPr>
            </w:pPr>
          </w:p>
        </w:tc>
      </w:tr>
    </w:tbl>
    <w:p w14:paraId="358B5029" w14:textId="77777777" w:rsidR="00EF1023" w:rsidRDefault="00EF1023" w:rsidP="00563054">
      <w:pPr>
        <w:spacing w:before="0" w:after="0" w:line="240" w:lineRule="auto"/>
        <w:contextualSpacing/>
        <w:rPr>
          <w:rFonts w:asciiTheme="minorHAnsi" w:hAnsiTheme="minorHAnsi" w:cstheme="minorHAnsi"/>
        </w:rPr>
      </w:pPr>
    </w:p>
    <w:p w14:paraId="3C8F1614" w14:textId="77777777" w:rsidR="009B1341" w:rsidRDefault="009B1341" w:rsidP="00563054">
      <w:pPr>
        <w:spacing w:before="0" w:after="0" w:line="240" w:lineRule="auto"/>
        <w:contextualSpacing/>
        <w:rPr>
          <w:rFonts w:asciiTheme="minorHAnsi" w:hAnsiTheme="minorHAnsi" w:cstheme="minorHAnsi"/>
        </w:rPr>
      </w:pPr>
      <w:r>
        <w:rPr>
          <w:rFonts w:asciiTheme="minorHAnsi" w:hAnsiTheme="minorHAnsi" w:cstheme="minorHAnsi"/>
        </w:rPr>
        <w:t xml:space="preserve">INRIA se réserve le droit de modifier le volume de mission à déclarer à l’assureur, pendant toute la durée du contrat. </w:t>
      </w:r>
    </w:p>
    <w:p w14:paraId="584EC74B" w14:textId="77777777" w:rsidR="009B1341" w:rsidRDefault="009B1341" w:rsidP="00563054">
      <w:pPr>
        <w:spacing w:before="0" w:after="0" w:line="240" w:lineRule="auto"/>
        <w:contextualSpacing/>
        <w:rPr>
          <w:rFonts w:asciiTheme="minorHAnsi" w:hAnsiTheme="minorHAnsi" w:cstheme="minorHAnsi"/>
        </w:rPr>
      </w:pPr>
    </w:p>
    <w:p w14:paraId="614073C4" w14:textId="38BE04BC" w:rsidR="009B1341" w:rsidRPr="00EF1023" w:rsidRDefault="009B1341" w:rsidP="00563054">
      <w:pPr>
        <w:spacing w:before="0" w:after="0" w:line="240" w:lineRule="auto"/>
        <w:contextualSpacing/>
        <w:rPr>
          <w:rFonts w:asciiTheme="minorHAnsi" w:hAnsiTheme="minorHAnsi" w:cstheme="minorHAnsi"/>
          <w:b/>
          <w:bCs/>
        </w:rPr>
      </w:pPr>
      <w:r w:rsidRPr="00EF1023">
        <w:rPr>
          <w:rFonts w:asciiTheme="minorHAnsi" w:hAnsiTheme="minorHAnsi" w:cstheme="minorHAnsi"/>
          <w:b/>
          <w:bCs/>
        </w:rPr>
        <w:t xml:space="preserve">Il est convenu que la prime TTC est basée sur </w:t>
      </w:r>
      <w:r w:rsidR="0014451E">
        <w:rPr>
          <w:rFonts w:asciiTheme="minorHAnsi" w:hAnsiTheme="minorHAnsi" w:cstheme="minorHAnsi"/>
          <w:b/>
          <w:bCs/>
        </w:rPr>
        <w:t>l</w:t>
      </w:r>
      <w:r w:rsidRPr="00EF1023">
        <w:rPr>
          <w:rFonts w:asciiTheme="minorHAnsi" w:hAnsiTheme="minorHAnsi" w:cstheme="minorHAnsi"/>
          <w:b/>
          <w:bCs/>
        </w:rPr>
        <w:t>es missions 2024. INRIA déclarera le nombre effectif de mission l’année suivante (maximum 2 mois après le 01/01</w:t>
      </w:r>
      <w:r w:rsidR="00BF7EAE" w:rsidRPr="00EF1023">
        <w:rPr>
          <w:rFonts w:asciiTheme="minorHAnsi" w:hAnsiTheme="minorHAnsi" w:cstheme="minorHAnsi"/>
          <w:b/>
          <w:bCs/>
        </w:rPr>
        <w:t>) pour</w:t>
      </w:r>
      <w:r w:rsidRPr="00EF1023">
        <w:rPr>
          <w:rFonts w:asciiTheme="minorHAnsi" w:hAnsiTheme="minorHAnsi" w:cstheme="minorHAnsi"/>
          <w:b/>
          <w:bCs/>
        </w:rPr>
        <w:t xml:space="preserve"> réaliser une régularisation de prime en plus ou en moins.  </w:t>
      </w:r>
    </w:p>
    <w:p w14:paraId="00A61926" w14:textId="77777777" w:rsidR="00EF1023" w:rsidRDefault="00EF1023" w:rsidP="00563054">
      <w:pPr>
        <w:spacing w:before="0" w:after="0" w:line="240" w:lineRule="auto"/>
        <w:contextualSpacing/>
        <w:rPr>
          <w:rFonts w:asciiTheme="minorHAnsi" w:hAnsiTheme="minorHAnsi" w:cstheme="minorHAnsi"/>
        </w:rPr>
      </w:pPr>
    </w:p>
    <w:p w14:paraId="7F1F6C57" w14:textId="77777777" w:rsidR="00EF1023" w:rsidRDefault="00EF1023" w:rsidP="00563054">
      <w:pPr>
        <w:spacing w:before="0" w:after="0" w:line="240" w:lineRule="auto"/>
        <w:contextualSpacing/>
        <w:rPr>
          <w:rFonts w:asciiTheme="minorHAnsi" w:hAnsiTheme="minorHAnsi" w:cstheme="minorHAnsi"/>
        </w:rPr>
      </w:pPr>
    </w:p>
    <w:p w14:paraId="738C45E2" w14:textId="77777777" w:rsidR="009B1341" w:rsidRDefault="009B1341" w:rsidP="00563054">
      <w:pPr>
        <w:spacing w:before="0" w:after="0" w:line="240" w:lineRule="auto"/>
        <w:contextualSpacing/>
        <w:rPr>
          <w:rFonts w:asciiTheme="minorHAnsi" w:hAnsiTheme="minorHAnsi" w:cstheme="minorHAnsi"/>
        </w:rPr>
      </w:pPr>
    </w:p>
    <w:p w14:paraId="6761D347" w14:textId="77777777" w:rsidR="009B1341" w:rsidRDefault="009B1341" w:rsidP="00563054">
      <w:pPr>
        <w:spacing w:before="0" w:after="0" w:line="240" w:lineRule="auto"/>
        <w:contextualSpacing/>
        <w:rPr>
          <w:rFonts w:asciiTheme="minorHAnsi" w:hAnsiTheme="minorHAnsi" w:cstheme="minorHAnsi"/>
        </w:rPr>
      </w:pPr>
    </w:p>
    <w:p w14:paraId="2EF34574" w14:textId="77777777" w:rsidR="009B1341" w:rsidRDefault="009B1341" w:rsidP="00563054">
      <w:pPr>
        <w:spacing w:before="0" w:after="0" w:line="240" w:lineRule="auto"/>
        <w:contextualSpacing/>
        <w:rPr>
          <w:rFonts w:asciiTheme="minorHAnsi" w:hAnsiTheme="minorHAnsi" w:cstheme="minorHAnsi"/>
        </w:rPr>
      </w:pPr>
    </w:p>
    <w:p w14:paraId="45BC33E1" w14:textId="77777777" w:rsidR="009B1341" w:rsidRDefault="009B1341" w:rsidP="00563054">
      <w:pPr>
        <w:spacing w:before="0" w:after="0" w:line="240" w:lineRule="auto"/>
        <w:contextualSpacing/>
        <w:rPr>
          <w:rFonts w:asciiTheme="minorHAnsi" w:hAnsiTheme="minorHAnsi" w:cstheme="minorHAnsi"/>
        </w:rPr>
      </w:pPr>
    </w:p>
    <w:p w14:paraId="601F162E" w14:textId="77777777" w:rsidR="009B1341" w:rsidRDefault="009B1341" w:rsidP="00563054">
      <w:pPr>
        <w:spacing w:before="0" w:after="0" w:line="240" w:lineRule="auto"/>
        <w:contextualSpacing/>
        <w:rPr>
          <w:rFonts w:asciiTheme="minorHAnsi" w:hAnsiTheme="minorHAnsi" w:cstheme="minorHAnsi"/>
        </w:rPr>
      </w:pPr>
    </w:p>
    <w:p w14:paraId="23A2BB94" w14:textId="77777777" w:rsidR="009B1341" w:rsidRDefault="009B1341" w:rsidP="00563054">
      <w:pPr>
        <w:spacing w:before="0" w:after="0" w:line="240" w:lineRule="auto"/>
        <w:contextualSpacing/>
        <w:rPr>
          <w:rFonts w:asciiTheme="minorHAnsi" w:hAnsiTheme="minorHAnsi" w:cstheme="minorHAnsi"/>
        </w:rPr>
      </w:pPr>
    </w:p>
    <w:p w14:paraId="3502E094" w14:textId="77777777" w:rsidR="009B1341" w:rsidRDefault="009B1341"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04FFFFB9" w14:textId="77777777" w:rsidTr="004907AE">
        <w:tc>
          <w:tcPr>
            <w:tcW w:w="9628" w:type="dxa"/>
            <w:shd w:val="clear" w:color="auto" w:fill="FFD966" w:themeFill="accent4" w:themeFillTint="99"/>
          </w:tcPr>
          <w:p w14:paraId="4A6E5000"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2520A9C2" w14:textId="77777777" w:rsidTr="009B1341">
        <w:trPr>
          <w:trHeight w:val="12549"/>
        </w:trPr>
        <w:tc>
          <w:tcPr>
            <w:tcW w:w="9628" w:type="dxa"/>
          </w:tcPr>
          <w:p w14:paraId="6C020903" w14:textId="77777777" w:rsidR="004907AE" w:rsidRPr="001079F0" w:rsidRDefault="004907AE" w:rsidP="00563054">
            <w:pPr>
              <w:spacing w:before="0"/>
              <w:contextualSpacing/>
              <w:jc w:val="left"/>
              <w:rPr>
                <w:rFonts w:asciiTheme="minorHAnsi" w:hAnsiTheme="minorHAnsi" w:cstheme="minorHAnsi"/>
              </w:rPr>
            </w:pPr>
          </w:p>
        </w:tc>
      </w:tr>
    </w:tbl>
    <w:p w14:paraId="711D4014" w14:textId="77777777"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0A303FD9" w14:textId="77777777"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erves éventuelles</w:t>
      </w:r>
    </w:p>
    <w:p w14:paraId="780E0F9E" w14:textId="77777777" w:rsidR="00714A12" w:rsidRPr="00714A12" w:rsidRDefault="00714A12" w:rsidP="00563054">
      <w:pPr>
        <w:spacing w:before="0" w:after="0" w:line="240" w:lineRule="auto"/>
        <w:contextualSpacing/>
      </w:pPr>
    </w:p>
    <w:p w14:paraId="4E7A0B8C"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accepte-t-il les dispositions du cahier des charges de la consultation :</w:t>
      </w:r>
    </w:p>
    <w:p w14:paraId="3B19CA1C" w14:textId="77777777" w:rsidR="00E7593D" w:rsidRDefault="00E7593D" w:rsidP="00E7593D">
      <w:pPr>
        <w:spacing w:before="0" w:after="0" w:line="240" w:lineRule="auto"/>
        <w:contextualSpacing/>
      </w:pPr>
    </w:p>
    <w:p w14:paraId="676B5C40" w14:textId="77777777" w:rsidR="00E7593D" w:rsidRDefault="00041189" w:rsidP="00E7593D">
      <w:pPr>
        <w:spacing w:before="0" w:after="0" w:line="240" w:lineRule="auto"/>
        <w:contextualSpacing/>
        <w:rPr>
          <w:rFonts w:asciiTheme="majorHAnsi" w:hAnsiTheme="majorHAnsi" w:cstheme="majorHAnsi"/>
          <w:b/>
          <w:bCs/>
        </w:rPr>
      </w:pPr>
      <w:sdt>
        <w:sdtPr>
          <w:id w:val="538165247"/>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rPr>
          <w:b/>
          <w:bCs/>
        </w:rPr>
        <w:tab/>
      </w:r>
      <w:r w:rsidR="00E7593D">
        <w:rPr>
          <w:rFonts w:asciiTheme="majorHAnsi" w:hAnsiTheme="majorHAnsi" w:cstheme="majorHAnsi"/>
          <w:b/>
          <w:bCs/>
        </w:rPr>
        <w:t>Oui, sans réserve.</w:t>
      </w:r>
    </w:p>
    <w:p w14:paraId="1CBEF96A" w14:textId="77777777" w:rsidR="00E7593D" w:rsidRDefault="00E7593D" w:rsidP="00E7593D">
      <w:pPr>
        <w:spacing w:before="0" w:after="0" w:line="240" w:lineRule="auto"/>
        <w:contextualSpacing/>
        <w:rPr>
          <w:rFonts w:asciiTheme="minorHAnsi" w:hAnsiTheme="minorHAnsi" w:cstheme="minorHAnsi"/>
        </w:rPr>
      </w:pPr>
    </w:p>
    <w:p w14:paraId="65731C24" w14:textId="77777777" w:rsidR="00E7593D" w:rsidRDefault="00041189" w:rsidP="00E7593D">
      <w:pPr>
        <w:spacing w:before="0" w:after="0" w:line="240" w:lineRule="auto"/>
        <w:contextualSpacing/>
        <w:rPr>
          <w:rFonts w:asciiTheme="majorHAnsi" w:hAnsiTheme="majorHAnsi" w:cstheme="majorHAnsi"/>
        </w:rPr>
      </w:pPr>
      <w:sdt>
        <w:sdtPr>
          <w:rPr>
            <w:rFonts w:asciiTheme="majorHAnsi" w:hAnsiTheme="majorHAnsi" w:cstheme="majorHAnsi"/>
          </w:rPr>
          <w:id w:val="1844503899"/>
          <w14:checkbox>
            <w14:checked w14:val="0"/>
            <w14:checkedState w14:val="2612" w14:font="MS Gothic"/>
            <w14:uncheckedState w14:val="2610" w14:font="MS Gothic"/>
          </w14:checkbox>
        </w:sdtPr>
        <w:sdtEndPr/>
        <w:sdtContent>
          <w:r w:rsidR="00E7593D">
            <w:rPr>
              <w:rFonts w:ascii="Segoe UI Symbol" w:eastAsia="MS Gothic" w:hAnsi="Segoe UI Symbol" w:cs="Segoe UI Symbol"/>
            </w:rPr>
            <w:t>☐</w:t>
          </w:r>
        </w:sdtContent>
      </w:sdt>
      <w:r w:rsidR="00E7593D">
        <w:rPr>
          <w:rFonts w:asciiTheme="majorHAnsi" w:hAnsiTheme="majorHAnsi" w:cstheme="majorHAnsi"/>
        </w:rPr>
        <w:tab/>
      </w:r>
      <w:r w:rsidR="00E7593D">
        <w:rPr>
          <w:rFonts w:asciiTheme="majorHAnsi" w:hAnsiTheme="majorHAnsi" w:cstheme="majorHAnsi"/>
          <w:b/>
          <w:bCs/>
        </w:rPr>
        <w:t>Oui, avec réserves ou précisions ou observations.</w:t>
      </w:r>
      <w:r w:rsidR="00E7593D">
        <w:rPr>
          <w:rFonts w:asciiTheme="majorHAnsi" w:hAnsiTheme="majorHAnsi" w:cstheme="majorHAnsi"/>
        </w:rPr>
        <w:t xml:space="preserve"> </w:t>
      </w:r>
    </w:p>
    <w:p w14:paraId="0C0B799B" w14:textId="77777777" w:rsidR="00E7593D" w:rsidRDefault="00E7593D" w:rsidP="00E7593D">
      <w:pPr>
        <w:spacing w:before="0" w:after="0" w:line="240" w:lineRule="auto"/>
        <w:contextualSpacing/>
      </w:pPr>
      <w:r>
        <w:t>Les réserves / précisions / observations éventuelles doivent faire l’objet, en annexe du présent acte d’engagement, d’une énumération précise et exhaustive, et elles doivent être numérotées.</w:t>
      </w:r>
    </w:p>
    <w:p w14:paraId="2F44F1B2" w14:textId="77777777" w:rsidR="00E7593D" w:rsidRDefault="00E7593D" w:rsidP="00E7593D">
      <w:pPr>
        <w:spacing w:before="0" w:after="0" w:line="240" w:lineRule="auto"/>
        <w:contextualSpacing/>
        <w:rPr>
          <w:rFonts w:asciiTheme="minorHAnsi" w:hAnsiTheme="minorHAnsi" w:cstheme="minorHAnsi"/>
        </w:rPr>
      </w:pPr>
    </w:p>
    <w:p w14:paraId="02F910F6" w14:textId="77777777" w:rsidR="00E7593D" w:rsidRDefault="00041189" w:rsidP="00E7593D">
      <w:pPr>
        <w:spacing w:before="0" w:after="0" w:line="240" w:lineRule="auto"/>
        <w:contextualSpacing/>
        <w:rPr>
          <w:rFonts w:asciiTheme="minorHAnsi" w:hAnsiTheme="minorHAnsi" w:cstheme="minorHAnsi"/>
        </w:rPr>
      </w:pPr>
      <w:sdt>
        <w:sdtPr>
          <w:rPr>
            <w:rFonts w:asciiTheme="minorHAnsi" w:hAnsiTheme="minorHAnsi" w:cstheme="minorHAnsi"/>
          </w:rPr>
          <w:id w:val="-1879077581"/>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r w:rsidR="00E7593D">
        <w:rPr>
          <w:rFonts w:asciiTheme="minorHAnsi" w:hAnsiTheme="minorHAnsi" w:cstheme="minorHAnsi"/>
        </w:rPr>
        <w:t xml:space="preserve"> </w:t>
      </w:r>
    </w:p>
    <w:p w14:paraId="280C51EF" w14:textId="77777777" w:rsidR="00E7593D" w:rsidRDefault="00E7593D" w:rsidP="00E7593D">
      <w:pPr>
        <w:spacing w:before="0" w:after="0" w:line="240" w:lineRule="auto"/>
        <w:contextualSpacing/>
      </w:pPr>
      <w:r>
        <w:t>Dans ce cas, le candidat joint à son offre, l’ensemble des conditions applicables (garanties, capitaux, franchises, exclusions…)</w:t>
      </w:r>
    </w:p>
    <w:p w14:paraId="7BB009E0" w14:textId="77777777" w:rsidR="00E7593D" w:rsidRDefault="00E7593D" w:rsidP="00E7593D">
      <w:pPr>
        <w:spacing w:before="0" w:after="0" w:line="240" w:lineRule="auto"/>
        <w:contextualSpacing/>
      </w:pPr>
    </w:p>
    <w:p w14:paraId="2B77D53B" w14:textId="77777777" w:rsidR="00E7593D" w:rsidRDefault="00E7593D" w:rsidP="00E7593D">
      <w:pPr>
        <w:spacing w:before="0" w:after="0" w:line="240" w:lineRule="auto"/>
        <w:contextualSpacing/>
        <w:rPr>
          <w:rFonts w:asciiTheme="minorHAnsi" w:hAnsiTheme="minorHAnsi" w:cstheme="minorHAnsi"/>
        </w:rPr>
      </w:pPr>
    </w:p>
    <w:p w14:paraId="2F3BFFD7"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Le candidat joint à son offre les conditions générales ou spéciales applicables, et indique leurs références ci-dessous :</w:t>
      </w:r>
    </w:p>
    <w:p w14:paraId="2BD2B8EB" w14:textId="77777777" w:rsidR="00E7593D" w:rsidRDefault="00E7593D" w:rsidP="00E7593D">
      <w:pPr>
        <w:spacing w:before="0" w:after="0" w:line="240" w:lineRule="auto"/>
        <w:contextualSpacing/>
      </w:pPr>
    </w:p>
    <w:p w14:paraId="4E0CD2BB" w14:textId="77777777" w:rsidR="00E7593D" w:rsidRDefault="00E7593D" w:rsidP="00E7593D">
      <w:pPr>
        <w:spacing w:before="0" w:after="0" w:line="240" w:lineRule="auto"/>
        <w:contextualSpacing/>
      </w:pPr>
      <w:r>
        <w:t>Conventions spéciales (CS) : Références : / année :</w:t>
      </w:r>
    </w:p>
    <w:p w14:paraId="5CFD3516" w14:textId="77777777" w:rsidR="00E7593D" w:rsidRDefault="00E7593D" w:rsidP="00E7593D">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E7593D" w14:paraId="54B3FCD3" w14:textId="77777777" w:rsidTr="00E7593D">
        <w:tc>
          <w:tcPr>
            <w:tcW w:w="9628" w:type="dxa"/>
            <w:tcBorders>
              <w:top w:val="single" w:sz="4" w:space="0" w:color="auto"/>
              <w:left w:val="single" w:sz="4" w:space="0" w:color="auto"/>
              <w:bottom w:val="single" w:sz="4" w:space="0" w:color="auto"/>
              <w:right w:val="single" w:sz="4" w:space="0" w:color="auto"/>
            </w:tcBorders>
          </w:tcPr>
          <w:p w14:paraId="78EA6F12" w14:textId="77777777" w:rsidR="00E7593D" w:rsidRDefault="00E7593D">
            <w:pPr>
              <w:spacing w:before="0"/>
              <w:contextualSpacing/>
            </w:pPr>
          </w:p>
        </w:tc>
      </w:tr>
    </w:tbl>
    <w:p w14:paraId="17F70B16" w14:textId="77777777" w:rsidR="00E7593D" w:rsidRDefault="00E7593D" w:rsidP="00E7593D">
      <w:pPr>
        <w:spacing w:before="0" w:after="0" w:line="240" w:lineRule="auto"/>
        <w:contextualSpacing/>
      </w:pPr>
    </w:p>
    <w:p w14:paraId="7B711C10" w14:textId="77777777" w:rsidR="00E7593D" w:rsidRDefault="00E7593D" w:rsidP="00E7593D">
      <w:pPr>
        <w:spacing w:before="0" w:after="0" w:line="240" w:lineRule="auto"/>
        <w:contextualSpacing/>
      </w:pPr>
      <w:r>
        <w:t>Conditions générales (CG) : Références : / année :</w:t>
      </w:r>
    </w:p>
    <w:p w14:paraId="3D4E802F" w14:textId="77777777" w:rsidR="00E7593D" w:rsidRDefault="00E7593D" w:rsidP="00E7593D">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E7593D" w14:paraId="79DA93E7" w14:textId="77777777" w:rsidTr="00E7593D">
        <w:tc>
          <w:tcPr>
            <w:tcW w:w="9628" w:type="dxa"/>
            <w:tcBorders>
              <w:top w:val="single" w:sz="4" w:space="0" w:color="auto"/>
              <w:left w:val="single" w:sz="4" w:space="0" w:color="auto"/>
              <w:bottom w:val="single" w:sz="4" w:space="0" w:color="auto"/>
              <w:right w:val="single" w:sz="4" w:space="0" w:color="auto"/>
            </w:tcBorders>
          </w:tcPr>
          <w:p w14:paraId="079853FC" w14:textId="77777777" w:rsidR="00E7593D" w:rsidRDefault="00E7593D">
            <w:pPr>
              <w:spacing w:before="0"/>
              <w:contextualSpacing/>
            </w:pPr>
          </w:p>
        </w:tc>
      </w:tr>
    </w:tbl>
    <w:p w14:paraId="51690F4F" w14:textId="77777777" w:rsidR="00E7593D" w:rsidRDefault="00E7593D" w:rsidP="00E7593D">
      <w:pPr>
        <w:spacing w:before="0" w:after="0" w:line="240" w:lineRule="auto"/>
        <w:contextualSpacing/>
      </w:pPr>
    </w:p>
    <w:p w14:paraId="467D366C" w14:textId="77777777" w:rsidR="00E7593D" w:rsidRDefault="00E7593D" w:rsidP="00E7593D">
      <w:pPr>
        <w:spacing w:before="0" w:after="0" w:line="240" w:lineRule="auto"/>
        <w:contextualSpacing/>
        <w:rPr>
          <w:rFonts w:asciiTheme="minorHAnsi" w:hAnsiTheme="minorHAnsi" w:cstheme="minorHAnsi"/>
        </w:rPr>
      </w:pPr>
    </w:p>
    <w:p w14:paraId="4C9D9637" w14:textId="77777777" w:rsidR="00E7593D" w:rsidRDefault="00E7593D" w:rsidP="00E7593D">
      <w:pPr>
        <w:spacing w:before="0" w:after="0" w:line="240" w:lineRule="auto"/>
        <w:contextualSpacing/>
        <w:rPr>
          <w:rFonts w:asciiTheme="minorHAnsi" w:hAnsiTheme="minorHAnsi" w:cstheme="minorHAnsi"/>
        </w:rPr>
      </w:pPr>
    </w:p>
    <w:p w14:paraId="549892AC" w14:textId="77777777" w:rsidR="00E7593D" w:rsidRDefault="00E7593D" w:rsidP="00E7593D">
      <w:pPr>
        <w:pStyle w:val="Paragraphedeliste"/>
        <w:numPr>
          <w:ilvl w:val="0"/>
          <w:numId w:val="26"/>
        </w:numPr>
        <w:spacing w:before="0" w:after="0" w:line="240" w:lineRule="auto"/>
        <w:rPr>
          <w:b/>
          <w:bCs/>
          <w:color w:val="4472C4" w:themeColor="accent1"/>
        </w:rPr>
      </w:pPr>
      <w:r>
        <w:rPr>
          <w:b/>
          <w:bCs/>
          <w:color w:val="4472C4" w:themeColor="accent1"/>
        </w:rPr>
        <w:t>A l’exception des réserves, la clause la plus favorable à l’assuré s’applique-t-elle en cas de contradiction entre le CCTP et les CG/CS ? :</w:t>
      </w:r>
    </w:p>
    <w:p w14:paraId="7C3FB064" w14:textId="77777777" w:rsidR="00E7593D" w:rsidRDefault="00E7593D" w:rsidP="00E7593D">
      <w:pPr>
        <w:spacing w:before="0" w:after="0" w:line="240" w:lineRule="auto"/>
        <w:contextualSpacing/>
      </w:pPr>
    </w:p>
    <w:p w14:paraId="325ED95A" w14:textId="77777777" w:rsidR="00E7593D" w:rsidRDefault="00041189" w:rsidP="00E7593D">
      <w:pPr>
        <w:spacing w:before="0" w:after="0" w:line="240" w:lineRule="auto"/>
        <w:contextualSpacing/>
        <w:rPr>
          <w:rFonts w:asciiTheme="minorHAnsi" w:hAnsiTheme="minorHAnsi" w:cstheme="minorHAnsi"/>
        </w:rPr>
      </w:pPr>
      <w:sdt>
        <w:sdtPr>
          <w:id w:val="898552395"/>
          <w14:checkbox>
            <w14:checked w14:val="0"/>
            <w14:checkedState w14:val="2612" w14:font="MS Gothic"/>
            <w14:uncheckedState w14:val="2610" w14:font="MS Gothic"/>
          </w14:checkbox>
        </w:sdtPr>
        <w:sdtEndPr/>
        <w:sdtContent>
          <w:r w:rsidR="00E7593D" w:rsidRPr="00E7593D">
            <w:rPr>
              <w:rFonts w:ascii="MS Gothic" w:eastAsia="MS Gothic" w:hAnsi="MS Gothic" w:hint="eastAsia"/>
            </w:rPr>
            <w:t>☐</w:t>
          </w:r>
        </w:sdtContent>
      </w:sdt>
      <w:r w:rsidR="00E7593D">
        <w:tab/>
      </w:r>
      <w:r w:rsidR="00E7593D">
        <w:rPr>
          <w:b/>
          <w:bCs/>
        </w:rPr>
        <w:t>Oui</w:t>
      </w:r>
    </w:p>
    <w:p w14:paraId="7BC51042" w14:textId="77777777" w:rsidR="00E7593D" w:rsidRDefault="00E7593D" w:rsidP="00E7593D">
      <w:pPr>
        <w:spacing w:before="0" w:after="0" w:line="240" w:lineRule="auto"/>
        <w:contextualSpacing/>
        <w:rPr>
          <w:rFonts w:asciiTheme="minorHAnsi" w:hAnsiTheme="minorHAnsi" w:cstheme="minorHAnsi"/>
        </w:rPr>
      </w:pPr>
    </w:p>
    <w:p w14:paraId="520DA784" w14:textId="77777777" w:rsidR="00E7593D" w:rsidRDefault="00041189" w:rsidP="00E7593D">
      <w:pPr>
        <w:spacing w:before="0" w:after="0" w:line="240" w:lineRule="auto"/>
        <w:contextualSpacing/>
        <w:rPr>
          <w:rFonts w:asciiTheme="majorHAnsi" w:hAnsiTheme="majorHAnsi" w:cstheme="majorHAnsi"/>
        </w:rPr>
      </w:pPr>
      <w:sdt>
        <w:sdtPr>
          <w:rPr>
            <w:rFonts w:asciiTheme="minorHAnsi" w:hAnsiTheme="minorHAnsi" w:cstheme="minorHAnsi"/>
          </w:rPr>
          <w:id w:val="-266457425"/>
          <w14:checkbox>
            <w14:checked w14:val="0"/>
            <w14:checkedState w14:val="2612" w14:font="MS Gothic"/>
            <w14:uncheckedState w14:val="2610" w14:font="MS Gothic"/>
          </w14:checkbox>
        </w:sdtPr>
        <w:sdtEndPr/>
        <w:sdtContent>
          <w:r w:rsidR="00E7593D" w:rsidRPr="00E7593D">
            <w:rPr>
              <w:rFonts w:ascii="MS Gothic" w:eastAsia="MS Gothic" w:hAnsi="MS Gothic" w:cstheme="minorHAnsi" w:hint="eastAsia"/>
            </w:rPr>
            <w:t>☐</w:t>
          </w:r>
        </w:sdtContent>
      </w:sdt>
      <w:r w:rsidR="00E7593D">
        <w:rPr>
          <w:rFonts w:asciiTheme="minorHAnsi" w:hAnsiTheme="minorHAnsi" w:cstheme="minorHAnsi"/>
        </w:rPr>
        <w:tab/>
      </w:r>
      <w:r w:rsidR="00E7593D">
        <w:rPr>
          <w:rFonts w:asciiTheme="majorHAnsi" w:hAnsiTheme="majorHAnsi" w:cstheme="majorHAnsi"/>
          <w:b/>
          <w:bCs/>
        </w:rPr>
        <w:t>Non</w:t>
      </w:r>
    </w:p>
    <w:p w14:paraId="70E05063" w14:textId="77777777" w:rsidR="00E7593D" w:rsidRDefault="00E7593D" w:rsidP="00976366">
      <w:pPr>
        <w:pStyle w:val="Titre2"/>
        <w:spacing w:before="0" w:line="240" w:lineRule="auto"/>
        <w:ind w:left="0"/>
        <w:contextualSpacing/>
        <w:rPr>
          <w:color w:val="auto"/>
          <w:u w:val="single"/>
        </w:rPr>
      </w:pPr>
    </w:p>
    <w:p w14:paraId="6878D335"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4B85FD3B"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E5096AC" w14:textId="77777777"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24B14750" w14:textId="77777777" w:rsidR="00563054" w:rsidRDefault="00563054" w:rsidP="00563054">
      <w:pPr>
        <w:spacing w:before="0" w:after="0" w:line="240" w:lineRule="auto"/>
        <w:contextualSpacing/>
      </w:pPr>
    </w:p>
    <w:p w14:paraId="4009813C" w14:textId="7777777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47AFA4FA" w14:textId="77777777" w:rsidR="00563054" w:rsidRDefault="00563054" w:rsidP="00563054">
      <w:pPr>
        <w:spacing w:before="0" w:after="0" w:line="240" w:lineRule="auto"/>
        <w:contextualSpacing/>
      </w:pPr>
    </w:p>
    <w:p w14:paraId="3858DDEB" w14:textId="77777777" w:rsidR="00221A80" w:rsidRDefault="00221A80" w:rsidP="00563054">
      <w:pPr>
        <w:spacing w:before="0" w:after="0" w:line="240" w:lineRule="auto"/>
        <w:contextualSpacing/>
      </w:pPr>
      <w:bookmarkStart w:id="2"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2"/>
    </w:p>
    <w:p w14:paraId="444644B5"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51FB4476" w14:textId="77777777" w:rsidTr="007956AD">
        <w:trPr>
          <w:trHeight w:val="628"/>
        </w:trPr>
        <w:tc>
          <w:tcPr>
            <w:tcW w:w="4814" w:type="dxa"/>
            <w:shd w:val="clear" w:color="auto" w:fill="DEEAF6" w:themeFill="accent5" w:themeFillTint="33"/>
            <w:vAlign w:val="center"/>
          </w:tcPr>
          <w:p w14:paraId="56C6A068"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1D0488A8" w14:textId="77777777" w:rsidR="006B3E43" w:rsidRPr="001079F0" w:rsidRDefault="006B3E43" w:rsidP="00563054">
            <w:pPr>
              <w:spacing w:before="0"/>
              <w:contextualSpacing/>
              <w:jc w:val="left"/>
            </w:pPr>
          </w:p>
        </w:tc>
      </w:tr>
      <w:tr w:rsidR="001079F0" w:rsidRPr="001079F0" w14:paraId="69C84B30" w14:textId="77777777" w:rsidTr="007956AD">
        <w:trPr>
          <w:trHeight w:val="521"/>
        </w:trPr>
        <w:tc>
          <w:tcPr>
            <w:tcW w:w="4814" w:type="dxa"/>
            <w:shd w:val="clear" w:color="auto" w:fill="DEEAF6" w:themeFill="accent5" w:themeFillTint="33"/>
            <w:vAlign w:val="center"/>
          </w:tcPr>
          <w:p w14:paraId="2F7E3BE2"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18CC1EDA" w14:textId="77777777" w:rsidR="006B3E43" w:rsidRPr="001079F0" w:rsidRDefault="006B3E43" w:rsidP="00563054">
            <w:pPr>
              <w:spacing w:before="0"/>
              <w:contextualSpacing/>
              <w:jc w:val="left"/>
            </w:pPr>
          </w:p>
        </w:tc>
      </w:tr>
      <w:tr w:rsidR="001079F0" w:rsidRPr="001079F0" w14:paraId="2570349A" w14:textId="77777777" w:rsidTr="007956AD">
        <w:trPr>
          <w:trHeight w:val="541"/>
        </w:trPr>
        <w:tc>
          <w:tcPr>
            <w:tcW w:w="4814" w:type="dxa"/>
            <w:shd w:val="clear" w:color="auto" w:fill="DEEAF6" w:themeFill="accent5" w:themeFillTint="33"/>
            <w:vAlign w:val="center"/>
          </w:tcPr>
          <w:p w14:paraId="43F960E8"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51077068" w14:textId="77777777" w:rsidR="006B3E43" w:rsidRPr="001079F0" w:rsidRDefault="006B3E43" w:rsidP="00563054">
            <w:pPr>
              <w:spacing w:before="0"/>
              <w:contextualSpacing/>
              <w:jc w:val="left"/>
            </w:pPr>
          </w:p>
        </w:tc>
      </w:tr>
      <w:tr w:rsidR="001079F0" w:rsidRPr="001079F0" w14:paraId="4996CA7B" w14:textId="77777777" w:rsidTr="007956AD">
        <w:trPr>
          <w:trHeight w:val="1411"/>
        </w:trPr>
        <w:tc>
          <w:tcPr>
            <w:tcW w:w="4814" w:type="dxa"/>
            <w:shd w:val="clear" w:color="auto" w:fill="DEEAF6" w:themeFill="accent5" w:themeFillTint="33"/>
            <w:vAlign w:val="center"/>
          </w:tcPr>
          <w:p w14:paraId="5C9EC439"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51DA9519" w14:textId="77777777" w:rsidR="006B3E43" w:rsidRPr="001079F0" w:rsidRDefault="006B3E43" w:rsidP="00563054">
            <w:pPr>
              <w:spacing w:before="0"/>
              <w:contextualSpacing/>
              <w:jc w:val="left"/>
            </w:pPr>
          </w:p>
        </w:tc>
      </w:tr>
    </w:tbl>
    <w:p w14:paraId="38E2A7D3" w14:textId="77777777" w:rsidR="007D00EC" w:rsidRPr="007D00EC" w:rsidRDefault="00970F33" w:rsidP="00563054">
      <w:pPr>
        <w:spacing w:before="0" w:after="0" w:line="240" w:lineRule="auto"/>
        <w:contextualSpacing/>
      </w:pPr>
      <w:r w:rsidRPr="001079F0">
        <w:tab/>
      </w:r>
      <w:r w:rsidRPr="001079F0">
        <w:tab/>
      </w:r>
      <w:r w:rsidRPr="001079F0">
        <w:tab/>
      </w:r>
      <w:r w:rsidRPr="001079F0">
        <w:tab/>
      </w:r>
    </w:p>
    <w:p w14:paraId="6A4D2D01"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DC47A06"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6589F8EA" w14:textId="77777777" w:rsidR="00970F33" w:rsidRDefault="00970F33" w:rsidP="00563054">
      <w:pPr>
        <w:pStyle w:val="Titre2"/>
        <w:spacing w:before="0" w:line="240" w:lineRule="auto"/>
        <w:ind w:left="0"/>
        <w:contextualSpacing/>
        <w:rPr>
          <w:color w:val="auto"/>
        </w:rPr>
      </w:pPr>
      <w:r w:rsidRPr="001079F0">
        <w:rPr>
          <w:color w:val="auto"/>
        </w:rPr>
        <w:t>(à compléter par l'acheteur public après attribution du marché)</w:t>
      </w:r>
    </w:p>
    <w:p w14:paraId="791F26CF" w14:textId="77777777" w:rsidR="00563054" w:rsidRDefault="00563054" w:rsidP="00563054">
      <w:pPr>
        <w:spacing w:before="0" w:after="0" w:line="240" w:lineRule="auto"/>
        <w:contextualSpacing/>
      </w:pPr>
    </w:p>
    <w:p w14:paraId="3B20D26E" w14:textId="77777777" w:rsidR="00970F33" w:rsidRDefault="00970F33" w:rsidP="00563054">
      <w:pPr>
        <w:spacing w:before="0" w:after="0" w:line="240" w:lineRule="auto"/>
        <w:contextualSpacing/>
      </w:pPr>
      <w:r w:rsidRPr="001079F0">
        <w:t>Est acceptée la présente offre, modifiée par les éventuelles réserves, pour valoir acte d’engagement.</w:t>
      </w:r>
    </w:p>
    <w:p w14:paraId="753589EB"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1402C724"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1F8F2E9" w14:textId="77777777"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668B95E8"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3211D47D"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499E6C18" w14:textId="77777777" w:rsidR="00E7593D" w:rsidRDefault="00041189"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5DA5C183" w14:textId="77777777" w:rsidR="00E7593D" w:rsidRPr="001079F0" w:rsidRDefault="00041189"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FDB4E7" w14:textId="77777777" w:rsidR="00E7593D" w:rsidRPr="001079F0" w:rsidRDefault="00E7593D" w:rsidP="00563054">
            <w:pPr>
              <w:pStyle w:val="Standard"/>
              <w:contextualSpacing/>
              <w:rPr>
                <w:rFonts w:asciiTheme="majorHAnsi" w:hAnsiTheme="majorHAnsi" w:cstheme="majorHAnsi"/>
                <w:sz w:val="22"/>
                <w:szCs w:val="22"/>
              </w:rPr>
            </w:pPr>
          </w:p>
        </w:tc>
      </w:tr>
    </w:tbl>
    <w:p w14:paraId="71119FB1" w14:textId="77777777" w:rsidR="001B4D9E" w:rsidRDefault="001B4D9E" w:rsidP="00563054">
      <w:pPr>
        <w:spacing w:before="0" w:after="0" w:line="240" w:lineRule="auto"/>
        <w:contextualSpacing/>
      </w:pPr>
    </w:p>
    <w:p w14:paraId="4C2832CD"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66385AF" w14:textId="77777777" w:rsidTr="007956AD">
        <w:trPr>
          <w:trHeight w:val="477"/>
        </w:trPr>
        <w:tc>
          <w:tcPr>
            <w:tcW w:w="4814" w:type="dxa"/>
            <w:shd w:val="clear" w:color="auto" w:fill="DEEAF6" w:themeFill="accent5" w:themeFillTint="33"/>
            <w:vAlign w:val="center"/>
          </w:tcPr>
          <w:p w14:paraId="3D31B2B9"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36A22B4A" w14:textId="77777777" w:rsidR="001B4D9E" w:rsidRPr="001079F0" w:rsidRDefault="001B4D9E" w:rsidP="00563054">
            <w:pPr>
              <w:spacing w:before="0"/>
              <w:contextualSpacing/>
              <w:jc w:val="left"/>
            </w:pPr>
          </w:p>
        </w:tc>
      </w:tr>
      <w:tr w:rsidR="001079F0" w:rsidRPr="001079F0" w14:paraId="25F0970B" w14:textId="77777777" w:rsidTr="007956AD">
        <w:trPr>
          <w:trHeight w:val="555"/>
        </w:trPr>
        <w:tc>
          <w:tcPr>
            <w:tcW w:w="4814" w:type="dxa"/>
            <w:shd w:val="clear" w:color="auto" w:fill="DEEAF6" w:themeFill="accent5" w:themeFillTint="33"/>
            <w:vAlign w:val="center"/>
          </w:tcPr>
          <w:p w14:paraId="330C4F36"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A478CC7" w14:textId="77777777" w:rsidR="001B4D9E" w:rsidRPr="001079F0" w:rsidRDefault="001B4D9E" w:rsidP="00563054">
            <w:pPr>
              <w:spacing w:before="0"/>
              <w:contextualSpacing/>
              <w:jc w:val="left"/>
            </w:pPr>
          </w:p>
        </w:tc>
      </w:tr>
      <w:tr w:rsidR="001079F0" w:rsidRPr="001079F0" w14:paraId="371FA066" w14:textId="77777777" w:rsidTr="007956AD">
        <w:trPr>
          <w:trHeight w:val="1253"/>
        </w:trPr>
        <w:tc>
          <w:tcPr>
            <w:tcW w:w="4814" w:type="dxa"/>
            <w:shd w:val="clear" w:color="auto" w:fill="DEEAF6" w:themeFill="accent5" w:themeFillTint="33"/>
            <w:vAlign w:val="center"/>
          </w:tcPr>
          <w:p w14:paraId="19DF5871"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2850998E" w14:textId="77777777" w:rsidR="001B4D9E" w:rsidRPr="001079F0" w:rsidRDefault="001B4D9E" w:rsidP="00563054">
            <w:pPr>
              <w:spacing w:before="0"/>
              <w:contextualSpacing/>
              <w:jc w:val="left"/>
            </w:pPr>
          </w:p>
        </w:tc>
      </w:tr>
    </w:tbl>
    <w:p w14:paraId="53592B4A"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488F" w14:textId="77777777" w:rsidR="000F19A5" w:rsidRDefault="000F19A5" w:rsidP="000F1448">
      <w:r>
        <w:separator/>
      </w:r>
    </w:p>
  </w:endnote>
  <w:endnote w:type="continuationSeparator" w:id="0">
    <w:p w14:paraId="686AF21C"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mbria"/>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98565724"/>
  <w:bookmarkStart w:id="4" w:name="_Hlk198565725"/>
  <w:p w14:paraId="1B77A731" w14:textId="60D0FCB9"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2B440844" wp14:editId="6BFDDFE2">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0582D06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B440844"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" filled="f" stroked="f">
              <v:textbox style="mso-fit-shape-to-text:t" inset="0,0,0,0">
                <w:txbxContent>
                  <w:p w14:paraId="0582D06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w:t>
    </w:r>
    <w:r w:rsidR="0014451E">
      <w:rPr>
        <w:i/>
        <w:iCs/>
        <w:sz w:val="18"/>
        <w:szCs w:val="18"/>
      </w:rPr>
      <w:t>–</w:t>
    </w:r>
    <w:r w:rsidR="006F1B6A">
      <w:rPr>
        <w:i/>
        <w:iCs/>
        <w:sz w:val="18"/>
        <w:szCs w:val="18"/>
      </w:rPr>
      <w:t xml:space="preserve"> </w:t>
    </w:r>
    <w:r w:rsidR="0014451E">
      <w:rPr>
        <w:i/>
        <w:iCs/>
        <w:sz w:val="18"/>
        <w:szCs w:val="18"/>
      </w:rPr>
      <w:t>Marché n°2025-1145 – Assistance et rapatriement pour le personnel d’Inria en France et à l’étranger</w:t>
    </w:r>
  </w:p>
  <w:p w14:paraId="5855BB5F" w14:textId="77777777" w:rsidR="00CC50F8" w:rsidRPr="000F0F43" w:rsidRDefault="000F0F43" w:rsidP="000F0F43">
    <w:pPr>
      <w:jc w:val="left"/>
      <w:rPr>
        <w:sz w:val="18"/>
        <w:szCs w:val="18"/>
      </w:rPr>
    </w:pPr>
    <w:r w:rsidRPr="000F0F43">
      <w:rPr>
        <w:sz w:val="18"/>
        <w:szCs w:val="18"/>
      </w:rPr>
      <w:t>©RISK Partenaires</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D6C" w14:textId="77777777" w:rsidR="000F19A5" w:rsidRDefault="000F19A5" w:rsidP="000F1448">
      <w:r>
        <w:separator/>
      </w:r>
    </w:p>
  </w:footnote>
  <w:footnote w:type="continuationSeparator" w:id="0">
    <w:p w14:paraId="205546F6"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F094" w14:textId="6F2103A3"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770B90D9" wp14:editId="11C0C4A1">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p>
  <w:p w14:paraId="613169CE"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14913202" o:spid="_x0000_i1026" type="#_x0000_t75" style="width:11.25pt;height:7.5pt;visibility:visible;mso-wrap-style:square" o:bullet="t">
        <v:imagedata r:id="rId1" o:title=""/>
      </v:shape>
    </w:pict>
  </w:numPicBullet>
  <w:numPicBullet w:numPicBulletId="1">
    <w:pict>
      <v:shape id="Image 847004299" o:spid="_x0000_i1027" type="#_x0000_t75" style="width:11.25pt;height:11.25pt;visibility:visible;mso-wrap-style:square"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0"/>
    <w:lvlOverride w:ilvl="0">
      <w:startOverride w:val="1"/>
    </w:lvlOverride>
    <w:lvlOverride w:ilvl="1">
      <w:startOverride w:val="1"/>
    </w:lvlOverride>
  </w:num>
  <w:num w:numId="4">
    <w:abstractNumId w:val="10"/>
    <w:lvlOverride w:ilvl="0">
      <w:startOverride w:val="1"/>
    </w:lvlOverride>
    <w:lvlOverride w:ilvl="1">
      <w:startOverride w:val="1"/>
    </w:lvlOverride>
  </w:num>
  <w:num w:numId="5">
    <w:abstractNumId w:val="3"/>
  </w:num>
  <w:num w:numId="6">
    <w:abstractNumId w:val="11"/>
  </w:num>
  <w:num w:numId="7">
    <w:abstractNumId w:val="14"/>
  </w:num>
  <w:num w:numId="8">
    <w:abstractNumId w:val="0"/>
  </w:num>
  <w:num w:numId="9">
    <w:abstractNumId w:val="16"/>
  </w:num>
  <w:num w:numId="10">
    <w:abstractNumId w:val="8"/>
  </w:num>
  <w:num w:numId="11">
    <w:abstractNumId w:val="15"/>
  </w:num>
  <w:num w:numId="12">
    <w:abstractNumId w:val="6"/>
  </w:num>
  <w:num w:numId="13">
    <w:abstractNumId w:val="17"/>
  </w:num>
  <w:num w:numId="14">
    <w:abstractNumId w:val="4"/>
  </w:num>
  <w:num w:numId="15">
    <w:abstractNumId w:val="9"/>
  </w:num>
  <w:num w:numId="16">
    <w:abstractNumId w:val="7"/>
  </w:num>
  <w:num w:numId="17">
    <w:abstractNumId w:val="1"/>
  </w:num>
  <w:num w:numId="18">
    <w:abstractNumId w:val="13"/>
  </w:num>
  <w:num w:numId="19">
    <w:abstractNumId w:val="5"/>
  </w:num>
  <w:num w:numId="20">
    <w:abstractNumId w:val="1"/>
  </w:num>
  <w:num w:numId="21">
    <w:abstractNumId w:val="12"/>
  </w:num>
  <w:num w:numId="22">
    <w:abstractNumId w:val="0"/>
  </w:num>
  <w:num w:numId="23">
    <w:abstractNumId w:val="8"/>
  </w:num>
  <w:num w:numId="24">
    <w:abstractNumId w:val="6"/>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41189"/>
    <w:rsid w:val="00054A4E"/>
    <w:rsid w:val="000C0FAF"/>
    <w:rsid w:val="000D57D0"/>
    <w:rsid w:val="000F0F43"/>
    <w:rsid w:val="000F1448"/>
    <w:rsid w:val="000F19A5"/>
    <w:rsid w:val="0010096F"/>
    <w:rsid w:val="001079F0"/>
    <w:rsid w:val="0014451E"/>
    <w:rsid w:val="00145212"/>
    <w:rsid w:val="00151062"/>
    <w:rsid w:val="00175492"/>
    <w:rsid w:val="001B1002"/>
    <w:rsid w:val="001B4D9E"/>
    <w:rsid w:val="001C50ED"/>
    <w:rsid w:val="00206103"/>
    <w:rsid w:val="00221A80"/>
    <w:rsid w:val="00221FA5"/>
    <w:rsid w:val="002C66FD"/>
    <w:rsid w:val="002D01DF"/>
    <w:rsid w:val="002D5449"/>
    <w:rsid w:val="003045E0"/>
    <w:rsid w:val="003135B1"/>
    <w:rsid w:val="00330DBE"/>
    <w:rsid w:val="00334853"/>
    <w:rsid w:val="00376F76"/>
    <w:rsid w:val="003B41E0"/>
    <w:rsid w:val="003F6066"/>
    <w:rsid w:val="00421474"/>
    <w:rsid w:val="004350D7"/>
    <w:rsid w:val="00454234"/>
    <w:rsid w:val="00462600"/>
    <w:rsid w:val="004907AE"/>
    <w:rsid w:val="004C159F"/>
    <w:rsid w:val="004D5B1B"/>
    <w:rsid w:val="004F3C58"/>
    <w:rsid w:val="00516B41"/>
    <w:rsid w:val="00524D96"/>
    <w:rsid w:val="0053560B"/>
    <w:rsid w:val="005438FE"/>
    <w:rsid w:val="00563054"/>
    <w:rsid w:val="005A0B34"/>
    <w:rsid w:val="005B1512"/>
    <w:rsid w:val="005B4785"/>
    <w:rsid w:val="005D1B51"/>
    <w:rsid w:val="005E2AB8"/>
    <w:rsid w:val="00646791"/>
    <w:rsid w:val="00657117"/>
    <w:rsid w:val="00675B23"/>
    <w:rsid w:val="00676205"/>
    <w:rsid w:val="0069407D"/>
    <w:rsid w:val="006A0CB0"/>
    <w:rsid w:val="006B3E43"/>
    <w:rsid w:val="006F1B6A"/>
    <w:rsid w:val="007127DD"/>
    <w:rsid w:val="00714A12"/>
    <w:rsid w:val="00740056"/>
    <w:rsid w:val="007639BF"/>
    <w:rsid w:val="007956AD"/>
    <w:rsid w:val="007B7AE7"/>
    <w:rsid w:val="007D00EC"/>
    <w:rsid w:val="007D2518"/>
    <w:rsid w:val="007D43F9"/>
    <w:rsid w:val="007E3D28"/>
    <w:rsid w:val="007E55D1"/>
    <w:rsid w:val="007E55F8"/>
    <w:rsid w:val="007F467D"/>
    <w:rsid w:val="00814732"/>
    <w:rsid w:val="00816179"/>
    <w:rsid w:val="00816665"/>
    <w:rsid w:val="00816C3F"/>
    <w:rsid w:val="008272AA"/>
    <w:rsid w:val="00865B5E"/>
    <w:rsid w:val="00897C07"/>
    <w:rsid w:val="008B315B"/>
    <w:rsid w:val="008D1F79"/>
    <w:rsid w:val="008E3BF3"/>
    <w:rsid w:val="00941C97"/>
    <w:rsid w:val="00970F33"/>
    <w:rsid w:val="00976366"/>
    <w:rsid w:val="00976B02"/>
    <w:rsid w:val="009A3B08"/>
    <w:rsid w:val="009B1341"/>
    <w:rsid w:val="009D355F"/>
    <w:rsid w:val="00A05254"/>
    <w:rsid w:val="00A45B97"/>
    <w:rsid w:val="00AA10FD"/>
    <w:rsid w:val="00AA7498"/>
    <w:rsid w:val="00B033A0"/>
    <w:rsid w:val="00B11A02"/>
    <w:rsid w:val="00B166D9"/>
    <w:rsid w:val="00B21857"/>
    <w:rsid w:val="00B9032A"/>
    <w:rsid w:val="00BB3064"/>
    <w:rsid w:val="00BB3C41"/>
    <w:rsid w:val="00BD5E70"/>
    <w:rsid w:val="00BD68E4"/>
    <w:rsid w:val="00BD6AAC"/>
    <w:rsid w:val="00BE2B24"/>
    <w:rsid w:val="00BE62E9"/>
    <w:rsid w:val="00BF7EAE"/>
    <w:rsid w:val="00C344FD"/>
    <w:rsid w:val="00C820C0"/>
    <w:rsid w:val="00CA3B5F"/>
    <w:rsid w:val="00CB7C90"/>
    <w:rsid w:val="00CC50F8"/>
    <w:rsid w:val="00CD4CB3"/>
    <w:rsid w:val="00CE123F"/>
    <w:rsid w:val="00CE591E"/>
    <w:rsid w:val="00D173E1"/>
    <w:rsid w:val="00DE25F6"/>
    <w:rsid w:val="00DE27C2"/>
    <w:rsid w:val="00DE74A0"/>
    <w:rsid w:val="00DF5CBC"/>
    <w:rsid w:val="00E64867"/>
    <w:rsid w:val="00E74A9C"/>
    <w:rsid w:val="00E7593D"/>
    <w:rsid w:val="00EA1678"/>
    <w:rsid w:val="00EB444E"/>
    <w:rsid w:val="00EF1023"/>
    <w:rsid w:val="00FF5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D031"/>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character" w:styleId="Marquedecommentaire">
    <w:name w:val="annotation reference"/>
    <w:basedOn w:val="Policepardfaut"/>
    <w:uiPriority w:val="99"/>
    <w:semiHidden/>
    <w:unhideWhenUsed/>
    <w:rsid w:val="007639BF"/>
    <w:rPr>
      <w:sz w:val="16"/>
      <w:szCs w:val="16"/>
    </w:rPr>
  </w:style>
  <w:style w:type="paragraph" w:styleId="Commentaire">
    <w:name w:val="annotation text"/>
    <w:basedOn w:val="Normal"/>
    <w:link w:val="CommentaireCar"/>
    <w:uiPriority w:val="99"/>
    <w:semiHidden/>
    <w:unhideWhenUsed/>
    <w:rsid w:val="007639BF"/>
    <w:pPr>
      <w:spacing w:line="240" w:lineRule="auto"/>
    </w:pPr>
    <w:rPr>
      <w:sz w:val="20"/>
      <w:szCs w:val="20"/>
    </w:rPr>
  </w:style>
  <w:style w:type="character" w:customStyle="1" w:styleId="CommentaireCar">
    <w:name w:val="Commentaire Car"/>
    <w:basedOn w:val="Policepardfaut"/>
    <w:link w:val="Commentaire"/>
    <w:uiPriority w:val="99"/>
    <w:semiHidden/>
    <w:rsid w:val="007639BF"/>
    <w:rPr>
      <w:rFonts w:ascii="Calibri Light" w:hAnsi="Calibri Light"/>
      <w:sz w:val="20"/>
      <w:szCs w:val="20"/>
    </w:rPr>
  </w:style>
  <w:style w:type="paragraph" w:styleId="Objetducommentaire">
    <w:name w:val="annotation subject"/>
    <w:basedOn w:val="Commentaire"/>
    <w:next w:val="Commentaire"/>
    <w:link w:val="ObjetducommentaireCar"/>
    <w:uiPriority w:val="99"/>
    <w:semiHidden/>
    <w:unhideWhenUsed/>
    <w:rsid w:val="007639BF"/>
    <w:rPr>
      <w:b/>
      <w:bCs/>
    </w:rPr>
  </w:style>
  <w:style w:type="character" w:customStyle="1" w:styleId="ObjetducommentaireCar">
    <w:name w:val="Objet du commentaire Car"/>
    <w:basedOn w:val="CommentaireCar"/>
    <w:link w:val="Objetducommentaire"/>
    <w:uiPriority w:val="99"/>
    <w:semiHidden/>
    <w:rsid w:val="007639BF"/>
    <w:rPr>
      <w:rFonts w:ascii="Calibri Light" w:hAnsi="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1</TotalTime>
  <Pages>8</Pages>
  <Words>970</Words>
  <Characters>5338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Ludivine Chantemargue</cp:lastModifiedBy>
  <cp:revision>3</cp:revision>
  <dcterms:created xsi:type="dcterms:W3CDTF">2025-05-27T07:50:00Z</dcterms:created>
  <dcterms:modified xsi:type="dcterms:W3CDTF">2025-05-27T13:47:00Z</dcterms:modified>
</cp:coreProperties>
</file>