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EADF4" w14:textId="77777777" w:rsidR="008978B3" w:rsidRPr="000952F2" w:rsidRDefault="008B7518" w:rsidP="00DE5B15">
      <w:pPr>
        <w:rPr>
          <w:rFonts w:ascii="Arial" w:hAnsi="Arial" w:cs="Arial"/>
        </w:rPr>
      </w:pPr>
      <w:r w:rsidRPr="000952F2">
        <w:rPr>
          <w:rFonts w:ascii="Arial" w:hAnsi="Arial" w:cs="Arial"/>
          <w:noProof/>
          <w:lang w:eastAsia="fr-FR"/>
        </w:rPr>
        <w:drawing>
          <wp:inline distT="0" distB="0" distL="0" distR="0" wp14:anchorId="52B188BA" wp14:editId="7FD7333D">
            <wp:extent cx="2165350" cy="839431"/>
            <wp:effectExtent l="0" t="0" r="6350" b="0"/>
            <wp:docPr id="1" name="Image 1" descr="cid:image001.jpg@01D6A927.689DA9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image001.jpg@01D6A927.689DA970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350" cy="839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A434F1" w14:textId="77777777" w:rsidR="008B7518" w:rsidRPr="000952F2" w:rsidRDefault="00933DA9" w:rsidP="008B751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jc w:val="center"/>
        <w:rPr>
          <w:rFonts w:ascii="Arial" w:hAnsi="Arial" w:cs="Arial"/>
          <w:b/>
          <w:sz w:val="36"/>
          <w:szCs w:val="28"/>
        </w:rPr>
      </w:pPr>
      <w:r w:rsidRPr="000952F2">
        <w:rPr>
          <w:rFonts w:ascii="Arial" w:eastAsia="Arial" w:hAnsi="Arial" w:cs="Arial"/>
          <w:b/>
          <w:sz w:val="36"/>
          <w:szCs w:val="28"/>
        </w:rPr>
        <w:t>Prestation</w:t>
      </w:r>
      <w:r w:rsidR="008B7518" w:rsidRPr="000952F2">
        <w:rPr>
          <w:rFonts w:ascii="Arial" w:hAnsi="Arial" w:cs="Arial"/>
          <w:b/>
          <w:sz w:val="36"/>
          <w:szCs w:val="28"/>
        </w:rPr>
        <w:t xml:space="preserve"> de collecte, de traitement et de la valorisation des déchets sur le site IGN de Saint-Mandé (94) </w:t>
      </w:r>
    </w:p>
    <w:p w14:paraId="438FF072" w14:textId="77777777" w:rsidR="00495AB4" w:rsidRPr="000952F2" w:rsidRDefault="00495AB4" w:rsidP="00495AB4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16"/>
          <w:lang w:eastAsia="fr-FR"/>
        </w:rPr>
      </w:pPr>
    </w:p>
    <w:tbl>
      <w:tblPr>
        <w:tblStyle w:val="Grilledutableau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212"/>
      </w:tblGrid>
      <w:tr w:rsidR="008978B3" w:rsidRPr="000952F2" w14:paraId="45A6DDAA" w14:textId="77777777" w:rsidTr="00457A55">
        <w:tc>
          <w:tcPr>
            <w:tcW w:w="9212" w:type="dxa"/>
            <w:shd w:val="clear" w:color="auto" w:fill="BFBFBF" w:themeFill="background1" w:themeFillShade="BF"/>
          </w:tcPr>
          <w:p w14:paraId="040818AA" w14:textId="77777777" w:rsidR="008978B3" w:rsidRPr="000952F2" w:rsidRDefault="00053EA5" w:rsidP="00053EA5">
            <w:pPr>
              <w:jc w:val="center"/>
              <w:rPr>
                <w:rFonts w:ascii="Arial" w:eastAsia="Times New Roman" w:hAnsi="Arial" w:cs="Arial"/>
                <w:b/>
                <w:bCs/>
                <w:sz w:val="32"/>
                <w:szCs w:val="40"/>
                <w:lang w:eastAsia="fr-FR"/>
              </w:rPr>
            </w:pPr>
            <w:r w:rsidRPr="000952F2">
              <w:rPr>
                <w:rFonts w:ascii="Arial" w:eastAsia="Times New Roman" w:hAnsi="Arial" w:cs="Arial"/>
                <w:b/>
                <w:bCs/>
                <w:sz w:val="32"/>
                <w:szCs w:val="40"/>
                <w:lang w:eastAsia="fr-FR"/>
              </w:rPr>
              <w:t>CADRE DE REPONSE DU MEMOIRE TECHNIQUE</w:t>
            </w:r>
          </w:p>
        </w:tc>
      </w:tr>
    </w:tbl>
    <w:p w14:paraId="2D92AD88" w14:textId="77777777" w:rsidR="008978B3" w:rsidRPr="000952F2" w:rsidRDefault="008978B3" w:rsidP="00581469">
      <w:pPr>
        <w:spacing w:after="0" w:line="240" w:lineRule="auto"/>
        <w:rPr>
          <w:rFonts w:ascii="Arial" w:eastAsia="Times New Roman" w:hAnsi="Arial" w:cs="Arial"/>
          <w:b/>
          <w:bCs/>
          <w:sz w:val="32"/>
          <w:szCs w:val="40"/>
          <w:lang w:eastAsia="fr-FR"/>
        </w:rPr>
      </w:pPr>
      <w:r w:rsidRPr="000952F2">
        <w:rPr>
          <w:rFonts w:ascii="Arial" w:eastAsia="Times New Roman" w:hAnsi="Arial" w:cs="Arial"/>
          <w:b/>
          <w:bCs/>
          <w:sz w:val="32"/>
          <w:szCs w:val="40"/>
          <w:lang w:eastAsia="fr-FR"/>
        </w:rPr>
        <w:t xml:space="preserve">                              </w:t>
      </w:r>
    </w:p>
    <w:p w14:paraId="6F180E06" w14:textId="77777777" w:rsidR="008B7518" w:rsidRPr="000952F2" w:rsidRDefault="008B7518" w:rsidP="008B7518">
      <w:pPr>
        <w:jc w:val="center"/>
        <w:rPr>
          <w:rFonts w:ascii="Arial" w:hAnsi="Arial" w:cs="Arial"/>
          <w:b/>
          <w:bCs/>
          <w:color w:val="FF0000"/>
          <w:szCs w:val="28"/>
          <w:u w:val="single"/>
        </w:rPr>
      </w:pPr>
      <w:r w:rsidRPr="000952F2">
        <w:rPr>
          <w:rFonts w:ascii="Arial" w:hAnsi="Arial" w:cs="Arial"/>
          <w:b/>
          <w:bCs/>
          <w:color w:val="FF0000"/>
          <w:szCs w:val="28"/>
          <w:u w:val="single"/>
        </w:rPr>
        <w:t>RENSEIGNEMENTS OBLIGATOIRES</w:t>
      </w:r>
    </w:p>
    <w:p w14:paraId="6018D189" w14:textId="77777777" w:rsidR="00CB7DF7" w:rsidRPr="000952F2" w:rsidRDefault="00CB7DF7" w:rsidP="00581469">
      <w:pPr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20"/>
        <w:gridCol w:w="1381"/>
      </w:tblGrid>
      <w:tr w:rsidR="00CB7DF7" w:rsidRPr="000952F2" w14:paraId="712ECFA9" w14:textId="77777777" w:rsidTr="00CF4BF5">
        <w:trPr>
          <w:jc w:val="center"/>
        </w:trPr>
        <w:tc>
          <w:tcPr>
            <w:tcW w:w="8820" w:type="dxa"/>
            <w:shd w:val="clear" w:color="auto" w:fill="D9D9D9"/>
          </w:tcPr>
          <w:p w14:paraId="72E6CDF6" w14:textId="77777777" w:rsidR="00C47844" w:rsidRPr="000952F2" w:rsidRDefault="00C47844" w:rsidP="00F933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BEAED0A" w14:textId="1B784EEE" w:rsidR="00237FCE" w:rsidRPr="000952F2" w:rsidRDefault="00CB7DF7" w:rsidP="00C478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52F2">
              <w:rPr>
                <w:rFonts w:ascii="Arial" w:hAnsi="Arial" w:cs="Arial"/>
                <w:b/>
                <w:sz w:val="20"/>
                <w:szCs w:val="20"/>
              </w:rPr>
              <w:t>Valeur technique/Sous-critères</w:t>
            </w:r>
          </w:p>
        </w:tc>
        <w:tc>
          <w:tcPr>
            <w:tcW w:w="1381" w:type="dxa"/>
            <w:shd w:val="clear" w:color="auto" w:fill="D9D9D9"/>
          </w:tcPr>
          <w:p w14:paraId="0E947A91" w14:textId="262305EF" w:rsidR="00CB7DF7" w:rsidRPr="000952F2" w:rsidRDefault="00CB7DF7" w:rsidP="00F933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52F2">
              <w:rPr>
                <w:rFonts w:ascii="Arial" w:hAnsi="Arial" w:cs="Arial"/>
                <w:b/>
                <w:sz w:val="20"/>
                <w:szCs w:val="20"/>
              </w:rPr>
              <w:t>Réponse du candidat</w:t>
            </w:r>
            <w:r w:rsidR="006A24DD" w:rsidRPr="000952F2">
              <w:rPr>
                <w:rFonts w:ascii="Arial" w:hAnsi="Arial" w:cs="Arial"/>
                <w:b/>
                <w:sz w:val="20"/>
                <w:szCs w:val="20"/>
              </w:rPr>
              <w:t xml:space="preserve"> (pages)</w:t>
            </w:r>
          </w:p>
        </w:tc>
      </w:tr>
      <w:tr w:rsidR="00CB7DF7" w:rsidRPr="000952F2" w14:paraId="1FEB4D55" w14:textId="77777777" w:rsidTr="00CF4BF5">
        <w:trPr>
          <w:jc w:val="center"/>
        </w:trPr>
        <w:tc>
          <w:tcPr>
            <w:tcW w:w="8820" w:type="dxa"/>
            <w:shd w:val="clear" w:color="auto" w:fill="auto"/>
          </w:tcPr>
          <w:p w14:paraId="1F24AEB0" w14:textId="3D81F157" w:rsidR="009B10A0" w:rsidRPr="000952F2" w:rsidRDefault="009B10A0" w:rsidP="009B10A0">
            <w:pPr>
              <w:pStyle w:val="Titre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952F2">
              <w:rPr>
                <w:rStyle w:val="lev"/>
                <w:rFonts w:ascii="Arial" w:hAnsi="Arial" w:cs="Arial"/>
                <w:color w:val="000000" w:themeColor="text1"/>
                <w:sz w:val="20"/>
                <w:szCs w:val="20"/>
              </w:rPr>
              <w:t>1. Organisation Technique des prestations (</w:t>
            </w:r>
            <w:r w:rsidR="008753AB" w:rsidRPr="000952F2">
              <w:rPr>
                <w:rStyle w:val="lev"/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 w:rsidRPr="000952F2">
              <w:rPr>
                <w:rStyle w:val="lev"/>
                <w:rFonts w:ascii="Arial" w:hAnsi="Arial" w:cs="Arial"/>
                <w:color w:val="000000" w:themeColor="text1"/>
                <w:sz w:val="20"/>
                <w:szCs w:val="20"/>
              </w:rPr>
              <w:t xml:space="preserve"> points)</w:t>
            </w:r>
          </w:p>
          <w:p w14:paraId="3E42AE47" w14:textId="77777777" w:rsidR="009B10A0" w:rsidRPr="000952F2" w:rsidRDefault="009B10A0" w:rsidP="00B31756">
            <w:pPr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91A46F8" w14:textId="77777777" w:rsidR="00237FCE" w:rsidRPr="000952F2" w:rsidRDefault="00237FCE" w:rsidP="00B31756">
            <w:pPr>
              <w:pStyle w:val="Titre2"/>
              <w:numPr>
                <w:ilvl w:val="0"/>
                <w:numId w:val="17"/>
              </w:numPr>
              <w:spacing w:before="0" w:after="60" w:line="240" w:lineRule="auto"/>
              <w:ind w:left="567" w:hanging="357"/>
              <w:jc w:val="both"/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u w:val="single"/>
              </w:rPr>
            </w:pPr>
            <w:proofErr w:type="spellStart"/>
            <w:r w:rsidRPr="000952F2">
              <w:rPr>
                <w:rFonts w:ascii="Arial" w:hAnsi="Arial" w:cs="Arial"/>
                <w:bCs w:val="0"/>
                <w:color w:val="000000" w:themeColor="text1"/>
                <w:sz w:val="20"/>
                <w:szCs w:val="20"/>
                <w:u w:val="single"/>
              </w:rPr>
              <w:t>Outils</w:t>
            </w:r>
            <w:proofErr w:type="spellEnd"/>
            <w:r w:rsidRPr="000952F2">
              <w:rPr>
                <w:rFonts w:ascii="Arial" w:hAnsi="Arial" w:cs="Arial"/>
                <w:bCs w:val="0"/>
                <w:color w:val="000000" w:themeColor="text1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0952F2">
              <w:rPr>
                <w:rFonts w:ascii="Arial" w:hAnsi="Arial" w:cs="Arial"/>
                <w:bCs w:val="0"/>
                <w:color w:val="000000" w:themeColor="text1"/>
                <w:sz w:val="20"/>
                <w:szCs w:val="20"/>
                <w:u w:val="single"/>
              </w:rPr>
              <w:t>suivi</w:t>
            </w:r>
            <w:proofErr w:type="spellEnd"/>
            <w:r w:rsidRPr="000952F2">
              <w:rPr>
                <w:rFonts w:ascii="Arial" w:hAnsi="Arial" w:cs="Arial"/>
                <w:bCs w:val="0"/>
                <w:color w:val="000000" w:themeColor="text1"/>
                <w:sz w:val="20"/>
                <w:szCs w:val="20"/>
                <w:u w:val="single"/>
              </w:rPr>
              <w:t xml:space="preserve"> de la </w:t>
            </w:r>
            <w:proofErr w:type="gramStart"/>
            <w:r w:rsidRPr="000952F2">
              <w:rPr>
                <w:rFonts w:ascii="Arial" w:hAnsi="Arial" w:cs="Arial"/>
                <w:bCs w:val="0"/>
                <w:color w:val="000000" w:themeColor="text1"/>
                <w:sz w:val="20"/>
                <w:szCs w:val="20"/>
                <w:u w:val="single"/>
              </w:rPr>
              <w:t>prestation</w:t>
            </w:r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u w:val="single"/>
              </w:rPr>
              <w:t xml:space="preserve"> :</w:t>
            </w:r>
            <w:proofErr w:type="gram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description des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moyens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mis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en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place pour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planifier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suivre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et tracer les interventions (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organisation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des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tournées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outils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de reporting, bordereaux de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suivi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des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déchets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- BSD,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certificats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valorisation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plateforme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suivi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en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ligne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ou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application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dédiée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indicateurs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de performance, etc.).</w:t>
            </w:r>
          </w:p>
          <w:p w14:paraId="002197C7" w14:textId="77777777" w:rsidR="00237FCE" w:rsidRPr="000952F2" w:rsidRDefault="00237FCE" w:rsidP="00B31756">
            <w:pPr>
              <w:pStyle w:val="Titre2"/>
              <w:numPr>
                <w:ilvl w:val="0"/>
                <w:numId w:val="17"/>
              </w:numPr>
              <w:spacing w:before="0" w:after="60" w:line="240" w:lineRule="auto"/>
              <w:ind w:left="567" w:hanging="357"/>
              <w:jc w:val="both"/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u w:val="single"/>
              </w:rPr>
            </w:pPr>
            <w:proofErr w:type="spellStart"/>
            <w:r w:rsidRPr="000952F2">
              <w:rPr>
                <w:rFonts w:ascii="Arial" w:hAnsi="Arial" w:cs="Arial"/>
                <w:bCs w:val="0"/>
                <w:color w:val="000000" w:themeColor="text1"/>
                <w:sz w:val="20"/>
                <w:szCs w:val="20"/>
                <w:u w:val="single"/>
              </w:rPr>
              <w:t>Méthodologie</w:t>
            </w:r>
            <w:proofErr w:type="spellEnd"/>
            <w:r w:rsidRPr="000952F2">
              <w:rPr>
                <w:rFonts w:ascii="Arial" w:hAnsi="Arial" w:cs="Arial"/>
                <w:bCs w:val="0"/>
                <w:color w:val="000000" w:themeColor="text1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0952F2">
              <w:rPr>
                <w:rFonts w:ascii="Arial" w:hAnsi="Arial" w:cs="Arial"/>
                <w:bCs w:val="0"/>
                <w:color w:val="000000" w:themeColor="text1"/>
                <w:sz w:val="20"/>
                <w:szCs w:val="20"/>
                <w:u w:val="single"/>
              </w:rPr>
              <w:t>pesée</w:t>
            </w:r>
            <w:proofErr w:type="spellEnd"/>
            <w:r w:rsidRPr="000952F2">
              <w:rPr>
                <w:rFonts w:ascii="Arial" w:hAnsi="Arial" w:cs="Arial"/>
                <w:bCs w:val="0"/>
                <w:color w:val="000000" w:themeColor="text1"/>
                <w:sz w:val="20"/>
                <w:szCs w:val="20"/>
                <w:u w:val="single"/>
              </w:rPr>
              <w:t xml:space="preserve"> par </w:t>
            </w:r>
            <w:proofErr w:type="gramStart"/>
            <w:r w:rsidRPr="000952F2">
              <w:rPr>
                <w:rFonts w:ascii="Arial" w:hAnsi="Arial" w:cs="Arial"/>
                <w:bCs w:val="0"/>
                <w:color w:val="000000" w:themeColor="text1"/>
                <w:sz w:val="20"/>
                <w:szCs w:val="20"/>
                <w:u w:val="single"/>
              </w:rPr>
              <w:t>borne</w:t>
            </w:r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u w:val="single"/>
              </w:rPr>
              <w:t xml:space="preserve"> :</w:t>
            </w:r>
            <w:proofErr w:type="gram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explication des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moyens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techniques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permettant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connaître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le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poids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collecté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dans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chaque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borne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ou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point de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collecte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système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embarqué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pesée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, tickets de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pesée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relevés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manuels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ou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automatiques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),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fréquence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des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relevés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modalités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de transmission des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données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à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l’acheteur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(tableaux de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suivi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, rapports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périodiques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...).</w:t>
            </w:r>
          </w:p>
          <w:p w14:paraId="23C84E30" w14:textId="04C7E36D" w:rsidR="00237FCE" w:rsidRPr="000952F2" w:rsidRDefault="00237FCE" w:rsidP="00B31756">
            <w:pPr>
              <w:pStyle w:val="Titre2"/>
              <w:numPr>
                <w:ilvl w:val="0"/>
                <w:numId w:val="17"/>
              </w:numPr>
              <w:spacing w:before="0" w:after="60" w:line="240" w:lineRule="auto"/>
              <w:ind w:left="567" w:hanging="357"/>
              <w:jc w:val="both"/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u w:val="single"/>
              </w:rPr>
            </w:pPr>
            <w:proofErr w:type="spellStart"/>
            <w:r w:rsidRPr="000952F2">
              <w:rPr>
                <w:rFonts w:ascii="Arial" w:hAnsi="Arial" w:cs="Arial"/>
                <w:bCs w:val="0"/>
                <w:color w:val="000000" w:themeColor="text1"/>
                <w:sz w:val="20"/>
                <w:szCs w:val="20"/>
                <w:u w:val="single"/>
              </w:rPr>
              <w:t>Délais</w:t>
            </w:r>
            <w:proofErr w:type="spellEnd"/>
            <w:r w:rsidRPr="000952F2">
              <w:rPr>
                <w:rFonts w:ascii="Arial" w:hAnsi="Arial" w:cs="Arial"/>
                <w:bCs w:val="0"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952F2">
              <w:rPr>
                <w:rFonts w:ascii="Arial" w:hAnsi="Arial" w:cs="Arial"/>
                <w:bCs w:val="0"/>
                <w:color w:val="000000" w:themeColor="text1"/>
                <w:sz w:val="20"/>
                <w:szCs w:val="20"/>
                <w:u w:val="single"/>
              </w:rPr>
              <w:t>d’intervention</w:t>
            </w:r>
            <w:proofErr w:type="spellEnd"/>
            <w:r w:rsidRPr="000952F2">
              <w:rPr>
                <w:rFonts w:ascii="Arial" w:hAnsi="Arial" w:cs="Arial"/>
                <w:bCs w:val="0"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proofErr w:type="spellStart"/>
            <w:r w:rsidR="00B31756" w:rsidRPr="000952F2">
              <w:rPr>
                <w:rFonts w:ascii="Arial" w:hAnsi="Arial" w:cs="Arial"/>
                <w:bCs w:val="0"/>
                <w:color w:val="000000" w:themeColor="text1"/>
                <w:sz w:val="20"/>
                <w:szCs w:val="20"/>
                <w:u w:val="single"/>
              </w:rPr>
              <w:t>garantis</w:t>
            </w:r>
            <w:proofErr w:type="spellEnd"/>
            <w:r w:rsidR="00B31756"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u w:val="single"/>
              </w:rPr>
              <w:t>:</w:t>
            </w:r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engagement sur les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délais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d’intervention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en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cas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demande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ponctuelle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émanant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l’acheteur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(</w:t>
            </w:r>
            <w:proofErr w:type="gram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ex. :</w:t>
            </w:r>
            <w:proofErr w:type="gram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débordement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dysfonctionnement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remplacement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contenant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), description des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modalités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réception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des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demandes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(contact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dédié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outil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numérique, hotline),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plages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d’intervention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disponibles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délais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d’intervention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standards et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urgents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(ex. sous 48h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ou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24h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ouvrées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).</w:t>
            </w:r>
          </w:p>
          <w:p w14:paraId="7EA29954" w14:textId="745562A9" w:rsidR="00237FCE" w:rsidRPr="000952F2" w:rsidRDefault="00237FCE" w:rsidP="00237FCE">
            <w:pPr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181CA8E" w14:textId="27D02160" w:rsidR="00CB7DF7" w:rsidRPr="000952F2" w:rsidRDefault="00CB7DF7" w:rsidP="006A24DD">
            <w:pPr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1" w:type="dxa"/>
            <w:shd w:val="clear" w:color="auto" w:fill="auto"/>
          </w:tcPr>
          <w:p w14:paraId="4B448D3D" w14:textId="77777777" w:rsidR="00CB7DF7" w:rsidRPr="000952F2" w:rsidRDefault="00CB7DF7" w:rsidP="00F933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7DF7" w:rsidRPr="000952F2" w14:paraId="1C2FE90F" w14:textId="77777777" w:rsidTr="00CF4BF5">
        <w:trPr>
          <w:jc w:val="center"/>
        </w:trPr>
        <w:tc>
          <w:tcPr>
            <w:tcW w:w="8820" w:type="dxa"/>
            <w:shd w:val="clear" w:color="auto" w:fill="auto"/>
          </w:tcPr>
          <w:p w14:paraId="129DBCAA" w14:textId="76337EE2" w:rsidR="009B10A0" w:rsidRPr="000952F2" w:rsidRDefault="009B10A0" w:rsidP="009B10A0">
            <w:pPr>
              <w:pStyle w:val="Titre4"/>
              <w:rPr>
                <w:rStyle w:val="lev"/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0952F2">
              <w:rPr>
                <w:rStyle w:val="lev"/>
                <w:rFonts w:ascii="Arial" w:hAnsi="Arial" w:cs="Arial"/>
                <w:color w:val="000000" w:themeColor="text1"/>
                <w:sz w:val="20"/>
                <w:szCs w:val="20"/>
              </w:rPr>
              <w:t>2. Moyens humains et matériels mis à disposition (</w:t>
            </w:r>
            <w:r w:rsidR="008753AB" w:rsidRPr="000952F2">
              <w:rPr>
                <w:rStyle w:val="lev"/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 w:rsidRPr="000952F2">
              <w:rPr>
                <w:rStyle w:val="lev"/>
                <w:rFonts w:ascii="Arial" w:hAnsi="Arial" w:cs="Arial"/>
                <w:color w:val="000000" w:themeColor="text1"/>
                <w:sz w:val="20"/>
                <w:szCs w:val="20"/>
              </w:rPr>
              <w:t xml:space="preserve"> points)</w:t>
            </w:r>
          </w:p>
          <w:p w14:paraId="21026623" w14:textId="5373FD6F" w:rsidR="00CB7DF7" w:rsidRPr="000952F2" w:rsidRDefault="00CB7DF7" w:rsidP="006A24DD">
            <w:pPr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52F2">
              <w:rPr>
                <w:rFonts w:ascii="Arial" w:hAnsi="Arial" w:cs="Arial"/>
                <w:sz w:val="20"/>
                <w:szCs w:val="20"/>
              </w:rPr>
              <w:t xml:space="preserve">Le détail des </w:t>
            </w:r>
            <w:r w:rsidRPr="000952F2">
              <w:rPr>
                <w:rFonts w:ascii="Arial" w:hAnsi="Arial" w:cs="Arial"/>
                <w:b/>
                <w:sz w:val="20"/>
                <w:szCs w:val="20"/>
              </w:rPr>
              <w:t>moyens matériels et humains</w:t>
            </w:r>
            <w:r w:rsidRPr="000952F2">
              <w:rPr>
                <w:rFonts w:ascii="Arial" w:hAnsi="Arial" w:cs="Arial"/>
                <w:sz w:val="20"/>
                <w:szCs w:val="20"/>
              </w:rPr>
              <w:t xml:space="preserve"> pour assurer la prestation et son adéquation avec les besoins du </w:t>
            </w:r>
            <w:r w:rsidR="00387997" w:rsidRPr="000952F2">
              <w:rPr>
                <w:rFonts w:ascii="Arial" w:hAnsi="Arial" w:cs="Arial"/>
                <w:sz w:val="20"/>
                <w:szCs w:val="20"/>
              </w:rPr>
              <w:t>service :</w:t>
            </w:r>
          </w:p>
          <w:p w14:paraId="7414FF4A" w14:textId="4CFAC059" w:rsidR="00CB7DF7" w:rsidRPr="000952F2" w:rsidRDefault="00CB7DF7" w:rsidP="00B31756">
            <w:pPr>
              <w:pStyle w:val="Titre2"/>
              <w:numPr>
                <w:ilvl w:val="0"/>
                <w:numId w:val="17"/>
              </w:numPr>
              <w:spacing w:before="0" w:after="60" w:line="240" w:lineRule="auto"/>
              <w:ind w:left="567" w:hanging="357"/>
              <w:jc w:val="both"/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</w:pP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Caractéristiques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des </w:t>
            </w:r>
            <w:proofErr w:type="spellStart"/>
            <w:r w:rsidR="00E0602A"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éléments</w:t>
            </w:r>
            <w:proofErr w:type="spellEnd"/>
            <w:r w:rsidR="00E0602A"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de </w:t>
            </w:r>
            <w:proofErr w:type="spellStart"/>
            <w:r w:rsidR="00E0602A"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collecte</w:t>
            </w:r>
            <w:proofErr w:type="spellEnd"/>
            <w:r w:rsidR="00E0602A"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</w:t>
            </w:r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mis à disposition,</w:t>
            </w:r>
            <w:r w:rsidR="006A24DD"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le </w:t>
            </w:r>
            <w:proofErr w:type="spellStart"/>
            <w:r w:rsidR="006A24DD"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cas</w:t>
            </w:r>
            <w:proofErr w:type="spellEnd"/>
            <w:r w:rsidR="006A24DD"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A24DD"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échéant</w:t>
            </w:r>
            <w:proofErr w:type="spellEnd"/>
          </w:p>
          <w:p w14:paraId="6492AB06" w14:textId="600B9D42" w:rsidR="00CB7DF7" w:rsidRPr="000952F2" w:rsidRDefault="00CB7DF7" w:rsidP="00B31756">
            <w:pPr>
              <w:pStyle w:val="Titre2"/>
              <w:numPr>
                <w:ilvl w:val="0"/>
                <w:numId w:val="17"/>
              </w:numPr>
              <w:spacing w:before="0" w:after="60" w:line="240" w:lineRule="auto"/>
              <w:ind w:left="567" w:hanging="357"/>
              <w:jc w:val="both"/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</w:pP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Dimensionnement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des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effectifs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du service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>d’enlèvement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</w:rPr>
              <w:t xml:space="preserve"> et de transport,</w:t>
            </w:r>
          </w:p>
          <w:p w14:paraId="69B7E9CE" w14:textId="27BF1501" w:rsidR="00CB7DF7" w:rsidRPr="000952F2" w:rsidRDefault="00CB7DF7" w:rsidP="00B31756">
            <w:pPr>
              <w:pStyle w:val="Titre2"/>
              <w:numPr>
                <w:ilvl w:val="0"/>
                <w:numId w:val="17"/>
              </w:numPr>
              <w:spacing w:before="0" w:after="60" w:line="240" w:lineRule="auto"/>
              <w:ind w:left="567" w:hanging="357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381" w:type="dxa"/>
            <w:shd w:val="clear" w:color="auto" w:fill="auto"/>
          </w:tcPr>
          <w:p w14:paraId="4F9181DD" w14:textId="77777777" w:rsidR="00CB7DF7" w:rsidRPr="000952F2" w:rsidRDefault="00CB7DF7" w:rsidP="00F933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7DF7" w:rsidRPr="000952F2" w14:paraId="5848BB3C" w14:textId="77777777" w:rsidTr="00CF4BF5">
        <w:trPr>
          <w:jc w:val="center"/>
        </w:trPr>
        <w:tc>
          <w:tcPr>
            <w:tcW w:w="8820" w:type="dxa"/>
            <w:shd w:val="clear" w:color="auto" w:fill="auto"/>
          </w:tcPr>
          <w:p w14:paraId="6AFE8C3F" w14:textId="063247BD" w:rsidR="009B10A0" w:rsidRPr="000952F2" w:rsidRDefault="009B10A0" w:rsidP="00387997">
            <w:pPr>
              <w:spacing w:after="60" w:line="240" w:lineRule="auto"/>
              <w:jc w:val="both"/>
              <w:rPr>
                <w:rStyle w:val="lev"/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952F2">
              <w:rPr>
                <w:rStyle w:val="lev"/>
                <w:rFonts w:ascii="Arial" w:hAnsi="Arial" w:cs="Arial"/>
                <w:color w:val="000000" w:themeColor="text1"/>
                <w:sz w:val="20"/>
                <w:szCs w:val="20"/>
              </w:rPr>
              <w:t>3. Politique en matière de Qualité et Sécurité (</w:t>
            </w:r>
            <w:r w:rsidR="008753AB" w:rsidRPr="000952F2">
              <w:rPr>
                <w:rStyle w:val="lev"/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 w:rsidRPr="000952F2">
              <w:rPr>
                <w:rStyle w:val="lev"/>
                <w:rFonts w:ascii="Arial" w:hAnsi="Arial" w:cs="Arial"/>
                <w:color w:val="000000" w:themeColor="text1"/>
                <w:sz w:val="20"/>
                <w:szCs w:val="20"/>
              </w:rPr>
              <w:t xml:space="preserve"> points)</w:t>
            </w:r>
          </w:p>
          <w:p w14:paraId="3E922D48" w14:textId="535EB06B" w:rsidR="00CB7DF7" w:rsidRPr="000952F2" w:rsidRDefault="00CB7DF7" w:rsidP="00387997">
            <w:pPr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52F2">
              <w:rPr>
                <w:rFonts w:ascii="Arial" w:hAnsi="Arial" w:cs="Arial"/>
                <w:sz w:val="20"/>
                <w:szCs w:val="20"/>
              </w:rPr>
              <w:t xml:space="preserve">La présentation de la politique de l’entreprise en matière de </w:t>
            </w:r>
            <w:r w:rsidRPr="000952F2">
              <w:rPr>
                <w:rFonts w:ascii="Arial" w:hAnsi="Arial" w:cs="Arial"/>
                <w:b/>
                <w:sz w:val="20"/>
                <w:szCs w:val="20"/>
              </w:rPr>
              <w:t>Qualité et Sécurité</w:t>
            </w:r>
            <w:r w:rsidRPr="000952F2">
              <w:rPr>
                <w:rFonts w:ascii="Arial" w:hAnsi="Arial" w:cs="Arial"/>
                <w:sz w:val="20"/>
                <w:szCs w:val="20"/>
              </w:rPr>
              <w:t xml:space="preserve"> et sa certification éventuelle pour les prestations objet du </w:t>
            </w:r>
            <w:r w:rsidR="00387997" w:rsidRPr="000952F2">
              <w:rPr>
                <w:rFonts w:ascii="Arial" w:hAnsi="Arial" w:cs="Arial"/>
                <w:sz w:val="20"/>
                <w:szCs w:val="20"/>
              </w:rPr>
              <w:t>marché :</w:t>
            </w:r>
          </w:p>
          <w:p w14:paraId="4171C9A0" w14:textId="788765D0" w:rsidR="00AB4977" w:rsidRPr="000952F2" w:rsidRDefault="00AB4977" w:rsidP="00586091">
            <w:pPr>
              <w:pStyle w:val="Titre2"/>
              <w:numPr>
                <w:ilvl w:val="0"/>
                <w:numId w:val="20"/>
              </w:numPr>
              <w:spacing w:before="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u w:val="single"/>
              </w:rPr>
              <w:t xml:space="preserve">Politique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u w:val="single"/>
              </w:rPr>
              <w:t>Qualité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u w:val="single"/>
              </w:rPr>
              <w:t>appliquée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u w:val="single"/>
              </w:rPr>
              <w:t xml:space="preserve"> aux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u w:val="single"/>
              </w:rPr>
              <w:t>prestations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u w:val="single"/>
              </w:rPr>
              <w:t xml:space="preserve"> de gestion des </w:t>
            </w:r>
            <w:proofErr w:type="spellStart"/>
            <w:proofErr w:type="gram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u w:val="single"/>
              </w:rPr>
              <w:t>déchets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u w:val="single"/>
              </w:rPr>
              <w:t xml:space="preserve"> :</w:t>
            </w:r>
            <w:proofErr w:type="gramEnd"/>
            <w:r w:rsidR="00387997"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0952F2">
              <w:rPr>
                <w:rFonts w:ascii="Arial" w:eastAsiaTheme="minorHAnsi" w:hAnsi="Arial" w:cs="Arial"/>
                <w:b w:val="0"/>
                <w:bCs w:val="0"/>
                <w:color w:val="auto"/>
                <w:sz w:val="20"/>
                <w:szCs w:val="20"/>
                <w:lang w:val="fr-FR"/>
              </w:rPr>
              <w:t>Organisation des audits internes ou contrôles terrain périodiques.</w:t>
            </w:r>
          </w:p>
          <w:p w14:paraId="4550DF68" w14:textId="5A6BE8AE" w:rsidR="00AB4977" w:rsidRPr="000952F2" w:rsidRDefault="00AB4977" w:rsidP="00387997">
            <w:pPr>
              <w:pStyle w:val="Titre2"/>
              <w:numPr>
                <w:ilvl w:val="0"/>
                <w:numId w:val="20"/>
              </w:numPr>
              <w:spacing w:before="0" w:after="60" w:line="240" w:lineRule="auto"/>
              <w:jc w:val="both"/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u w:val="single"/>
              </w:rPr>
            </w:pPr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u w:val="single"/>
              </w:rPr>
              <w:t xml:space="preserve">Politique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u w:val="single"/>
              </w:rPr>
              <w:t>Sécurité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u w:val="single"/>
              </w:rPr>
              <w:t xml:space="preserve"> /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u w:val="single"/>
              </w:rPr>
              <w:t>Santé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u w:val="single"/>
              </w:rPr>
              <w:t xml:space="preserve"> au travail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u w:val="single"/>
              </w:rPr>
              <w:t>adaptée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u w:val="single"/>
              </w:rPr>
              <w:t xml:space="preserve"> au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u w:val="single"/>
              </w:rPr>
              <w:t>secteur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proofErr w:type="spellStart"/>
            <w:proofErr w:type="gram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u w:val="single"/>
              </w:rPr>
              <w:t>déchets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="00387997"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u w:val="single"/>
              </w:rPr>
              <w:t>:</w:t>
            </w:r>
            <w:proofErr w:type="gramEnd"/>
          </w:p>
          <w:p w14:paraId="4A978248" w14:textId="77777777" w:rsidR="00AB4977" w:rsidRPr="000952F2" w:rsidRDefault="00AB4977" w:rsidP="00387997">
            <w:pPr>
              <w:pStyle w:val="Paragraphedeliste"/>
              <w:numPr>
                <w:ilvl w:val="0"/>
                <w:numId w:val="24"/>
              </w:num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952F2">
              <w:rPr>
                <w:rFonts w:ascii="Arial" w:hAnsi="Arial" w:cs="Arial"/>
                <w:sz w:val="20"/>
                <w:szCs w:val="20"/>
              </w:rPr>
              <w:t>Formation obligatoire du personnel aux risques liés à la gestion des déchets (produits dangereux, DASRI, manutention, circulation…),</w:t>
            </w:r>
          </w:p>
          <w:p w14:paraId="316DD468" w14:textId="3A93F5F7" w:rsidR="00AB4977" w:rsidRPr="000952F2" w:rsidRDefault="00AB4977" w:rsidP="00387997">
            <w:pPr>
              <w:pStyle w:val="Paragraphedeliste"/>
              <w:numPr>
                <w:ilvl w:val="0"/>
                <w:numId w:val="24"/>
              </w:num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952F2">
              <w:rPr>
                <w:rFonts w:ascii="Arial" w:hAnsi="Arial" w:cs="Arial"/>
                <w:sz w:val="20"/>
                <w:szCs w:val="20"/>
              </w:rPr>
              <w:t xml:space="preserve">Port systématique des </w:t>
            </w:r>
            <w:r w:rsidRPr="000952F2">
              <w:rPr>
                <w:rStyle w:val="lev"/>
                <w:rFonts w:ascii="Arial" w:hAnsi="Arial" w:cs="Arial"/>
                <w:b w:val="0"/>
                <w:bCs w:val="0"/>
                <w:sz w:val="20"/>
                <w:szCs w:val="20"/>
              </w:rPr>
              <w:t>équipements de protection individuelle (EPI)</w:t>
            </w:r>
          </w:p>
          <w:p w14:paraId="5D7A61DC" w14:textId="77777777" w:rsidR="00AB4977" w:rsidRPr="000952F2" w:rsidRDefault="00AB4977" w:rsidP="00387997">
            <w:pPr>
              <w:pStyle w:val="Paragraphedeliste"/>
              <w:numPr>
                <w:ilvl w:val="0"/>
                <w:numId w:val="24"/>
              </w:num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952F2">
              <w:rPr>
                <w:rFonts w:ascii="Arial" w:hAnsi="Arial" w:cs="Arial"/>
                <w:sz w:val="20"/>
                <w:szCs w:val="20"/>
              </w:rPr>
              <w:t>Organisation de la sécurité des agents en intervention : procédures d’alerte, consignes en cas d’accident ou de situation inhabituelle,</w:t>
            </w:r>
          </w:p>
          <w:p w14:paraId="3B092B16" w14:textId="77777777" w:rsidR="00AB4977" w:rsidRPr="000952F2" w:rsidRDefault="00AB4977" w:rsidP="00387997">
            <w:pPr>
              <w:pStyle w:val="Paragraphedeliste"/>
              <w:numPr>
                <w:ilvl w:val="0"/>
                <w:numId w:val="24"/>
              </w:num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0952F2">
              <w:rPr>
                <w:rFonts w:ascii="Arial" w:hAnsi="Arial" w:cs="Arial"/>
                <w:sz w:val="20"/>
                <w:szCs w:val="20"/>
              </w:rPr>
              <w:t xml:space="preserve">Suivi des habilitations (ADR, SST, etc.) et du </w:t>
            </w:r>
            <w:r w:rsidRPr="000952F2">
              <w:rPr>
                <w:rStyle w:val="lev"/>
                <w:rFonts w:ascii="Arial" w:hAnsi="Arial" w:cs="Arial"/>
                <w:b w:val="0"/>
                <w:bCs w:val="0"/>
                <w:sz w:val="20"/>
                <w:szCs w:val="20"/>
              </w:rPr>
              <w:t>Document Unique d'Évaluation des Risques (DUERP)</w:t>
            </w:r>
            <w:r w:rsidRPr="000952F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7A6A3AD" w14:textId="153E1DA7" w:rsidR="00AB4977" w:rsidRPr="000952F2" w:rsidRDefault="00AB4977" w:rsidP="00387997">
            <w:pPr>
              <w:pStyle w:val="Titre2"/>
              <w:numPr>
                <w:ilvl w:val="0"/>
                <w:numId w:val="17"/>
              </w:numPr>
              <w:spacing w:before="0" w:after="60" w:line="240" w:lineRule="auto"/>
              <w:ind w:left="567" w:hanging="357"/>
              <w:jc w:val="both"/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u w:val="single"/>
              </w:rPr>
            </w:pPr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u w:val="single"/>
              </w:rPr>
              <w:lastRenderedPageBreak/>
              <w:t xml:space="preserve">Certifications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u w:val="single"/>
              </w:rPr>
              <w:t>détenues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u w:val="single"/>
              </w:rPr>
              <w:t xml:space="preserve"> (le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u w:val="single"/>
              </w:rPr>
              <w:t>cas</w:t>
            </w:r>
            <w:proofErr w:type="spellEnd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u w:val="single"/>
              </w:rPr>
              <w:t>échéant</w:t>
            </w:r>
            <w:proofErr w:type="spellEnd"/>
            <w:proofErr w:type="gramStart"/>
            <w:r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u w:val="single"/>
              </w:rPr>
              <w:t>) :</w:t>
            </w:r>
            <w:proofErr w:type="gramEnd"/>
            <w:r w:rsidR="00D75B58" w:rsidRPr="000952F2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0952F2">
              <w:rPr>
                <w:rFonts w:ascii="Arial" w:eastAsiaTheme="minorHAnsi" w:hAnsi="Arial" w:cs="Arial"/>
                <w:b w:val="0"/>
                <w:bCs w:val="0"/>
                <w:color w:val="auto"/>
                <w:sz w:val="20"/>
                <w:szCs w:val="20"/>
                <w:lang w:val="fr-FR"/>
              </w:rPr>
              <w:t>Les justificatifs peuvent être joints en annexe : certificats valides, extraits de manuel qualité, plan de prévention, plan de formation du personnel.</w:t>
            </w:r>
          </w:p>
          <w:p w14:paraId="750C9BE5" w14:textId="4EDE3B35" w:rsidR="00AB4977" w:rsidRPr="000952F2" w:rsidRDefault="00AB4977" w:rsidP="00387997">
            <w:pPr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1" w:type="dxa"/>
            <w:shd w:val="clear" w:color="auto" w:fill="auto"/>
          </w:tcPr>
          <w:p w14:paraId="7FC589E9" w14:textId="77777777" w:rsidR="00CB7DF7" w:rsidRPr="000952F2" w:rsidRDefault="00CB7DF7" w:rsidP="00387997">
            <w:pPr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268A" w:rsidRPr="000952F2" w14:paraId="2C0EECB5" w14:textId="77777777" w:rsidTr="00CF4BF5">
        <w:trPr>
          <w:jc w:val="center"/>
        </w:trPr>
        <w:tc>
          <w:tcPr>
            <w:tcW w:w="8820" w:type="dxa"/>
            <w:shd w:val="clear" w:color="auto" w:fill="auto"/>
          </w:tcPr>
          <w:p w14:paraId="7BA020A3" w14:textId="2212D804" w:rsidR="0054268A" w:rsidRPr="000952F2" w:rsidRDefault="0054268A" w:rsidP="00387997">
            <w:pPr>
              <w:spacing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52F2">
              <w:rPr>
                <w:rFonts w:ascii="Arial" w:hAnsi="Arial" w:cs="Arial"/>
                <w:b/>
                <w:sz w:val="20"/>
                <w:szCs w:val="20"/>
              </w:rPr>
              <w:t>PERFORMANCE ENVIRONNEMENTALE</w:t>
            </w:r>
            <w:r w:rsidR="00387997" w:rsidRPr="000952F2">
              <w:rPr>
                <w:rFonts w:ascii="Arial" w:hAnsi="Arial" w:cs="Arial"/>
                <w:b/>
                <w:sz w:val="20"/>
                <w:szCs w:val="20"/>
              </w:rPr>
              <w:t xml:space="preserve"> 15 points</w:t>
            </w:r>
          </w:p>
        </w:tc>
        <w:tc>
          <w:tcPr>
            <w:tcW w:w="1381" w:type="dxa"/>
            <w:shd w:val="clear" w:color="auto" w:fill="auto"/>
          </w:tcPr>
          <w:p w14:paraId="4910FEE1" w14:textId="49FD525A" w:rsidR="0054268A" w:rsidRPr="000952F2" w:rsidRDefault="0054268A" w:rsidP="00387997">
            <w:pPr>
              <w:spacing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F4BF5" w:rsidRPr="000952F2" w14:paraId="0DD5BBEF" w14:textId="77777777" w:rsidTr="00CF4BF5">
        <w:trPr>
          <w:jc w:val="center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F5807" w14:textId="29184DFF" w:rsidR="00CF4BF5" w:rsidRPr="000952F2" w:rsidRDefault="00CF4BF5" w:rsidP="00387997">
            <w:pPr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52F2">
              <w:rPr>
                <w:rFonts w:ascii="Arial" w:hAnsi="Arial" w:cs="Arial"/>
                <w:sz w:val="20"/>
                <w:szCs w:val="20"/>
              </w:rPr>
              <w:t xml:space="preserve">Les éléments permettant d’apprécier la </w:t>
            </w:r>
            <w:r w:rsidRPr="000952F2">
              <w:rPr>
                <w:rFonts w:ascii="Arial" w:hAnsi="Arial" w:cs="Arial"/>
                <w:b/>
                <w:bCs/>
                <w:sz w:val="20"/>
                <w:szCs w:val="20"/>
              </w:rPr>
              <w:t>performance environnementale</w:t>
            </w:r>
            <w:r w:rsidRPr="000952F2">
              <w:rPr>
                <w:rFonts w:ascii="Arial" w:hAnsi="Arial" w:cs="Arial"/>
                <w:sz w:val="20"/>
                <w:szCs w:val="20"/>
              </w:rPr>
              <w:t xml:space="preserve"> de l’offre, </w:t>
            </w:r>
            <w:r w:rsidR="00387997" w:rsidRPr="000952F2">
              <w:rPr>
                <w:rFonts w:ascii="Arial" w:hAnsi="Arial" w:cs="Arial"/>
                <w:sz w:val="20"/>
                <w:szCs w:val="20"/>
              </w:rPr>
              <w:t>dont (</w:t>
            </w:r>
            <w:r w:rsidRPr="000952F2">
              <w:rPr>
                <w:rFonts w:ascii="Arial" w:hAnsi="Arial" w:cs="Arial"/>
                <w:sz w:val="20"/>
                <w:szCs w:val="20"/>
              </w:rPr>
              <w:t>non exhaustif) :</w:t>
            </w:r>
          </w:p>
          <w:p w14:paraId="5CA0CE32" w14:textId="77777777" w:rsidR="00CF4BF5" w:rsidRPr="000952F2" w:rsidRDefault="00CF4BF5" w:rsidP="00387997">
            <w:pPr>
              <w:pStyle w:val="Titre2"/>
              <w:numPr>
                <w:ilvl w:val="0"/>
                <w:numId w:val="17"/>
              </w:numPr>
              <w:spacing w:before="0" w:after="60" w:line="240" w:lineRule="auto"/>
              <w:ind w:left="567" w:hanging="357"/>
              <w:jc w:val="both"/>
              <w:rPr>
                <w:rFonts w:ascii="Arial" w:eastAsiaTheme="minorHAnsi" w:hAnsi="Arial" w:cs="Arial"/>
                <w:b w:val="0"/>
                <w:bCs w:val="0"/>
                <w:color w:val="auto"/>
                <w:sz w:val="20"/>
                <w:szCs w:val="20"/>
                <w:lang w:val="fr-FR"/>
              </w:rPr>
            </w:pPr>
            <w:r w:rsidRPr="000952F2">
              <w:rPr>
                <w:rFonts w:ascii="Arial" w:eastAsiaTheme="minorHAnsi" w:hAnsi="Arial" w:cs="Arial"/>
                <w:b w:val="0"/>
                <w:bCs w:val="0"/>
                <w:color w:val="auto"/>
                <w:sz w:val="20"/>
                <w:szCs w:val="20"/>
                <w:lang w:val="fr-FR"/>
              </w:rPr>
              <w:t>Organisation logistique à faible impact : Décrivez votre plan de collecte, le type de véhicules utilisés, la fréquence des rotations, les circuits optimisés, et les mesures mises en œuvre pour limiter les émissions (ex : norme ISO 14083, suivi GES, carburants alternatifs, etc.).</w:t>
            </w:r>
          </w:p>
          <w:p w14:paraId="20134336" w14:textId="61FD6149" w:rsidR="00CF4BF5" w:rsidRPr="000952F2" w:rsidRDefault="00CF4BF5" w:rsidP="00387997">
            <w:pPr>
              <w:pStyle w:val="Titre2"/>
              <w:numPr>
                <w:ilvl w:val="0"/>
                <w:numId w:val="17"/>
              </w:numPr>
              <w:spacing w:before="0" w:after="60" w:line="240" w:lineRule="auto"/>
              <w:ind w:left="567" w:hanging="357"/>
              <w:jc w:val="both"/>
              <w:rPr>
                <w:rFonts w:ascii="Arial" w:eastAsiaTheme="minorHAnsi" w:hAnsi="Arial" w:cs="Arial"/>
                <w:b w:val="0"/>
                <w:bCs w:val="0"/>
                <w:color w:val="auto"/>
                <w:sz w:val="20"/>
                <w:szCs w:val="20"/>
                <w:lang w:val="fr-FR"/>
              </w:rPr>
            </w:pPr>
            <w:r w:rsidRPr="000952F2">
              <w:rPr>
                <w:rFonts w:ascii="Arial" w:eastAsiaTheme="minorHAnsi" w:hAnsi="Arial" w:cs="Arial"/>
                <w:b w:val="0"/>
                <w:bCs w:val="0"/>
                <w:color w:val="auto"/>
                <w:sz w:val="20"/>
                <w:szCs w:val="20"/>
                <w:lang w:val="fr-FR"/>
              </w:rPr>
              <w:t xml:space="preserve">Performance de tri et taux de </w:t>
            </w:r>
            <w:r w:rsidR="00387997" w:rsidRPr="000952F2">
              <w:rPr>
                <w:rFonts w:ascii="Arial" w:eastAsiaTheme="minorHAnsi" w:hAnsi="Arial" w:cs="Arial"/>
                <w:b w:val="0"/>
                <w:bCs w:val="0"/>
                <w:color w:val="auto"/>
                <w:sz w:val="20"/>
                <w:szCs w:val="20"/>
                <w:lang w:val="fr-FR"/>
              </w:rPr>
              <w:t>valorisation :</w:t>
            </w:r>
            <w:r w:rsidRPr="000952F2">
              <w:rPr>
                <w:rFonts w:ascii="Arial" w:eastAsiaTheme="minorHAnsi" w:hAnsi="Arial" w:cs="Arial"/>
                <w:b w:val="0"/>
                <w:bCs w:val="0"/>
                <w:color w:val="auto"/>
                <w:sz w:val="20"/>
                <w:szCs w:val="20"/>
                <w:lang w:val="fr-FR"/>
              </w:rPr>
              <w:t xml:space="preserve"> Indiquez les taux de valorisation garantis pour chaque type de déchet, les filières utilisées et les moyens mis en œuvre pour assurer un tri efficace (ex : séparateurs, personnel formé, centres agréés, etc.).</w:t>
            </w:r>
          </w:p>
          <w:p w14:paraId="6D7077B7" w14:textId="77777777" w:rsidR="00CF4BF5" w:rsidRPr="000952F2" w:rsidRDefault="00CF4BF5" w:rsidP="00387997">
            <w:pPr>
              <w:pStyle w:val="Paragraphedeliste"/>
              <w:numPr>
                <w:ilvl w:val="0"/>
                <w:numId w:val="17"/>
              </w:numPr>
              <w:spacing w:after="60" w:line="240" w:lineRule="auto"/>
              <w:ind w:left="56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52F2">
              <w:rPr>
                <w:rFonts w:ascii="Arial" w:hAnsi="Arial" w:cs="Arial"/>
                <w:sz w:val="20"/>
                <w:szCs w:val="20"/>
              </w:rPr>
              <w:t>Économie circulaire et revente des déchets : Expliquez vos engagements sur la revente des matières valorisables, les conditions de reversement à l’IGN…</w:t>
            </w:r>
          </w:p>
          <w:p w14:paraId="0EAD9302" w14:textId="3D0F6353" w:rsidR="00CF4BF5" w:rsidRPr="000952F2" w:rsidRDefault="00CF4BF5" w:rsidP="00387997">
            <w:pPr>
              <w:pStyle w:val="Titre2"/>
              <w:numPr>
                <w:ilvl w:val="0"/>
                <w:numId w:val="17"/>
              </w:numPr>
              <w:spacing w:before="0" w:after="60" w:line="240" w:lineRule="auto"/>
              <w:ind w:left="567" w:hanging="357"/>
              <w:jc w:val="both"/>
              <w:rPr>
                <w:rFonts w:ascii="Arial" w:eastAsiaTheme="minorHAnsi" w:hAnsi="Arial" w:cs="Arial"/>
                <w:b w:val="0"/>
                <w:bCs w:val="0"/>
                <w:color w:val="auto"/>
                <w:sz w:val="20"/>
                <w:szCs w:val="20"/>
                <w:lang w:val="fr-FR"/>
              </w:rPr>
            </w:pPr>
            <w:r w:rsidRPr="000952F2">
              <w:rPr>
                <w:rFonts w:ascii="Arial" w:eastAsiaTheme="minorHAnsi" w:hAnsi="Arial" w:cs="Arial"/>
                <w:b w:val="0"/>
                <w:bCs w:val="0"/>
                <w:color w:val="auto"/>
                <w:sz w:val="20"/>
                <w:szCs w:val="20"/>
                <w:lang w:val="fr-FR"/>
              </w:rPr>
              <w:t>Certifications environnementales</w:t>
            </w:r>
            <w:r w:rsidR="00387997" w:rsidRPr="000952F2">
              <w:rPr>
                <w:rFonts w:ascii="Arial" w:eastAsiaTheme="minorHAnsi" w:hAnsi="Arial" w:cs="Arial"/>
                <w:b w:val="0"/>
                <w:bCs w:val="0"/>
                <w:color w:val="auto"/>
                <w:sz w:val="20"/>
                <w:szCs w:val="20"/>
                <w:lang w:val="fr-FR"/>
              </w:rPr>
              <w:t xml:space="preserve"> : Indiquez</w:t>
            </w:r>
            <w:r w:rsidRPr="000952F2">
              <w:rPr>
                <w:rFonts w:ascii="Arial" w:eastAsiaTheme="minorHAnsi" w:hAnsi="Arial" w:cs="Arial"/>
                <w:b w:val="0"/>
                <w:bCs w:val="0"/>
                <w:color w:val="auto"/>
                <w:sz w:val="20"/>
                <w:szCs w:val="20"/>
                <w:lang w:val="fr-FR"/>
              </w:rPr>
              <w:t xml:space="preserve"> toutes les certifications détenues (ex : ISO 14001, </w:t>
            </w:r>
            <w:proofErr w:type="spellStart"/>
            <w:r w:rsidRPr="000952F2">
              <w:rPr>
                <w:rFonts w:ascii="Arial" w:eastAsiaTheme="minorHAnsi" w:hAnsi="Arial" w:cs="Arial"/>
                <w:b w:val="0"/>
                <w:bCs w:val="0"/>
                <w:color w:val="auto"/>
                <w:sz w:val="20"/>
                <w:szCs w:val="20"/>
                <w:lang w:val="fr-FR"/>
              </w:rPr>
              <w:t>Imprim’Vert</w:t>
            </w:r>
            <w:proofErr w:type="spellEnd"/>
            <w:r w:rsidRPr="000952F2">
              <w:rPr>
                <w:rFonts w:ascii="Arial" w:eastAsiaTheme="minorHAnsi" w:hAnsi="Arial" w:cs="Arial"/>
                <w:b w:val="0"/>
                <w:bCs w:val="0"/>
                <w:color w:val="auto"/>
                <w:sz w:val="20"/>
                <w:szCs w:val="20"/>
                <w:lang w:val="fr-FR"/>
              </w:rPr>
              <w:t>), engagements RSE ou autres labels attestant de votre démarche environnementale.</w:t>
            </w:r>
          </w:p>
          <w:p w14:paraId="33ED5A04" w14:textId="28FD7173" w:rsidR="00CF4BF5" w:rsidRPr="000952F2" w:rsidRDefault="00CF4BF5" w:rsidP="00387997">
            <w:pPr>
              <w:pStyle w:val="Titre2"/>
              <w:numPr>
                <w:ilvl w:val="0"/>
                <w:numId w:val="17"/>
              </w:numPr>
              <w:spacing w:before="0" w:after="60" w:line="240" w:lineRule="auto"/>
              <w:ind w:left="567" w:hanging="357"/>
              <w:jc w:val="both"/>
              <w:rPr>
                <w:rFonts w:ascii="Arial" w:eastAsiaTheme="minorHAnsi" w:hAnsi="Arial" w:cs="Arial"/>
                <w:b w:val="0"/>
                <w:bCs w:val="0"/>
                <w:color w:val="auto"/>
                <w:sz w:val="20"/>
                <w:szCs w:val="20"/>
                <w:lang w:val="fr-FR"/>
              </w:rPr>
            </w:pPr>
            <w:r w:rsidRPr="000952F2">
              <w:rPr>
                <w:rFonts w:ascii="Arial" w:eastAsiaTheme="minorHAnsi" w:hAnsi="Arial" w:cs="Arial"/>
                <w:b w:val="0"/>
                <w:bCs w:val="0"/>
                <w:color w:val="auto"/>
                <w:sz w:val="20"/>
                <w:szCs w:val="20"/>
                <w:lang w:val="fr-FR"/>
              </w:rPr>
              <w:t>Mesures de réduction à la source</w:t>
            </w:r>
            <w:r w:rsidR="00387997" w:rsidRPr="000952F2">
              <w:rPr>
                <w:rFonts w:ascii="Arial" w:eastAsiaTheme="minorHAnsi" w:hAnsi="Arial" w:cs="Arial"/>
                <w:b w:val="0"/>
                <w:bCs w:val="0"/>
                <w:color w:val="auto"/>
                <w:sz w:val="20"/>
                <w:szCs w:val="20"/>
                <w:lang w:val="fr-FR"/>
              </w:rPr>
              <w:t xml:space="preserve"> : Présentez</w:t>
            </w:r>
            <w:r w:rsidRPr="000952F2">
              <w:rPr>
                <w:rFonts w:ascii="Arial" w:eastAsiaTheme="minorHAnsi" w:hAnsi="Arial" w:cs="Arial"/>
                <w:b w:val="0"/>
                <w:bCs w:val="0"/>
                <w:color w:val="auto"/>
                <w:sz w:val="20"/>
                <w:szCs w:val="20"/>
                <w:lang w:val="fr-FR"/>
              </w:rPr>
              <w:t xml:space="preserve"> les actions proposées pour prévenir la production de déchets (ex : conseil, sensibilisation, équipements éco-conçus, accompagnement au tri).</w:t>
            </w:r>
          </w:p>
          <w:p w14:paraId="33A31E53" w14:textId="77777777" w:rsidR="00CF4BF5" w:rsidRPr="000952F2" w:rsidRDefault="00CF4BF5" w:rsidP="00387997">
            <w:pPr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F2BF3" w14:textId="77777777" w:rsidR="00CF4BF5" w:rsidRPr="000952F2" w:rsidRDefault="00CF4BF5" w:rsidP="00387997">
            <w:pPr>
              <w:spacing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27025F2" w14:textId="77777777" w:rsidR="00CB7DF7" w:rsidRPr="000952F2" w:rsidRDefault="00CB7DF7" w:rsidP="00387997">
      <w:pPr>
        <w:spacing w:after="6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</w:p>
    <w:p w14:paraId="6779CABD" w14:textId="77777777" w:rsidR="008C07BC" w:rsidRPr="000952F2" w:rsidRDefault="008C07BC" w:rsidP="00387997">
      <w:pPr>
        <w:spacing w:after="6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sectPr w:rsidR="008C07BC" w:rsidRPr="000952F2" w:rsidSect="00CF4BF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F0BB0"/>
    <w:multiLevelType w:val="hybridMultilevel"/>
    <w:tmpl w:val="86A4C89E"/>
    <w:lvl w:ilvl="0" w:tplc="EC60CEA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92394"/>
    <w:multiLevelType w:val="hybridMultilevel"/>
    <w:tmpl w:val="4662945C"/>
    <w:lvl w:ilvl="0" w:tplc="444A4F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A1DD3"/>
    <w:multiLevelType w:val="multilevel"/>
    <w:tmpl w:val="DAACA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781665"/>
    <w:multiLevelType w:val="multilevel"/>
    <w:tmpl w:val="979A7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972D61"/>
    <w:multiLevelType w:val="multilevel"/>
    <w:tmpl w:val="20F0E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0C12D1"/>
    <w:multiLevelType w:val="hybridMultilevel"/>
    <w:tmpl w:val="3A72A4DE"/>
    <w:lvl w:ilvl="0" w:tplc="040C000F">
      <w:start w:val="1"/>
      <w:numFmt w:val="decimal"/>
      <w:lvlText w:val="%1."/>
      <w:lvlJc w:val="left"/>
      <w:pPr>
        <w:ind w:left="1428" w:hanging="360"/>
      </w:p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A392CA5"/>
    <w:multiLevelType w:val="multilevel"/>
    <w:tmpl w:val="CACA5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0A1684"/>
    <w:multiLevelType w:val="hybridMultilevel"/>
    <w:tmpl w:val="F454E988"/>
    <w:lvl w:ilvl="0" w:tplc="FA10BBB0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E64E79"/>
    <w:multiLevelType w:val="multilevel"/>
    <w:tmpl w:val="98986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FD103A"/>
    <w:multiLevelType w:val="multilevel"/>
    <w:tmpl w:val="57E8E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9C867D3"/>
    <w:multiLevelType w:val="multilevel"/>
    <w:tmpl w:val="BEA0B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AA5206"/>
    <w:multiLevelType w:val="hybridMultilevel"/>
    <w:tmpl w:val="F9606A26"/>
    <w:lvl w:ilvl="0" w:tplc="5E5A27CA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DC5D00"/>
    <w:multiLevelType w:val="hybridMultilevel"/>
    <w:tmpl w:val="20DCE66E"/>
    <w:lvl w:ilvl="0" w:tplc="EC60CEA8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4A0C6FEA"/>
    <w:multiLevelType w:val="multilevel"/>
    <w:tmpl w:val="80744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46E3D00"/>
    <w:multiLevelType w:val="hybridMultilevel"/>
    <w:tmpl w:val="2654C614"/>
    <w:lvl w:ilvl="0" w:tplc="386A9246">
      <w:start w:val="8"/>
      <w:numFmt w:val="bullet"/>
      <w:lvlText w:val="-"/>
      <w:lvlJc w:val="left"/>
      <w:pPr>
        <w:ind w:left="58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55531837"/>
    <w:multiLevelType w:val="hybridMultilevel"/>
    <w:tmpl w:val="667E5E78"/>
    <w:lvl w:ilvl="0" w:tplc="0F5C8EF8">
      <w:numFmt w:val="bullet"/>
      <w:lvlText w:val="-"/>
      <w:lvlJc w:val="left"/>
      <w:pPr>
        <w:ind w:left="67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16" w15:restartNumberingAfterBreak="0">
    <w:nsid w:val="55A304D9"/>
    <w:multiLevelType w:val="multilevel"/>
    <w:tmpl w:val="64A8D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8737ECC"/>
    <w:multiLevelType w:val="multilevel"/>
    <w:tmpl w:val="6EA2D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93B66BD"/>
    <w:multiLevelType w:val="multilevel"/>
    <w:tmpl w:val="3F446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98C1C08"/>
    <w:multiLevelType w:val="multilevel"/>
    <w:tmpl w:val="48E4D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C637D4F"/>
    <w:multiLevelType w:val="multilevel"/>
    <w:tmpl w:val="06729568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DB1516"/>
    <w:multiLevelType w:val="hybridMultilevel"/>
    <w:tmpl w:val="612A0EF4"/>
    <w:lvl w:ilvl="0" w:tplc="F7E2359E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2F710E"/>
    <w:multiLevelType w:val="multilevel"/>
    <w:tmpl w:val="DB54C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7"/>
  </w:num>
  <w:num w:numId="4">
    <w:abstractNumId w:val="14"/>
  </w:num>
  <w:num w:numId="5">
    <w:abstractNumId w:val="15"/>
  </w:num>
  <w:num w:numId="6">
    <w:abstractNumId w:val="1"/>
  </w:num>
  <w:num w:numId="7">
    <w:abstractNumId w:val="22"/>
  </w:num>
  <w:num w:numId="8">
    <w:abstractNumId w:val="2"/>
  </w:num>
  <w:num w:numId="9">
    <w:abstractNumId w:val="19"/>
  </w:num>
  <w:num w:numId="10">
    <w:abstractNumId w:val="13"/>
  </w:num>
  <w:num w:numId="11">
    <w:abstractNumId w:val="8"/>
  </w:num>
  <w:num w:numId="12">
    <w:abstractNumId w:val="4"/>
  </w:num>
  <w:num w:numId="13">
    <w:abstractNumId w:val="17"/>
  </w:num>
  <w:num w:numId="14">
    <w:abstractNumId w:val="18"/>
  </w:num>
  <w:num w:numId="15">
    <w:abstractNumId w:val="16"/>
  </w:num>
  <w:num w:numId="16">
    <w:abstractNumId w:val="10"/>
  </w:num>
  <w:num w:numId="17">
    <w:abstractNumId w:val="11"/>
  </w:num>
  <w:num w:numId="18">
    <w:abstractNumId w:val="21"/>
  </w:num>
  <w:num w:numId="19">
    <w:abstractNumId w:val="3"/>
  </w:num>
  <w:num w:numId="20">
    <w:abstractNumId w:val="6"/>
  </w:num>
  <w:num w:numId="21">
    <w:abstractNumId w:val="20"/>
  </w:num>
  <w:num w:numId="22">
    <w:abstractNumId w:val="9"/>
  </w:num>
  <w:num w:numId="23">
    <w:abstractNumId w:val="5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8B3"/>
    <w:rsid w:val="00031C59"/>
    <w:rsid w:val="00053EA5"/>
    <w:rsid w:val="00067CE1"/>
    <w:rsid w:val="00076322"/>
    <w:rsid w:val="0009295D"/>
    <w:rsid w:val="000952F2"/>
    <w:rsid w:val="001209FE"/>
    <w:rsid w:val="0012206F"/>
    <w:rsid w:val="0015352D"/>
    <w:rsid w:val="001E7551"/>
    <w:rsid w:val="00237FCE"/>
    <w:rsid w:val="003003FD"/>
    <w:rsid w:val="00387997"/>
    <w:rsid w:val="0041124A"/>
    <w:rsid w:val="00457A55"/>
    <w:rsid w:val="00495AB4"/>
    <w:rsid w:val="0054268A"/>
    <w:rsid w:val="00573332"/>
    <w:rsid w:val="00581469"/>
    <w:rsid w:val="005E2F2B"/>
    <w:rsid w:val="00611DF3"/>
    <w:rsid w:val="006A24DD"/>
    <w:rsid w:val="006A5A1A"/>
    <w:rsid w:val="00752639"/>
    <w:rsid w:val="00806A84"/>
    <w:rsid w:val="0081533A"/>
    <w:rsid w:val="00826D85"/>
    <w:rsid w:val="00851BA7"/>
    <w:rsid w:val="00870AA4"/>
    <w:rsid w:val="008753AB"/>
    <w:rsid w:val="008978B3"/>
    <w:rsid w:val="008B7518"/>
    <w:rsid w:val="008C07BC"/>
    <w:rsid w:val="008F266D"/>
    <w:rsid w:val="00933DA9"/>
    <w:rsid w:val="009B10A0"/>
    <w:rsid w:val="00A25FBD"/>
    <w:rsid w:val="00AA4326"/>
    <w:rsid w:val="00AB4977"/>
    <w:rsid w:val="00B31756"/>
    <w:rsid w:val="00C1590E"/>
    <w:rsid w:val="00C418AA"/>
    <w:rsid w:val="00C47844"/>
    <w:rsid w:val="00CA7539"/>
    <w:rsid w:val="00CB7DF7"/>
    <w:rsid w:val="00CF4BF5"/>
    <w:rsid w:val="00D75B58"/>
    <w:rsid w:val="00DE5B15"/>
    <w:rsid w:val="00E0602A"/>
    <w:rsid w:val="00E7735B"/>
    <w:rsid w:val="00F04FDC"/>
    <w:rsid w:val="00F9132A"/>
    <w:rsid w:val="00FA14CD"/>
    <w:rsid w:val="00FA4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5BF4C"/>
  <w15:docId w15:val="{E76DC918-1316-404F-8632-6F7A1CFCA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003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003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C07B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C07B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97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978B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97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A14CD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3003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Titre2Car">
    <w:name w:val="Titre 2 Car"/>
    <w:basedOn w:val="Policepardfaut"/>
    <w:link w:val="Titre2"/>
    <w:uiPriority w:val="9"/>
    <w:rsid w:val="003003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8C07B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8C07B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lev">
    <w:name w:val="Strong"/>
    <w:basedOn w:val="Policepardfaut"/>
    <w:uiPriority w:val="22"/>
    <w:qFormat/>
    <w:rsid w:val="008C07BC"/>
    <w:rPr>
      <w:b/>
      <w:bCs/>
    </w:rPr>
  </w:style>
  <w:style w:type="character" w:styleId="Marquedecommentaire">
    <w:name w:val="annotation reference"/>
    <w:basedOn w:val="Policepardfaut"/>
    <w:uiPriority w:val="99"/>
    <w:semiHidden/>
    <w:unhideWhenUsed/>
    <w:rsid w:val="00E0602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0602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0602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0602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0602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25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4207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7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cid:image001.jpg@01D6A927.689DA97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230CD-E612-4142-A94C-FC1A0C43F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612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IGN</Company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Pergnier</dc:creator>
  <cp:lastModifiedBy>Marie Pergnier</cp:lastModifiedBy>
  <cp:revision>12</cp:revision>
  <dcterms:created xsi:type="dcterms:W3CDTF">2025-05-20T12:47:00Z</dcterms:created>
  <dcterms:modified xsi:type="dcterms:W3CDTF">2025-05-27T14:17:00Z</dcterms:modified>
</cp:coreProperties>
</file>