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C9B4DBE" w:rsidR="009D60D5" w:rsidRPr="00704FBA" w:rsidRDefault="00704FBA"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Pr="00704FBA">
                  <w:rPr>
                    <w:rFonts w:ascii="MS Gothic" w:eastAsia="MS Gothic" w:hAnsi="MS Gothic" w:hint="eastAsia"/>
                    <w:b/>
                    <w:smallCaps/>
                    <w:sz w:val="24"/>
                  </w:rPr>
                  <w:t>☒</w:t>
                </w:r>
              </w:sdtContent>
            </w:sdt>
            <w:r w:rsidR="009D60D5" w:rsidRPr="00704FBA">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Pr>
                    <w:rFonts w:ascii="MS Gothic" w:eastAsia="MS Gothic" w:hAnsi="MS Gothic" w:hint="eastAsia"/>
                    <w:b/>
                    <w:smallCaps/>
                    <w:sz w:val="24"/>
                  </w:rPr>
                  <w:t>☐</w:t>
                </w:r>
              </w:sdtContent>
            </w:sdt>
            <w:r w:rsidR="009D60D5" w:rsidRPr="00704FBA">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0B08448" w:rsidR="00C2145A" w:rsidRPr="00704FBA" w:rsidRDefault="00C2145A" w:rsidP="00357B46">
            <w:pPr>
              <w:rPr>
                <w:rFonts w:asciiTheme="minorHAnsi" w:hAnsiTheme="minorHAnsi"/>
                <w:b/>
                <w:sz w:val="24"/>
              </w:rPr>
            </w:pPr>
            <w:r w:rsidRPr="00704FBA">
              <w:rPr>
                <w:rFonts w:asciiTheme="minorHAnsi" w:hAnsiTheme="minorHAnsi"/>
                <w:b/>
                <w:smallCaps/>
                <w:sz w:val="24"/>
              </w:rPr>
              <w:t>Numéro</w:t>
            </w:r>
            <w:r w:rsidR="009433E7" w:rsidRPr="00704FBA">
              <w:rPr>
                <w:rFonts w:asciiTheme="minorHAnsi" w:hAnsiTheme="minorHAnsi"/>
                <w:b/>
                <w:smallCaps/>
                <w:sz w:val="24"/>
              </w:rPr>
              <w:t xml:space="preserve"> </w:t>
            </w:r>
            <w:r w:rsidRPr="00704FBA">
              <w:rPr>
                <w:rFonts w:asciiTheme="minorHAnsi" w:hAnsiTheme="minorHAnsi"/>
                <w:b/>
                <w:smallCaps/>
                <w:sz w:val="24"/>
              </w:rPr>
              <w:t xml:space="preserve">: </w:t>
            </w:r>
            <w:r w:rsidR="00704FBA" w:rsidRPr="00704FBA">
              <w:rPr>
                <w:rFonts w:asciiTheme="minorHAnsi" w:hAnsiTheme="minorHAnsi"/>
                <w:b/>
                <w:smallCaps/>
                <w:sz w:val="24"/>
              </w:rPr>
              <w:t>25-MR4325</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704FBA"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704FBA" w:rsidRDefault="009D60D5" w:rsidP="00540DA7">
            <w:pPr>
              <w:rPr>
                <w:rFonts w:asciiTheme="minorHAnsi" w:hAnsiTheme="minorHAnsi"/>
                <w:b/>
                <w:caps/>
                <w:smallCaps/>
                <w:sz w:val="24"/>
              </w:rPr>
            </w:pPr>
            <w:bookmarkStart w:id="1" w:name="_Toc392669627"/>
            <w:r w:rsidRPr="00704FBA">
              <w:rPr>
                <w:rFonts w:asciiTheme="minorHAnsi" w:hAnsiTheme="minorHAnsi"/>
                <w:b/>
                <w:caps/>
                <w:sz w:val="24"/>
              </w:rPr>
              <w:t>OBJET du contrat</w:t>
            </w:r>
            <w:r w:rsidR="00996FEA" w:rsidRPr="00704FBA">
              <w:rPr>
                <w:rFonts w:asciiTheme="minorHAnsi" w:hAnsiTheme="minorHAnsi"/>
                <w:b/>
                <w:smallCaps/>
                <w:sz w:val="24"/>
              </w:rPr>
              <w:t> </w:t>
            </w:r>
            <w:r w:rsidR="00540DA7" w:rsidRPr="00704FBA">
              <w:rPr>
                <w:rFonts w:asciiTheme="minorHAnsi" w:hAnsiTheme="minorHAnsi"/>
                <w:b/>
                <w:smallCaps/>
                <w:sz w:val="24"/>
              </w:rPr>
              <w:t>:</w:t>
            </w:r>
            <w:bookmarkEnd w:id="1"/>
          </w:p>
          <w:p w14:paraId="2684327E" w14:textId="45C93229" w:rsidR="00741D2D" w:rsidRPr="00704FBA" w:rsidRDefault="00704FBA" w:rsidP="00996FEA">
            <w:pPr>
              <w:rPr>
                <w:rFonts w:asciiTheme="minorHAnsi" w:hAnsiTheme="minorHAnsi" w:cs="Arial"/>
                <w:i/>
                <w:sz w:val="24"/>
              </w:rPr>
            </w:pPr>
            <w:r w:rsidRPr="00704FBA">
              <w:rPr>
                <w:rFonts w:asciiTheme="minorHAnsi" w:eastAsiaTheme="majorEastAsia" w:hAnsiTheme="minorHAnsi" w:cstheme="minorHAnsi"/>
                <w:bCs/>
                <w:i/>
                <w:sz w:val="24"/>
              </w:rPr>
              <w:t>Opérationnalisation de la méthodologie d'évaluation des taux de réussite des reboisements</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704FBA"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704FBA" w:rsidRDefault="00540DA7" w:rsidP="00540DA7">
            <w:pPr>
              <w:rPr>
                <w:rFonts w:asciiTheme="minorHAnsi" w:hAnsiTheme="minorHAnsi"/>
                <w:b/>
                <w:caps/>
                <w:smallCaps/>
                <w:sz w:val="24"/>
              </w:rPr>
            </w:pPr>
            <w:bookmarkStart w:id="2" w:name="_Toc392669628"/>
            <w:r w:rsidRPr="00704FBA">
              <w:rPr>
                <w:rFonts w:asciiTheme="minorHAnsi" w:hAnsiTheme="minorHAnsi"/>
                <w:b/>
                <w:smallCaps/>
                <w:sz w:val="24"/>
              </w:rPr>
              <w:t>MONTANT MAXIMAL DU CONTRAT :</w:t>
            </w:r>
            <w:bookmarkEnd w:id="2"/>
          </w:p>
          <w:p w14:paraId="7E809CC5" w14:textId="010AA7B6" w:rsidR="00741D2D" w:rsidRPr="00704FBA" w:rsidRDefault="00540DA7" w:rsidP="00E953FE">
            <w:pPr>
              <w:rPr>
                <w:rFonts w:asciiTheme="minorHAnsi" w:hAnsiTheme="minorHAnsi" w:cs="Arial"/>
                <w:i/>
                <w:sz w:val="24"/>
              </w:rPr>
            </w:pPr>
            <w:r w:rsidRPr="00704FBA">
              <w:rPr>
                <w:rFonts w:asciiTheme="minorHAnsi" w:hAnsiTheme="minorHAnsi" w:cs="Arial"/>
                <w:i/>
                <w:sz w:val="24"/>
              </w:rPr>
              <w:t>indiquer ici le montant maximal de l’ensemble des prestations</w:t>
            </w:r>
            <w:r w:rsidR="00704FBA">
              <w:rPr>
                <w:rFonts w:asciiTheme="minorHAnsi" w:hAnsiTheme="minorHAnsi" w:cs="Arial"/>
                <w:i/>
                <w:sz w:val="24"/>
              </w:rPr>
              <w:t xml:space="preserve">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00C140C0" w:rsidR="00707B69" w:rsidRPr="00704FBA" w:rsidRDefault="00801ECC" w:rsidP="00C25BF9">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Pr="00704FBA">
              <w:rPr>
                <w:rFonts w:asciiTheme="minorHAnsi" w:hAnsiTheme="minorHAnsi" w:cstheme="minorHAnsi"/>
                <w:sz w:val="22"/>
                <w:szCs w:val="22"/>
              </w:rPr>
              <w:t xml:space="preserve">appel d’offres ouvert en application des articles </w:t>
            </w:r>
            <w:r w:rsidR="00554974" w:rsidRPr="00704FBA">
              <w:rPr>
                <w:rFonts w:asciiTheme="minorHAnsi" w:hAnsiTheme="minorHAnsi" w:cstheme="minorHAnsi"/>
                <w:sz w:val="22"/>
                <w:szCs w:val="22"/>
              </w:rPr>
              <w:t>L. 2124-2, R. 2161-2, R. 2161-3,</w:t>
            </w:r>
            <w:r w:rsidRPr="00704FBA">
              <w:rPr>
                <w:rFonts w:asciiTheme="minorHAnsi" w:hAnsiTheme="minorHAnsi" w:cstheme="minorHAnsi"/>
                <w:sz w:val="22"/>
                <w:szCs w:val="22"/>
              </w:rPr>
              <w:t xml:space="preserve"> </w:t>
            </w:r>
            <w:r w:rsidR="00554974" w:rsidRPr="00704FBA">
              <w:rPr>
                <w:rFonts w:asciiTheme="minorHAnsi" w:hAnsiTheme="minorHAnsi" w:cstheme="minorHAnsi"/>
                <w:sz w:val="22"/>
                <w:szCs w:val="22"/>
              </w:rPr>
              <w:t>R. 2161-4</w:t>
            </w:r>
            <w:r w:rsidRPr="00704FBA">
              <w:rPr>
                <w:rFonts w:asciiTheme="minorHAnsi" w:hAnsiTheme="minorHAnsi" w:cstheme="minorHAnsi"/>
                <w:sz w:val="22"/>
                <w:szCs w:val="22"/>
              </w:rPr>
              <w:t xml:space="preserve"> </w:t>
            </w:r>
            <w:r w:rsidR="00554974" w:rsidRPr="00704FBA">
              <w:rPr>
                <w:rFonts w:asciiTheme="minorHAnsi" w:hAnsiTheme="minorHAnsi" w:cstheme="minorHAnsi"/>
                <w:sz w:val="22"/>
                <w:szCs w:val="22"/>
              </w:rPr>
              <w:t xml:space="preserve">et R. 2161-5 </w:t>
            </w:r>
            <w:r w:rsidRPr="00704FBA">
              <w:rPr>
                <w:rFonts w:asciiTheme="minorHAnsi" w:hAnsiTheme="minorHAnsi" w:cstheme="minorHAnsi"/>
                <w:sz w:val="22"/>
                <w:szCs w:val="22"/>
              </w:rPr>
              <w:t xml:space="preserve">du </w:t>
            </w:r>
            <w:r w:rsidR="00554974" w:rsidRPr="00704FBA">
              <w:rPr>
                <w:rFonts w:asciiTheme="minorHAnsi" w:hAnsiTheme="minorHAnsi" w:cstheme="minorHAnsi"/>
                <w:sz w:val="22"/>
                <w:szCs w:val="22"/>
              </w:rPr>
              <w:t>CCP</w:t>
            </w:r>
            <w:r w:rsidR="00704FBA" w:rsidRPr="00704FBA">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704FBA">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704FBA">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704FBA">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704FBA">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704FBA">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704FBA">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704FBA">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704FBA">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704FBA">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704FBA">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704FBA">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704FBA">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704FBA">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704FBA">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704FBA">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704FBA">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704FBA">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704FBA">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704FBA">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704FBA">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704FBA">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704FBA">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704FBA">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704FBA">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704FBA">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704FBA">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704FBA">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704FBA">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704FBA">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704FBA">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704FBA">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704FBA">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704FBA">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704FBA">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704FBA">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704FBA">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704FBA">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704FBA">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704FBA">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704FBA">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704FBA">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704FBA">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r w:rsidR="00DE1070" w:rsidRPr="00A86E43">
              <w:rPr>
                <w:rFonts w:ascii="Calibri" w:hAnsi="Calibri"/>
                <w:b/>
              </w:rPr>
              <w:commentReference w:id="5"/>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EDFDB24"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704FBA">
        <w:rPr>
          <w:rFonts w:asciiTheme="minorHAnsi" w:hAnsiTheme="minorHAnsi" w:cs="Arial"/>
          <w:sz w:val="22"/>
        </w:rPr>
        <w:t xml:space="preserve">du </w:t>
      </w:r>
      <w:r w:rsidRPr="00A86E43">
        <w:rPr>
          <w:rFonts w:asciiTheme="minorHAnsi" w:hAnsiTheme="minorHAnsi" w:cs="Arial"/>
          <w:sz w:val="22"/>
        </w:rPr>
        <w:t>contrat d’assistante technique ci-après dénommé le « </w:t>
      </w:r>
      <w:r w:rsidRPr="00704FBA">
        <w:rPr>
          <w:rFonts w:asciiTheme="minorHAnsi" w:hAnsiTheme="minorHAnsi" w:cs="Arial"/>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00704FBA">
        <w:rPr>
          <w:rFonts w:asciiTheme="minorHAnsi" w:hAnsiTheme="minorHAnsi" w:cs="Arial"/>
          <w:sz w:val="22"/>
        </w:rPr>
        <w:t xml:space="preserve">16/06/2022 </w:t>
      </w:r>
      <w:r w:rsidR="00704FBA" w:rsidRPr="00704FBA">
        <w:rPr>
          <w:rFonts w:asciiTheme="minorHAnsi" w:hAnsiTheme="minorHAnsi" w:cs="Arial"/>
          <w:sz w:val="22"/>
        </w:rPr>
        <w:t xml:space="preserve">entre </w:t>
      </w:r>
      <w:r w:rsidR="00704FBA">
        <w:rPr>
          <w:rFonts w:asciiTheme="minorHAnsi" w:hAnsiTheme="minorHAnsi" w:cs="Arial"/>
          <w:sz w:val="22"/>
        </w:rPr>
        <w:t>l’Agence Française de Développement</w:t>
      </w:r>
      <w:r w:rsidR="00704FBA" w:rsidRPr="00A86E43">
        <w:rPr>
          <w:rFonts w:asciiTheme="minorHAnsi" w:hAnsiTheme="minorHAnsi" w:cs="Arial"/>
          <w:sz w:val="22"/>
        </w:rPr>
        <w:t xml:space="preserve"> et</w:t>
      </w:r>
      <w:r w:rsidR="00704FBA">
        <w:rPr>
          <w:rFonts w:asciiTheme="minorHAnsi" w:hAnsiTheme="minorHAnsi" w:cs="Arial"/>
          <w:sz w:val="22"/>
        </w:rPr>
        <w:t xml:space="preserve"> Expertise France</w:t>
      </w:r>
      <w:r w:rsidR="00704FBA" w:rsidRPr="00A86E43">
        <w:rPr>
          <w:rFonts w:asciiTheme="minorHAnsi" w:hAnsiTheme="minorHAnsi" w:cs="Arial"/>
          <w:sz w:val="22"/>
        </w:rPr>
        <w:t>, portant sur « </w:t>
      </w:r>
      <w:r w:rsidR="00704FBA" w:rsidRPr="00704FBA">
        <w:rPr>
          <w:rFonts w:asciiTheme="minorHAnsi" w:hAnsiTheme="minorHAnsi" w:cs="Arial"/>
          <w:sz w:val="22"/>
        </w:rPr>
        <w:t xml:space="preserve">l’Assistance technique au programme </w:t>
      </w:r>
      <w:proofErr w:type="spellStart"/>
      <w:r w:rsidR="00704FBA" w:rsidRPr="00704FBA">
        <w:rPr>
          <w:rFonts w:asciiTheme="minorHAnsi" w:hAnsiTheme="minorHAnsi" w:cs="Arial"/>
          <w:sz w:val="22"/>
        </w:rPr>
        <w:t>Ghabati</w:t>
      </w:r>
      <w:proofErr w:type="spellEnd"/>
      <w:r w:rsidR="00704FBA" w:rsidRPr="00704FBA">
        <w:rPr>
          <w:rFonts w:asciiTheme="minorHAnsi" w:hAnsiTheme="minorHAnsi" w:cs="Arial"/>
          <w:sz w:val="22"/>
        </w:rPr>
        <w:t xml:space="preserve">, </w:t>
      </w:r>
      <w:proofErr w:type="spellStart"/>
      <w:proofErr w:type="gramStart"/>
      <w:r w:rsidR="00704FBA" w:rsidRPr="00704FBA">
        <w:rPr>
          <w:rFonts w:asciiTheme="minorHAnsi" w:hAnsiTheme="minorHAnsi" w:cs="Arial"/>
          <w:sz w:val="22"/>
        </w:rPr>
        <w:t>Hayati</w:t>
      </w:r>
      <w:proofErr w:type="spellEnd"/>
      <w:r w:rsidR="00704FBA">
        <w:rPr>
          <w:rFonts w:asciiTheme="minorHAnsi" w:hAnsiTheme="minorHAnsi" w:cs="Arial"/>
          <w:sz w:val="22"/>
        </w:rPr>
        <w:t>»</w:t>
      </w:r>
      <w:proofErr w:type="gramEnd"/>
      <w:r w:rsidRPr="00A86E43">
        <w:rPr>
          <w:rFonts w:asciiTheme="minorHAnsi" w:hAnsiTheme="minorHAnsi" w:cs="Arial"/>
          <w:sz w:val="22"/>
        </w:rPr>
        <w:t xml:space="preserve">, </w:t>
      </w:r>
      <w:r w:rsidR="00E114AE" w:rsidRPr="00704FBA">
        <w:rPr>
          <w:rFonts w:asciiTheme="minorHAnsi" w:hAnsiTheme="minorHAnsi" w:cs="Arial"/>
          <w:sz w:val="22"/>
        </w:rPr>
        <w:t>Expertise</w:t>
      </w:r>
      <w:r w:rsidR="00E114AE" w:rsidRPr="00CE73DB">
        <w:rPr>
          <w:rFonts w:asciiTheme="minorHAnsi" w:hAnsiTheme="minorHAnsi" w:cs="Arial"/>
          <w:smallCaps/>
          <w:sz w:val="22"/>
        </w:rPr>
        <w:t xml:space="preserv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26921969"/>
      <w:r w:rsidRPr="00A86E43">
        <w:rPr>
          <w:rFonts w:asciiTheme="minorHAnsi" w:hAnsiTheme="minorHAnsi"/>
          <w:b/>
          <w:caps/>
          <w:sz w:val="24"/>
          <w:u w:val="single"/>
        </w:rPr>
        <w:lastRenderedPageBreak/>
        <w:t>Objet du contrat</w:t>
      </w:r>
      <w:bookmarkEnd w:id="6"/>
    </w:p>
    <w:p w14:paraId="34E60E59" w14:textId="7AE6B114"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704FBA">
        <w:rPr>
          <w:rFonts w:asciiTheme="minorHAnsi" w:hAnsiTheme="minorHAnsi" w:cs="Arial"/>
          <w:i/>
        </w:rPr>
        <w:t xml:space="preserve">l’opérationnalisation de la méthodologie d’évaluation des </w:t>
      </w:r>
      <w:r w:rsidR="006D6407">
        <w:rPr>
          <w:rFonts w:asciiTheme="minorHAnsi" w:hAnsiTheme="minorHAnsi" w:cs="Arial"/>
          <w:i/>
        </w:rPr>
        <w:t xml:space="preserve">taux de </w:t>
      </w:r>
      <w:r w:rsidR="00704FBA">
        <w:rPr>
          <w:rFonts w:asciiTheme="minorHAnsi" w:hAnsiTheme="minorHAnsi" w:cs="Arial"/>
          <w:i/>
        </w:rPr>
        <w:t>réussite du reboisement</w:t>
      </w:r>
      <w:r w:rsidR="00DE0E61" w:rsidRPr="00A86E43">
        <w:rPr>
          <w:rFonts w:asciiTheme="minorHAnsi" w:hAnsiTheme="minorHAnsi" w:cs="Arial"/>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8AEADF8"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6232EEE5" w14:textId="77777777" w:rsidR="006D6407" w:rsidRDefault="00996FEA" w:rsidP="006D6407">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6D6407">
        <w:rPr>
          <w:rFonts w:asciiTheme="minorHAnsi" w:hAnsiTheme="minorHAnsi" w:cstheme="minorHAnsi"/>
          <w:smallCaps/>
          <w:szCs w:val="22"/>
        </w:rPr>
        <w:t>Contractant</w:t>
      </w:r>
      <w:r w:rsidRPr="006D6407">
        <w:rPr>
          <w:rFonts w:asciiTheme="minorHAnsi" w:hAnsiTheme="minorHAnsi" w:cstheme="minorHAnsi"/>
          <w:szCs w:val="22"/>
        </w:rPr>
        <w:t xml:space="preserve"> du </w:t>
      </w:r>
      <w:commentRangeStart w:id="8"/>
      <w:r w:rsidRPr="006D6407">
        <w:rPr>
          <w:rFonts w:asciiTheme="minorHAnsi" w:hAnsiTheme="minorHAnsi" w:cstheme="minorHAnsi"/>
          <w:szCs w:val="22"/>
        </w:rPr>
        <w:t>XX/XX/XXXX</w:t>
      </w:r>
      <w:commentRangeEnd w:id="8"/>
      <w:r w:rsidR="005554F6" w:rsidRPr="006D6407">
        <w:rPr>
          <w:rStyle w:val="Marquedecommentaire"/>
          <w:rFonts w:asciiTheme="minorHAnsi" w:eastAsia="Times" w:hAnsiTheme="minorHAnsi" w:cstheme="minorHAnsi"/>
          <w:sz w:val="22"/>
          <w:szCs w:val="22"/>
        </w:rPr>
        <w:commentReference w:id="8"/>
      </w:r>
    </w:p>
    <w:p w14:paraId="2E328304" w14:textId="5F7D3A50" w:rsidR="00113F82" w:rsidRPr="006D6407" w:rsidRDefault="006D6407" w:rsidP="006D6407">
      <w:pPr>
        <w:pStyle w:val="w"/>
        <w:widowControl w:val="0"/>
        <w:numPr>
          <w:ilvl w:val="0"/>
          <w:numId w:val="47"/>
        </w:numPr>
        <w:spacing w:before="120"/>
        <w:rPr>
          <w:rFonts w:asciiTheme="minorHAnsi" w:hAnsiTheme="minorHAnsi" w:cstheme="minorHAnsi"/>
          <w:szCs w:val="22"/>
        </w:rPr>
      </w:pPr>
      <w:r w:rsidRPr="006D6407">
        <w:rPr>
          <w:rFonts w:asciiTheme="minorHAnsi" w:hAnsiTheme="minorHAnsi" w:cstheme="minorHAnsi"/>
          <w:szCs w:val="22"/>
        </w:rPr>
        <w:t xml:space="preserve">Les </w:t>
      </w:r>
      <w:proofErr w:type="spellStart"/>
      <w:r w:rsidRPr="006D6407">
        <w:rPr>
          <w:rFonts w:asciiTheme="minorHAnsi" w:hAnsiTheme="minorHAnsi" w:cstheme="minorHAnsi"/>
          <w:szCs w:val="22"/>
        </w:rPr>
        <w:t>CVs</w:t>
      </w:r>
      <w:proofErr w:type="spellEnd"/>
      <w:r w:rsidRPr="006D6407">
        <w:rPr>
          <w:rFonts w:asciiTheme="minorHAnsi" w:hAnsiTheme="minorHAnsi" w:cstheme="minorHAnsi"/>
          <w:szCs w:val="22"/>
        </w:rPr>
        <w:t xml:space="preserve"> des experts désignés pour l’exécution du contrat.</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9" w:name="_Toc126921971"/>
      <w:bookmarkStart w:id="10"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9"/>
    </w:p>
    <w:p w14:paraId="77401A47" w14:textId="77777777" w:rsidR="00A86E43" w:rsidRDefault="00204CC9" w:rsidP="0088284C">
      <w:pPr>
        <w:pStyle w:val="Titre2"/>
        <w:rPr>
          <w:rFonts w:asciiTheme="minorHAnsi" w:hAnsiTheme="minorHAnsi"/>
          <w:sz w:val="22"/>
        </w:rPr>
      </w:pPr>
      <w:bookmarkStart w:id="11"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10"/>
      <w:bookmarkEnd w:id="11"/>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36D503D5" w:rsidR="00A246CE" w:rsidRPr="00A86E43" w:rsidRDefault="00804BED" w:rsidP="00A86E43">
      <w:pPr>
        <w:pStyle w:val="u"/>
        <w:widowControl w:val="0"/>
        <w:ind w:left="567"/>
        <w:rPr>
          <w:rFonts w:asciiTheme="minorHAnsi" w:hAnsiTheme="minorHAnsi" w:cstheme="minorHAnsi"/>
          <w:szCs w:val="22"/>
        </w:rPr>
      </w:pPr>
      <w:bookmarkStart w:id="12"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6D6407">
        <w:rPr>
          <w:rFonts w:asciiTheme="minorHAnsi" w:hAnsiTheme="minorHAnsi" w:cstheme="minorHAnsi"/>
          <w:szCs w:val="22"/>
        </w:rPr>
        <w:t xml:space="preserve">marché public de services </w:t>
      </w:r>
      <w:r w:rsidRPr="00A86E43">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6D6407">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3" w:name="_Toc392669632"/>
      <w:bookmarkStart w:id="14" w:name="_Toc126921973"/>
      <w:bookmarkEnd w:id="12"/>
      <w:r w:rsidRPr="00A86E43">
        <w:rPr>
          <w:rFonts w:asciiTheme="minorHAnsi" w:hAnsiTheme="minorHAnsi"/>
          <w:sz w:val="22"/>
        </w:rPr>
        <w:t>Durée</w:t>
      </w:r>
      <w:r w:rsidR="001E4CCB" w:rsidRPr="00A86E43">
        <w:rPr>
          <w:rFonts w:asciiTheme="minorHAnsi" w:hAnsiTheme="minorHAnsi"/>
          <w:sz w:val="22"/>
        </w:rPr>
        <w:t xml:space="preserve"> </w:t>
      </w:r>
      <w:bookmarkEnd w:id="13"/>
      <w:r w:rsidR="008A0752" w:rsidRPr="00A86E43">
        <w:rPr>
          <w:rFonts w:asciiTheme="minorHAnsi" w:hAnsiTheme="minorHAnsi"/>
          <w:sz w:val="22"/>
        </w:rPr>
        <w:t>du contrat</w:t>
      </w:r>
      <w:bookmarkEnd w:id="14"/>
    </w:p>
    <w:p w14:paraId="1800724A" w14:textId="49E38D23"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6D6407" w:rsidRPr="006D6407">
        <w:rPr>
          <w:rFonts w:asciiTheme="minorHAnsi" w:hAnsiTheme="minorHAnsi" w:cs="Arial"/>
        </w:rPr>
        <w:t>8</w:t>
      </w:r>
      <w:r w:rsidR="006D6407">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6D6407">
        <w:rPr>
          <w:rFonts w:asciiTheme="minorHAnsi" w:hAnsiTheme="minorHAnsi" w:cs="Arial"/>
        </w:rPr>
        <w:t>Contractant</w:t>
      </w:r>
      <w:r w:rsidRPr="00A86E43">
        <w:rPr>
          <w:rFonts w:asciiTheme="minorHAnsi" w:hAnsiTheme="minorHAnsi" w:cs="Arial"/>
        </w:rPr>
        <w:t xml:space="preserve"> par </w:t>
      </w:r>
      <w:r w:rsidR="00CE73DB" w:rsidRPr="006D6407">
        <w:rPr>
          <w:rFonts w:asciiTheme="minorHAnsi" w:hAnsiTheme="minorHAnsi" w:cs="Arial"/>
        </w:rPr>
        <w:t xml:space="preserve">Expertise </w:t>
      </w:r>
      <w:r w:rsidR="006D6407">
        <w:rPr>
          <w:rFonts w:asciiTheme="minorHAnsi" w:hAnsiTheme="minorHAnsi" w:cs="Arial"/>
        </w:rPr>
        <w:t xml:space="preserve">Franc </w:t>
      </w:r>
      <w:r w:rsidRPr="00A86E43">
        <w:rPr>
          <w:rFonts w:asciiTheme="minorHAnsi" w:hAnsiTheme="minorHAnsi" w:cs="Arial"/>
        </w:rPr>
        <w:t xml:space="preserve">du </w:t>
      </w:r>
      <w:r w:rsidRPr="002942A4">
        <w:rPr>
          <w:rFonts w:asciiTheme="minorHAnsi" w:hAnsiTheme="minorHAnsi" w:cs="Arial"/>
          <w:highlight w:val="yellow"/>
        </w:rPr>
        <w:t>XX/XX/XXXX</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BB95C1D" w:rsidR="001E12A9" w:rsidRPr="00A86E43" w:rsidRDefault="001E12A9" w:rsidP="001E12A9">
      <w:pPr>
        <w:pStyle w:val="Titre2"/>
        <w:spacing w:before="120" w:after="60"/>
        <w:rPr>
          <w:rFonts w:asciiTheme="minorHAnsi" w:hAnsiTheme="minorHAnsi"/>
          <w:sz w:val="22"/>
        </w:rPr>
      </w:pPr>
      <w:bookmarkStart w:id="15"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5"/>
    </w:p>
    <w:p w14:paraId="48DFE8F3" w14:textId="546FD1A7"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6D6407">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6D6407">
        <w:rPr>
          <w:rFonts w:asciiTheme="minorHAnsi" w:hAnsiTheme="minorHAnsi" w:cs="Arial"/>
          <w:smallCaps/>
        </w:rPr>
        <w:t xml:space="preserve"> </w:t>
      </w:r>
      <w:r w:rsidR="00B30BC2" w:rsidRPr="00A86E43">
        <w:rPr>
          <w:rFonts w:asciiTheme="minorHAnsi" w:hAnsiTheme="minorHAnsi" w:cs="Arial"/>
        </w:rPr>
        <w:t xml:space="preserve">est fixé à </w:t>
      </w:r>
      <w:r w:rsidR="006D6407">
        <w:rPr>
          <w:rFonts w:asciiTheme="minorHAnsi" w:hAnsiTheme="minorHAnsi" w:cs="Arial"/>
        </w:rPr>
        <w:t xml:space="preserve">8 mois à compter </w:t>
      </w:r>
      <w:r w:rsidR="00B30BC2" w:rsidRPr="00A86E43">
        <w:rPr>
          <w:rFonts w:asciiTheme="minorHAnsi" w:hAnsiTheme="minorHAnsi" w:cs="Arial"/>
        </w:rPr>
        <w:t xml:space="preserve">de la date de notification du présent </w:t>
      </w:r>
      <w:r w:rsidR="006D6407">
        <w:rPr>
          <w:rFonts w:asciiTheme="minorHAnsi" w:hAnsiTheme="minorHAnsi" w:cs="Arial"/>
          <w:smallCaps/>
        </w:rPr>
        <w:t>contrat.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00E849ED" w:rsidP="0041382E">
      <w:pPr>
        <w:pStyle w:val="Titre2"/>
        <w:spacing w:before="120" w:after="60"/>
        <w:rPr>
          <w:rFonts w:asciiTheme="minorHAnsi" w:hAnsiTheme="minorHAnsi"/>
          <w:sz w:val="22"/>
        </w:rPr>
      </w:pPr>
      <w:bookmarkStart w:id="17" w:name="_Toc392669634"/>
      <w:bookmarkStart w:id="18" w:name="_Toc524095228"/>
      <w:bookmarkStart w:id="19" w:name="_Toc126921978"/>
      <w:r w:rsidRPr="00A86E43">
        <w:rPr>
          <w:rFonts w:asciiTheme="minorHAnsi" w:hAnsiTheme="minorHAnsi"/>
          <w:sz w:val="22"/>
        </w:rPr>
        <w:t>Montant du contrat</w:t>
      </w:r>
      <w:bookmarkEnd w:id="17"/>
      <w:bookmarkEnd w:id="18"/>
      <w:bookmarkEnd w:id="19"/>
    </w:p>
    <w:p w14:paraId="0BF7BD6E" w14:textId="398F3CC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5823572B" w14:textId="1D5F486A" w:rsidR="00D23E07" w:rsidRPr="00A86E43" w:rsidRDefault="00F53E95" w:rsidP="002942A4">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Le prix étant forfaitaire, il inclut l’ensemble des frais liés à l’exécution des prestations et/ou à la livraison des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20" w:name="_Toc126921979"/>
      <w:bookmarkStart w:id="21" w:name="_Toc392669637"/>
      <w:r w:rsidRPr="00A86E43">
        <w:rPr>
          <w:rFonts w:asciiTheme="minorHAnsi" w:hAnsiTheme="minorHAnsi"/>
          <w:sz w:val="22"/>
        </w:rPr>
        <w:t>Forme des prix</w:t>
      </w:r>
      <w:bookmarkEnd w:id="20"/>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2" w:name="_Toc126921980"/>
      <w:r w:rsidRPr="00A86E43">
        <w:rPr>
          <w:rFonts w:asciiTheme="minorHAnsi" w:hAnsiTheme="minorHAnsi"/>
          <w:sz w:val="22"/>
        </w:rPr>
        <w:t>Avance</w:t>
      </w:r>
      <w:bookmarkEnd w:id="22"/>
    </w:p>
    <w:p w14:paraId="0F90FA4C" w14:textId="61364C5F"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2942A4">
        <w:rPr>
          <w:rFonts w:asciiTheme="minorHAnsi" w:hAnsiTheme="minorHAnsi" w:cstheme="minorHAnsi"/>
          <w:szCs w:val="22"/>
        </w:rPr>
        <w:t>20 000</w:t>
      </w:r>
      <w:r w:rsidRPr="00A86E43">
        <w:rPr>
          <w:rFonts w:asciiTheme="minorHAnsi" w:hAnsiTheme="minorHAnsi" w:cstheme="minorHAnsi"/>
          <w:szCs w:val="22"/>
        </w:rPr>
        <w:t xml:space="preserve"> €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3" w:name="_Toc126921981"/>
      <w:r w:rsidRPr="00A86E43">
        <w:rPr>
          <w:rFonts w:asciiTheme="minorHAnsi" w:hAnsiTheme="minorHAnsi"/>
          <w:sz w:val="22"/>
        </w:rPr>
        <w:t>Modalités de paiement</w:t>
      </w:r>
      <w:bookmarkEnd w:id="23"/>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w:t>
      </w:r>
      <w:r w:rsidRPr="00A86E43">
        <w:rPr>
          <w:rFonts w:asciiTheme="minorHAnsi" w:hAnsiTheme="minorHAnsi" w:cs="Arial"/>
          <w:szCs w:val="22"/>
        </w:rPr>
        <w:lastRenderedPageBreak/>
        <w:t xml:space="preserve">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07C77316"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2942A4">
        <w:rPr>
          <w:rFonts w:asciiTheme="minorHAnsi" w:hAnsiTheme="minorHAnsi" w:cs="Arial"/>
          <w:szCs w:val="22"/>
        </w:rPr>
        <w:t xml:space="preserve"> du contrat</w:t>
      </w:r>
      <w:r w:rsidRPr="00A86E43">
        <w:rPr>
          <w:rFonts w:asciiTheme="minorHAnsi" w:hAnsiTheme="minorHAnsi" w:cs="Arial"/>
          <w:szCs w:val="22"/>
        </w:rPr>
        <w:t>.</w:t>
      </w:r>
    </w:p>
    <w:p w14:paraId="2C904E7F" w14:textId="7468059D" w:rsidR="0089576F" w:rsidRDefault="007B473C" w:rsidP="002942A4">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w:t>
      </w:r>
      <w:r w:rsidR="002942A4">
        <w:rPr>
          <w:rFonts w:asciiTheme="minorHAnsi" w:hAnsiTheme="minorHAnsi" w:cs="Arial"/>
          <w:szCs w:val="22"/>
        </w:rPr>
        <w:t>idéré.</w:t>
      </w:r>
      <w:r w:rsidR="0089576F">
        <w:rPr>
          <w:rFonts w:asciiTheme="minorHAnsi" w:hAnsiTheme="minorHAnsi" w:cs="Arial"/>
          <w:szCs w:val="22"/>
        </w:rPr>
        <w:br w:type="page"/>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126921983"/>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20019A0D" w:rsidR="0007670D" w:rsidRPr="00A86E43" w:rsidRDefault="002942A4"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0BDE6C04"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373A57"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126921984"/>
      <w:bookmarkStart w:id="27" w:name="_Toc344300189"/>
      <w:bookmarkEnd w:id="21"/>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126921986"/>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4AD254FE" w14:textId="078BB0FC" w:rsidR="00D00B3A" w:rsidRPr="00A86E43" w:rsidRDefault="00373A57"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w:t>
      </w:r>
      <w:r w:rsidR="00F766D6" w:rsidRPr="00A86E43">
        <w:rPr>
          <w:rFonts w:asciiTheme="minorHAnsi" w:hAnsiTheme="minorHAnsi" w:cstheme="minorHAnsi"/>
          <w:szCs w:val="22"/>
        </w:rPr>
        <w:t xml:space="preserve"> </w:t>
      </w:r>
      <w:r w:rsidR="00127A5B" w:rsidRPr="00373A57">
        <w:rPr>
          <w:rFonts w:asciiTheme="minorHAnsi" w:hAnsiTheme="minorHAnsi" w:cstheme="minorHAnsi"/>
          <w:szCs w:val="22"/>
        </w:rPr>
        <w:t>C</w:t>
      </w:r>
      <w:r w:rsidR="00D00B3A" w:rsidRPr="00373A57">
        <w:rPr>
          <w:rFonts w:asciiTheme="minorHAnsi" w:hAnsiTheme="minorHAnsi" w:cstheme="minorHAnsi"/>
          <w:szCs w:val="22"/>
        </w:rPr>
        <w:t>hargé</w:t>
      </w:r>
      <w:r w:rsidRPr="00373A57">
        <w:rPr>
          <w:rFonts w:asciiTheme="minorHAnsi" w:hAnsiTheme="minorHAnsi" w:cstheme="minorHAnsi"/>
          <w:szCs w:val="22"/>
        </w:rPr>
        <w:t>e</w:t>
      </w:r>
      <w:r>
        <w:rPr>
          <w:rFonts w:asciiTheme="minorHAnsi" w:hAnsiTheme="minorHAnsi" w:cstheme="minorHAnsi"/>
          <w:szCs w:val="22"/>
        </w:rPr>
        <w:t xml:space="preserve"> de projet ;</w:t>
      </w:r>
    </w:p>
    <w:p w14:paraId="02136460" w14:textId="12264065" w:rsidR="00F766D6" w:rsidRPr="00A86E43" w:rsidRDefault="00373A57"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L’Assistant Technique du </w:t>
      </w:r>
      <w:r w:rsidR="00F766D6" w:rsidRPr="00373A57">
        <w:rPr>
          <w:rFonts w:asciiTheme="minorHAnsi" w:hAnsiTheme="minorHAnsi" w:cstheme="minorHAnsi"/>
          <w:szCs w:val="22"/>
        </w:rPr>
        <w:t>projet</w:t>
      </w:r>
      <w:r>
        <w:rPr>
          <w:rFonts w:asciiTheme="minorHAnsi" w:hAnsiTheme="minorHAnsi" w:cstheme="minorHAnsi"/>
          <w:szCs w:val="22"/>
        </w:rPr>
        <w:t>.</w:t>
      </w:r>
    </w:p>
    <w:p w14:paraId="3CFE7105" w14:textId="0B25EFD9" w:rsidR="00F766D6" w:rsidRPr="00A86E43" w:rsidRDefault="00F766D6" w:rsidP="00A1761D">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126921989"/>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w:t>
      </w:r>
      <w:bookmarkEnd w:id="37"/>
    </w:p>
    <w:p w14:paraId="0842A4DD" w14:textId="7777777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66BDC15D" w14:textId="1258AAFF" w:rsidR="00373A57" w:rsidRPr="00A86E43" w:rsidRDefault="00373A57" w:rsidP="00373A57">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 ;</w:t>
      </w:r>
    </w:p>
    <w:p w14:paraId="18AFEC9F" w14:textId="4A7FC8A8" w:rsidR="00373A57" w:rsidRPr="00A86E43" w:rsidRDefault="00373A57" w:rsidP="00373A57">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Coordinatrice d’Unité.</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5C8AF6BC" w:rsidR="000A6914" w:rsidRDefault="000A6914" w:rsidP="000A6914">
      <w:pPr>
        <w:pStyle w:val="Titre2"/>
        <w:spacing w:before="120" w:after="60"/>
        <w:rPr>
          <w:rFonts w:asciiTheme="minorHAnsi" w:hAnsiTheme="minorHAnsi" w:cstheme="minorHAnsi"/>
          <w:sz w:val="22"/>
          <w:szCs w:val="22"/>
        </w:rPr>
      </w:pPr>
      <w:bookmarkStart w:id="39" w:name="_Toc126921991"/>
      <w:bookmarkStart w:id="40" w:name="_Toc392669643"/>
      <w:r w:rsidRPr="00A86E43">
        <w:rPr>
          <w:rFonts w:asciiTheme="minorHAnsi" w:hAnsiTheme="minorHAnsi" w:cstheme="minorHAnsi"/>
          <w:sz w:val="22"/>
          <w:szCs w:val="22"/>
        </w:rPr>
        <w:t>Tableau des livrables</w:t>
      </w:r>
      <w:bookmarkEnd w:id="39"/>
    </w:p>
    <w:tbl>
      <w:tblPr>
        <w:tblStyle w:val="Grilledutableau1"/>
        <w:tblW w:w="10060" w:type="dxa"/>
        <w:jc w:val="center"/>
        <w:tblLook w:val="04A0" w:firstRow="1" w:lastRow="0" w:firstColumn="1" w:lastColumn="0" w:noHBand="0" w:noVBand="1"/>
      </w:tblPr>
      <w:tblGrid>
        <w:gridCol w:w="4248"/>
        <w:gridCol w:w="5812"/>
      </w:tblGrid>
      <w:tr w:rsidR="00E35241" w:rsidRPr="00B35977" w14:paraId="631B6527" w14:textId="77777777" w:rsidTr="00B106DB">
        <w:trPr>
          <w:trHeight w:val="288"/>
          <w:jc w:val="center"/>
        </w:trPr>
        <w:tc>
          <w:tcPr>
            <w:tcW w:w="4248" w:type="dxa"/>
            <w:tcBorders>
              <w:bottom w:val="nil"/>
            </w:tcBorders>
            <w:shd w:val="clear" w:color="auto" w:fill="D9D9D9" w:themeFill="background1" w:themeFillShade="D9"/>
            <w:vAlign w:val="center"/>
          </w:tcPr>
          <w:p w14:paraId="72AFEEE0" w14:textId="77777777" w:rsidR="00E35241" w:rsidRPr="00B35977" w:rsidRDefault="00E35241" w:rsidP="00B106DB">
            <w:pPr>
              <w:jc w:val="center"/>
              <w:rPr>
                <w:rFonts w:eastAsia="Times New Roman" w:cs="Times New Roman"/>
                <w:b/>
                <w:lang w:eastAsia="fr-FR"/>
              </w:rPr>
            </w:pPr>
            <w:r>
              <w:rPr>
                <w:rFonts w:eastAsia="Times New Roman" w:cs="Times New Roman"/>
                <w:b/>
                <w:lang w:eastAsia="fr-FR"/>
              </w:rPr>
              <w:t xml:space="preserve">Phase </w:t>
            </w:r>
          </w:p>
        </w:tc>
        <w:tc>
          <w:tcPr>
            <w:tcW w:w="5812" w:type="dxa"/>
            <w:vMerge w:val="restart"/>
            <w:shd w:val="clear" w:color="auto" w:fill="D9D9D9" w:themeFill="background1" w:themeFillShade="D9"/>
            <w:vAlign w:val="center"/>
          </w:tcPr>
          <w:p w14:paraId="626BF824" w14:textId="77777777" w:rsidR="00E35241" w:rsidRPr="00B35977" w:rsidRDefault="00E35241" w:rsidP="00B106DB">
            <w:pPr>
              <w:jc w:val="center"/>
              <w:rPr>
                <w:b/>
              </w:rPr>
            </w:pPr>
            <w:r>
              <w:rPr>
                <w:b/>
              </w:rPr>
              <w:t>Livrable</w:t>
            </w:r>
          </w:p>
        </w:tc>
      </w:tr>
      <w:tr w:rsidR="00E35241" w:rsidRPr="00B35977" w14:paraId="3BF20CB7" w14:textId="77777777" w:rsidTr="00B106DB">
        <w:trPr>
          <w:trHeight w:val="81"/>
          <w:jc w:val="center"/>
        </w:trPr>
        <w:tc>
          <w:tcPr>
            <w:tcW w:w="4248" w:type="dxa"/>
            <w:tcBorders>
              <w:top w:val="nil"/>
            </w:tcBorders>
            <w:shd w:val="clear" w:color="auto" w:fill="D9D9D9" w:themeFill="background1" w:themeFillShade="D9"/>
            <w:vAlign w:val="center"/>
          </w:tcPr>
          <w:p w14:paraId="2D046E79" w14:textId="77777777" w:rsidR="00E35241" w:rsidRPr="00B35977" w:rsidRDefault="00E35241" w:rsidP="00B106DB"/>
        </w:tc>
        <w:tc>
          <w:tcPr>
            <w:tcW w:w="5812" w:type="dxa"/>
            <w:vMerge/>
            <w:shd w:val="clear" w:color="auto" w:fill="D9D9D9" w:themeFill="background1" w:themeFillShade="D9"/>
            <w:vAlign w:val="center"/>
          </w:tcPr>
          <w:p w14:paraId="1E0EE19D" w14:textId="77777777" w:rsidR="00E35241" w:rsidRPr="00B35977" w:rsidRDefault="00E35241" w:rsidP="00B106DB">
            <w:pPr>
              <w:spacing w:line="276" w:lineRule="auto"/>
              <w:jc w:val="center"/>
            </w:pPr>
          </w:p>
        </w:tc>
      </w:tr>
      <w:tr w:rsidR="00E35241" w:rsidRPr="00B35977" w14:paraId="559B128A" w14:textId="77777777" w:rsidTr="00B106DB">
        <w:trPr>
          <w:jc w:val="center"/>
        </w:trPr>
        <w:tc>
          <w:tcPr>
            <w:tcW w:w="4248" w:type="dxa"/>
            <w:vAlign w:val="center"/>
          </w:tcPr>
          <w:p w14:paraId="4FDEA9A9" w14:textId="77777777" w:rsidR="00E35241" w:rsidRPr="00F1158D" w:rsidRDefault="00E35241" w:rsidP="00B106DB">
            <w:pPr>
              <w:ind w:left="22" w:hanging="22"/>
              <w:jc w:val="both"/>
              <w:rPr>
                <w:b/>
                <w:bCs/>
              </w:rPr>
            </w:pPr>
            <w:r w:rsidRPr="00605349">
              <w:rPr>
                <w:b/>
                <w:bCs/>
              </w:rPr>
              <w:t>Phase 0 : cadrage &amp; préparation</w:t>
            </w:r>
            <w:r>
              <w:t xml:space="preserve"> </w:t>
            </w:r>
            <w:r w:rsidRPr="00B35977">
              <w:t xml:space="preserve">  </w:t>
            </w:r>
          </w:p>
        </w:tc>
        <w:tc>
          <w:tcPr>
            <w:tcW w:w="5812" w:type="dxa"/>
            <w:vAlign w:val="center"/>
          </w:tcPr>
          <w:p w14:paraId="2C1FA8CA" w14:textId="77777777" w:rsidR="00E35241" w:rsidRPr="00B35977" w:rsidRDefault="00E35241" w:rsidP="00B106DB">
            <w:pPr>
              <w:jc w:val="center"/>
            </w:pPr>
            <w:r>
              <w:t xml:space="preserve">Compte rendu de la réunion &amp; Offre technique détaillée </w:t>
            </w:r>
          </w:p>
        </w:tc>
      </w:tr>
      <w:tr w:rsidR="00E35241" w:rsidRPr="00B35977" w14:paraId="224AFE99" w14:textId="77777777" w:rsidTr="00B106DB">
        <w:trPr>
          <w:jc w:val="center"/>
        </w:trPr>
        <w:tc>
          <w:tcPr>
            <w:tcW w:w="4248" w:type="dxa"/>
            <w:vAlign w:val="center"/>
          </w:tcPr>
          <w:p w14:paraId="39232B13" w14:textId="77777777" w:rsidR="00E35241" w:rsidRPr="00F1158D" w:rsidRDefault="00E35241" w:rsidP="00B106DB">
            <w:pPr>
              <w:ind w:left="22" w:hanging="22"/>
              <w:jc w:val="both"/>
              <w:rPr>
                <w:b/>
                <w:bCs/>
              </w:rPr>
            </w:pPr>
            <w:r>
              <w:rPr>
                <w:b/>
                <w:bCs/>
              </w:rPr>
              <w:t>Phase 1</w:t>
            </w:r>
            <w:r w:rsidRPr="00B85176">
              <w:rPr>
                <w:b/>
                <w:bCs/>
              </w:rPr>
              <w:t xml:space="preserve"> : </w:t>
            </w:r>
            <w:r>
              <w:rPr>
                <w:b/>
                <w:bCs/>
              </w:rPr>
              <w:t xml:space="preserve">Analyse de la méthodologie </w:t>
            </w:r>
          </w:p>
        </w:tc>
        <w:tc>
          <w:tcPr>
            <w:tcW w:w="5812" w:type="dxa"/>
            <w:vAlign w:val="center"/>
          </w:tcPr>
          <w:p w14:paraId="153843CF" w14:textId="77777777" w:rsidR="00E35241" w:rsidRPr="00F66D21" w:rsidRDefault="00E35241" w:rsidP="00E35241">
            <w:pPr>
              <w:pStyle w:val="Paragraphedeliste"/>
              <w:numPr>
                <w:ilvl w:val="0"/>
                <w:numId w:val="66"/>
              </w:numPr>
              <w:spacing w:line="240" w:lineRule="auto"/>
              <w:ind w:left="312"/>
              <w:jc w:val="both"/>
            </w:pPr>
            <w:r w:rsidRPr="00033266">
              <w:t xml:space="preserve">Rapport d’accompagnement à </w:t>
            </w:r>
            <w:r w:rsidRPr="00F66D21">
              <w:t>l’opérationnalisation de la méthodologie</w:t>
            </w:r>
          </w:p>
          <w:p w14:paraId="2A8E0FC0" w14:textId="77777777" w:rsidR="00E35241" w:rsidRPr="00F66D21" w:rsidRDefault="00E35241" w:rsidP="00E35241">
            <w:pPr>
              <w:pStyle w:val="Paragraphedeliste"/>
              <w:numPr>
                <w:ilvl w:val="0"/>
                <w:numId w:val="66"/>
              </w:numPr>
              <w:spacing w:line="240" w:lineRule="auto"/>
              <w:ind w:left="312"/>
              <w:jc w:val="both"/>
            </w:pPr>
            <w:r w:rsidRPr="00F66D21">
              <w:t>Projet d’une nouvelle instruction sur l’établissement du bilan définitif des travaux de reboisement (révision de l’instruction n° 3554 du 21.08.1984), y compris l’élaboration des canevas et modèles de tableau à suivre pour l’élaboration des rapports des bilans définitifs par les DRANEF</w:t>
            </w:r>
          </w:p>
          <w:p w14:paraId="26FF1164" w14:textId="77777777" w:rsidR="00E35241" w:rsidRPr="00B35977" w:rsidRDefault="00E35241" w:rsidP="00E35241">
            <w:pPr>
              <w:pStyle w:val="Paragraphedeliste"/>
              <w:numPr>
                <w:ilvl w:val="0"/>
                <w:numId w:val="66"/>
              </w:numPr>
              <w:spacing w:line="240" w:lineRule="auto"/>
              <w:ind w:left="312"/>
              <w:jc w:val="both"/>
            </w:pPr>
            <w:r w:rsidRPr="00F66D21">
              <w:t xml:space="preserve">Document de vulgarisation de la méthodologie incluant le guide d'application pratique et </w:t>
            </w:r>
            <w:r>
              <w:t xml:space="preserve">un </w:t>
            </w:r>
            <w:r w:rsidRPr="00033266">
              <w:t>glossaire</w:t>
            </w:r>
          </w:p>
        </w:tc>
      </w:tr>
      <w:tr w:rsidR="00E35241" w:rsidRPr="00B35977" w14:paraId="04FD86AD" w14:textId="77777777" w:rsidTr="00B106DB">
        <w:trPr>
          <w:jc w:val="center"/>
        </w:trPr>
        <w:tc>
          <w:tcPr>
            <w:tcW w:w="4248" w:type="dxa"/>
            <w:vAlign w:val="center"/>
          </w:tcPr>
          <w:p w14:paraId="3216022F" w14:textId="77777777" w:rsidR="00E35241" w:rsidRPr="00B85176" w:rsidRDefault="00E35241" w:rsidP="00B106DB">
            <w:pPr>
              <w:ind w:left="22" w:hanging="22"/>
              <w:jc w:val="both"/>
              <w:rPr>
                <w:b/>
                <w:bCs/>
              </w:rPr>
            </w:pPr>
            <w:r w:rsidRPr="00605349">
              <w:rPr>
                <w:b/>
                <w:bCs/>
              </w:rPr>
              <w:lastRenderedPageBreak/>
              <w:t>Phase 2 : Digitalisation du processus de déroulement de la méthodologie d’échantillonnage</w:t>
            </w:r>
          </w:p>
        </w:tc>
        <w:tc>
          <w:tcPr>
            <w:tcW w:w="5812" w:type="dxa"/>
            <w:vAlign w:val="center"/>
          </w:tcPr>
          <w:p w14:paraId="115E8D4F" w14:textId="77777777" w:rsidR="00E35241" w:rsidRDefault="00E35241" w:rsidP="00E35241">
            <w:pPr>
              <w:pStyle w:val="Paragraphedeliste"/>
              <w:numPr>
                <w:ilvl w:val="0"/>
                <w:numId w:val="66"/>
              </w:numPr>
              <w:spacing w:line="240" w:lineRule="auto"/>
              <w:ind w:left="312"/>
              <w:jc w:val="both"/>
            </w:pPr>
            <w:r>
              <w:t>A</w:t>
            </w:r>
            <w:r w:rsidRPr="00117B0A">
              <w:t>pplications développées</w:t>
            </w:r>
            <w:r>
              <w:t xml:space="preserve"> fonctionnelles (l’intégralité des fichiers, des codes…) ;</w:t>
            </w:r>
          </w:p>
          <w:p w14:paraId="735FC712" w14:textId="77777777" w:rsidR="00E35241" w:rsidRPr="000C782E" w:rsidRDefault="00E35241" w:rsidP="00E35241">
            <w:pPr>
              <w:pStyle w:val="Paragraphedeliste"/>
              <w:numPr>
                <w:ilvl w:val="0"/>
                <w:numId w:val="66"/>
              </w:numPr>
              <w:spacing w:line="240" w:lineRule="auto"/>
              <w:ind w:left="312"/>
              <w:jc w:val="both"/>
            </w:pPr>
            <w:r w:rsidRPr="000C782E">
              <w:t>Liaison des applications développées dans le cadre de la présente consultation avec le progiciel Spatial Intégré PSI-Biologique de l’ANEF</w:t>
            </w:r>
          </w:p>
          <w:p w14:paraId="3C64E04C" w14:textId="77777777" w:rsidR="00E35241" w:rsidRPr="00B35977" w:rsidRDefault="00E35241" w:rsidP="00E35241">
            <w:pPr>
              <w:pStyle w:val="Paragraphedeliste"/>
              <w:numPr>
                <w:ilvl w:val="0"/>
                <w:numId w:val="66"/>
              </w:numPr>
              <w:spacing w:line="240" w:lineRule="auto"/>
              <w:ind w:left="312"/>
              <w:jc w:val="both"/>
            </w:pPr>
            <w:r>
              <w:t>Guide d’utilisation</w:t>
            </w:r>
          </w:p>
        </w:tc>
      </w:tr>
      <w:tr w:rsidR="00E35241" w:rsidRPr="00B35977" w14:paraId="514CE934" w14:textId="77777777" w:rsidTr="00B106DB">
        <w:trPr>
          <w:jc w:val="center"/>
        </w:trPr>
        <w:tc>
          <w:tcPr>
            <w:tcW w:w="4248" w:type="dxa"/>
            <w:vAlign w:val="center"/>
          </w:tcPr>
          <w:p w14:paraId="0D243DC5" w14:textId="77777777" w:rsidR="00E35241" w:rsidRPr="00B85176" w:rsidRDefault="00E35241" w:rsidP="00B106DB">
            <w:pPr>
              <w:ind w:left="22" w:hanging="22"/>
              <w:jc w:val="both"/>
              <w:rPr>
                <w:b/>
                <w:bCs/>
              </w:rPr>
            </w:pPr>
            <w:r w:rsidRPr="00605349">
              <w:rPr>
                <w:b/>
                <w:bCs/>
              </w:rPr>
              <w:t>Phase 3 : Formation </w:t>
            </w:r>
          </w:p>
        </w:tc>
        <w:tc>
          <w:tcPr>
            <w:tcW w:w="5812" w:type="dxa"/>
            <w:vAlign w:val="center"/>
          </w:tcPr>
          <w:p w14:paraId="42625468" w14:textId="77777777" w:rsidR="00E35241" w:rsidRPr="00B35977" w:rsidRDefault="00E35241" w:rsidP="00E35241">
            <w:pPr>
              <w:pStyle w:val="Paragraphedeliste"/>
              <w:numPr>
                <w:ilvl w:val="0"/>
                <w:numId w:val="66"/>
              </w:numPr>
              <w:spacing w:line="240" w:lineRule="auto"/>
              <w:ind w:left="312"/>
              <w:jc w:val="both"/>
            </w:pPr>
            <w:r>
              <w:t xml:space="preserve">Rapport de formation incluant résultats des évaluations réalisées </w:t>
            </w:r>
          </w:p>
        </w:tc>
      </w:tr>
      <w:tr w:rsidR="00E35241" w:rsidRPr="00B35977" w14:paraId="4A10CF15" w14:textId="77777777" w:rsidTr="00B106DB">
        <w:trPr>
          <w:jc w:val="center"/>
        </w:trPr>
        <w:tc>
          <w:tcPr>
            <w:tcW w:w="4248" w:type="dxa"/>
            <w:vAlign w:val="center"/>
          </w:tcPr>
          <w:p w14:paraId="0E9B5E6A" w14:textId="77777777" w:rsidR="00E35241" w:rsidRPr="002F2ABB" w:rsidRDefault="00E35241" w:rsidP="00B106DB">
            <w:pPr>
              <w:ind w:left="22" w:hanging="22"/>
              <w:jc w:val="both"/>
              <w:rPr>
                <w:b/>
                <w:bCs/>
                <w:color w:val="FF0000"/>
              </w:rPr>
            </w:pPr>
            <w:r w:rsidRPr="00605349">
              <w:rPr>
                <w:b/>
                <w:bCs/>
              </w:rPr>
              <w:t xml:space="preserve">Phase 4 : Accompagnement pour la réalisation de </w:t>
            </w:r>
            <w:r w:rsidRPr="00F66D21">
              <w:rPr>
                <w:b/>
                <w:bCs/>
              </w:rPr>
              <w:t>la première évaluation de campagne de reboisement</w:t>
            </w:r>
          </w:p>
        </w:tc>
        <w:tc>
          <w:tcPr>
            <w:tcW w:w="5812" w:type="dxa"/>
            <w:vAlign w:val="center"/>
          </w:tcPr>
          <w:p w14:paraId="7981B8E9" w14:textId="77777777" w:rsidR="00E35241" w:rsidRDefault="00E35241" w:rsidP="00E35241">
            <w:pPr>
              <w:pStyle w:val="Paragraphedeliste"/>
              <w:numPr>
                <w:ilvl w:val="0"/>
                <w:numId w:val="66"/>
              </w:numPr>
              <w:spacing w:line="240" w:lineRule="auto"/>
              <w:ind w:left="312"/>
              <w:jc w:val="both"/>
            </w:pPr>
            <w:r>
              <w:t xml:space="preserve">Document décrivant l’échantillon </w:t>
            </w:r>
          </w:p>
          <w:p w14:paraId="009FA986" w14:textId="77777777" w:rsidR="00E35241" w:rsidRPr="00117B0A" w:rsidRDefault="00E35241" w:rsidP="00E35241">
            <w:pPr>
              <w:pStyle w:val="Paragraphedeliste"/>
              <w:numPr>
                <w:ilvl w:val="0"/>
                <w:numId w:val="66"/>
              </w:numPr>
              <w:spacing w:line="240" w:lineRule="auto"/>
              <w:ind w:left="312"/>
              <w:jc w:val="both"/>
            </w:pPr>
            <w:r>
              <w:t xml:space="preserve">Base de données  </w:t>
            </w:r>
          </w:p>
          <w:p w14:paraId="08373C4B" w14:textId="77777777" w:rsidR="00E35241" w:rsidRPr="00117B0A" w:rsidRDefault="00E35241" w:rsidP="00E35241">
            <w:pPr>
              <w:pStyle w:val="Paragraphedeliste"/>
              <w:numPr>
                <w:ilvl w:val="0"/>
                <w:numId w:val="66"/>
              </w:numPr>
              <w:spacing w:line="240" w:lineRule="auto"/>
              <w:ind w:left="312"/>
              <w:jc w:val="both"/>
            </w:pPr>
            <w:r>
              <w:t xml:space="preserve">Rapport d’évaluation du taux de réussite </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1" w:name="_Toc392669644"/>
      <w:bookmarkStart w:id="42" w:name="_Toc392669642"/>
      <w:bookmarkStart w:id="43" w:name="_Toc126921992"/>
      <w:bookmarkEnd w:id="40"/>
      <w:r w:rsidRPr="00A86E43">
        <w:rPr>
          <w:rFonts w:asciiTheme="minorHAnsi" w:hAnsiTheme="minorHAnsi" w:cstheme="minorHAnsi"/>
          <w:sz w:val="22"/>
          <w:szCs w:val="22"/>
        </w:rPr>
        <w:t>Expert en charge de l’exécution de la mission</w:t>
      </w:r>
      <w:bookmarkEnd w:id="42"/>
      <w:bookmarkEnd w:id="43"/>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126921993"/>
      <w:r w:rsidRPr="00A86E43">
        <w:rPr>
          <w:rFonts w:asciiTheme="minorHAnsi" w:hAnsiTheme="minorHAnsi" w:cstheme="minorHAnsi"/>
          <w:sz w:val="22"/>
          <w:szCs w:val="22"/>
        </w:rPr>
        <w:t>Lieu d’exécution</w:t>
      </w:r>
      <w:bookmarkEnd w:id="41"/>
      <w:bookmarkEnd w:id="44"/>
    </w:p>
    <w:p w14:paraId="211EA0ED" w14:textId="7278B3B7"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35241">
        <w:rPr>
          <w:rFonts w:asciiTheme="minorHAnsi" w:hAnsiTheme="minorHAnsi" w:cstheme="minorHAnsi"/>
          <w:szCs w:val="22"/>
        </w:rPr>
        <w:t xml:space="preserve"> au Maroc.</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126921996"/>
      <w:bookmarkStart w:id="46" w:name="_Toc392669645"/>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126921997"/>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lastRenderedPageBreak/>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38305F98"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00E35241">
        <w:rPr>
          <w:rFonts w:asciiTheme="minorHAnsi" w:hAnsiTheme="minorHAnsi" w:cstheme="minorHAnsi"/>
          <w:szCs w:val="22"/>
        </w:rPr>
        <w:t xml:space="preserve"> </w:t>
      </w:r>
      <w:r w:rsidRPr="00A86E43">
        <w:rPr>
          <w:rFonts w:asciiTheme="minorHAnsi" w:hAnsiTheme="minorHAnsi" w:cstheme="minorHAnsi"/>
          <w:szCs w:val="22"/>
        </w:rPr>
        <w:t>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126921998"/>
      <w:r w:rsidRPr="00A86E43">
        <w:rPr>
          <w:rFonts w:asciiTheme="minorHAnsi" w:hAnsiTheme="minorHAnsi" w:cstheme="minorHAnsi"/>
          <w:sz w:val="22"/>
          <w:szCs w:val="22"/>
        </w:rPr>
        <w:t>Confidentialité</w:t>
      </w:r>
      <w:bookmarkEnd w:id="48"/>
      <w:bookmarkEnd w:id="49"/>
    </w:p>
    <w:p w14:paraId="02834DA2" w14:textId="3C7FD464"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65BE841F"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E35241">
        <w:rPr>
          <w:rFonts w:asciiTheme="minorHAnsi" w:hAnsiTheme="minorHAnsi" w:cstheme="minorHAnsi"/>
          <w:szCs w:val="22"/>
        </w:rPr>
        <w:t>prestations.</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126922000"/>
      <w:r w:rsidRPr="00A86E43">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126922001"/>
      <w:r w:rsidRPr="00A86E43">
        <w:rPr>
          <w:rFonts w:asciiTheme="minorHAnsi" w:hAnsiTheme="minorHAnsi" w:cstheme="minorHAnsi"/>
          <w:sz w:val="22"/>
          <w:szCs w:val="22"/>
        </w:rPr>
        <w:lastRenderedPageBreak/>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4D1CFB28" w:rsidR="00D07897" w:rsidRPr="00E35241" w:rsidRDefault="00E35241" w:rsidP="00B2733D">
            <w:pPr>
              <w:widowControl w:val="0"/>
              <w:numPr>
                <w:ilvl w:val="12"/>
                <w:numId w:val="0"/>
              </w:numPr>
              <w:spacing w:line="240" w:lineRule="auto"/>
              <w:jc w:val="both"/>
              <w:rPr>
                <w:rFonts w:asciiTheme="minorHAnsi" w:hAnsiTheme="minorHAnsi" w:cstheme="minorHAnsi"/>
                <w:sz w:val="22"/>
                <w:szCs w:val="22"/>
              </w:rPr>
            </w:pPr>
            <w:r w:rsidRPr="00E35241">
              <w:rPr>
                <w:rFonts w:asciiTheme="minorHAnsi" w:hAnsiTheme="minorHAnsi" w:cstheme="minorHAnsi"/>
                <w:sz w:val="22"/>
                <w:szCs w:val="22"/>
              </w:rPr>
              <w:t>Mathilde RICHELET</w:t>
            </w:r>
          </w:p>
          <w:p w14:paraId="38DD0932" w14:textId="14078BB2" w:rsidR="00D07897" w:rsidRPr="00E35241" w:rsidRDefault="00D07897" w:rsidP="00B2733D">
            <w:pPr>
              <w:widowControl w:val="0"/>
              <w:numPr>
                <w:ilvl w:val="12"/>
                <w:numId w:val="0"/>
              </w:numPr>
              <w:spacing w:line="240" w:lineRule="auto"/>
              <w:jc w:val="both"/>
              <w:rPr>
                <w:rFonts w:asciiTheme="minorHAnsi" w:hAnsiTheme="minorHAnsi" w:cstheme="minorHAnsi"/>
                <w:sz w:val="22"/>
                <w:szCs w:val="22"/>
              </w:rPr>
            </w:pPr>
            <w:r w:rsidRPr="00E35241">
              <w:rPr>
                <w:rFonts w:asciiTheme="minorHAnsi" w:hAnsiTheme="minorHAnsi" w:cstheme="minorHAnsi"/>
                <w:sz w:val="22"/>
                <w:szCs w:val="22"/>
              </w:rPr>
              <w:t xml:space="preserve">Département </w:t>
            </w:r>
            <w:r w:rsidR="00E35241" w:rsidRPr="00E35241">
              <w:rPr>
                <w:rFonts w:asciiTheme="minorHAnsi" w:hAnsiTheme="minorHAnsi" w:cstheme="minorHAnsi"/>
                <w:sz w:val="22"/>
                <w:szCs w:val="22"/>
              </w:rPr>
              <w:t>Développement Durable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7" w:name="_Toc126922002"/>
      <w:r>
        <w:rPr>
          <w:rFonts w:asciiTheme="minorHAnsi" w:hAnsiTheme="minorHAnsi" w:cstheme="minorHAnsi"/>
          <w:sz w:val="22"/>
          <w:szCs w:val="22"/>
        </w:rPr>
        <w:t>Engagement contre la déforestation</w:t>
      </w:r>
      <w:bookmarkEnd w:id="57"/>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26922003"/>
      <w:r w:rsidRPr="00A86E43">
        <w:rPr>
          <w:rFonts w:asciiTheme="minorHAnsi" w:hAnsiTheme="minorHAnsi"/>
          <w:b/>
          <w:caps/>
          <w:sz w:val="24"/>
          <w:u w:val="single"/>
        </w:rPr>
        <w:lastRenderedPageBreak/>
        <w:t>Clause de réexamen</w:t>
      </w:r>
      <w:bookmarkEnd w:id="58"/>
    </w:p>
    <w:p w14:paraId="6F15382F" w14:textId="77777777" w:rsidR="009766DB" w:rsidRPr="00E35241"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w:t>
      </w:r>
      <w:r w:rsidRPr="00E35241">
        <w:rPr>
          <w:rFonts w:asciiTheme="minorHAnsi" w:hAnsiTheme="minorHAnsi" w:cs="Arial"/>
          <w:szCs w:val="22"/>
        </w:rPr>
        <w:t xml:space="preserve">dispositions du présent contrat dans les conditions suivantes : </w:t>
      </w:r>
    </w:p>
    <w:p w14:paraId="14FF8CBF" w14:textId="193EB597" w:rsidR="009766DB" w:rsidRPr="00E35241" w:rsidRDefault="009766DB" w:rsidP="0089576F">
      <w:pPr>
        <w:pStyle w:val="u"/>
        <w:widowControl w:val="0"/>
        <w:numPr>
          <w:ilvl w:val="0"/>
          <w:numId w:val="51"/>
        </w:numPr>
        <w:spacing w:before="120"/>
        <w:rPr>
          <w:rFonts w:asciiTheme="minorHAnsi" w:hAnsiTheme="minorHAnsi" w:cs="Arial"/>
          <w:szCs w:val="22"/>
        </w:rPr>
      </w:pPr>
      <w:r w:rsidRPr="00E35241">
        <w:rPr>
          <w:rFonts w:asciiTheme="minorHAnsi" w:hAnsiTheme="minorHAnsi" w:cs="Arial"/>
          <w:szCs w:val="22"/>
        </w:rPr>
        <w:t>E</w:t>
      </w:r>
      <w:r w:rsidR="00E35241" w:rsidRPr="00E35241">
        <w:rPr>
          <w:rFonts w:asciiTheme="minorHAnsi" w:hAnsiTheme="minorHAnsi" w:cs="Arial"/>
          <w:szCs w:val="22"/>
        </w:rPr>
        <w:t>xemple</w:t>
      </w:r>
      <w:r w:rsidRPr="00E35241">
        <w:rPr>
          <w:rFonts w:asciiTheme="minorHAnsi" w:hAnsiTheme="minorHAnsi" w:cs="Arial"/>
          <w:szCs w:val="22"/>
        </w:rPr>
        <w:t xml:space="preserve"> : La mise à jour d’éléments techniques (précisions sur les livrables, définition techniques fabricants, fiches techniques mat</w:t>
      </w:r>
      <w:r w:rsidR="00E35241" w:rsidRPr="00E35241">
        <w:rPr>
          <w:rFonts w:asciiTheme="minorHAnsi" w:hAnsiTheme="minorHAnsi" w:cs="Arial"/>
          <w:szCs w:val="22"/>
        </w:rPr>
        <w:t>ériels, évolution des notices…)</w:t>
      </w:r>
      <w:r w:rsidRPr="00E35241">
        <w:rPr>
          <w:rFonts w:asciiTheme="minorHAnsi" w:hAnsiTheme="minorHAnsi" w:cs="Arial"/>
          <w:szCs w:val="22"/>
        </w:rPr>
        <w:t>.</w:t>
      </w:r>
    </w:p>
    <w:p w14:paraId="2AC74079" w14:textId="220A96E4" w:rsidR="006E576B" w:rsidRDefault="009766DB" w:rsidP="00C64382">
      <w:pPr>
        <w:pStyle w:val="u"/>
        <w:widowControl w:val="0"/>
        <w:numPr>
          <w:ilvl w:val="12"/>
          <w:numId w:val="0"/>
        </w:numPr>
        <w:spacing w:before="120"/>
        <w:ind w:left="561"/>
        <w:rPr>
          <w:rFonts w:asciiTheme="minorHAnsi" w:hAnsiTheme="minorHAnsi" w:cs="Arial"/>
          <w:szCs w:val="22"/>
        </w:rPr>
      </w:pPr>
      <w:r w:rsidRPr="00E35241">
        <w:rPr>
          <w:rFonts w:asciiTheme="minorHAnsi" w:hAnsiTheme="minorHAnsi" w:cs="Arial"/>
          <w:szCs w:val="22"/>
        </w:rPr>
        <w:t>Ces modifications sont notifiées au</w:t>
      </w:r>
      <w:r w:rsidRPr="00A86E43">
        <w:rPr>
          <w:rFonts w:asciiTheme="minorHAnsi" w:hAnsiTheme="minorHAnsi" w:cs="Arial"/>
          <w:szCs w:val="22"/>
        </w:rPr>
        <w:t xml:space="preserve"> </w:t>
      </w:r>
      <w:r w:rsidR="00100109" w:rsidRPr="003A0706">
        <w:rPr>
          <w:rFonts w:asciiTheme="minorHAnsi" w:hAnsiTheme="minorHAnsi" w:cs="Arial"/>
          <w:smallCaps/>
          <w:szCs w:val="22"/>
        </w:rPr>
        <w:t>Contractant</w:t>
      </w:r>
      <w:r w:rsidR="00E35241">
        <w:rPr>
          <w:rFonts w:asciiTheme="minorHAnsi" w:hAnsiTheme="minorHAnsi" w:cs="Arial"/>
          <w:szCs w:val="22"/>
        </w:rPr>
        <w:t>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w:t>
      </w:r>
      <w:r w:rsidR="00E35241">
        <w:rPr>
          <w:rFonts w:asciiTheme="minorHAnsi" w:hAnsiTheme="minorHAnsi" w:cs="Arial"/>
          <w:szCs w:val="22"/>
        </w:rPr>
        <w:t>tir la traçabilité des échanges</w:t>
      </w:r>
      <w:r w:rsidRPr="00A86E43">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9"/>
      <w:bookmarkEnd w:id="60"/>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1"/>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2"/>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3"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3"/>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4"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4"/>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5" w:name="_Toc126922009"/>
      <w:bookmarkStart w:id="66" w:name="_Toc392669651"/>
      <w:r w:rsidRPr="00A86E43">
        <w:rPr>
          <w:rFonts w:asciiTheme="minorHAnsi" w:hAnsiTheme="minorHAnsi"/>
          <w:sz w:val="22"/>
          <w:szCs w:val="22"/>
        </w:rPr>
        <w:t>Définitions</w:t>
      </w:r>
      <w:bookmarkEnd w:id="65"/>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7" w:name="_Toc126922010"/>
      <w:r w:rsidRPr="00A86E43">
        <w:rPr>
          <w:rFonts w:asciiTheme="minorHAnsi" w:hAnsiTheme="minorHAnsi"/>
          <w:sz w:val="22"/>
          <w:szCs w:val="22"/>
        </w:rPr>
        <w:lastRenderedPageBreak/>
        <w:t>Propriété des résultats</w:t>
      </w:r>
      <w:bookmarkEnd w:id="67"/>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8" w:name="_Toc126922011"/>
      <w:r w:rsidRPr="00A86E43">
        <w:rPr>
          <w:rFonts w:asciiTheme="minorHAnsi" w:hAnsiTheme="minorHAnsi"/>
          <w:sz w:val="22"/>
          <w:szCs w:val="22"/>
        </w:rPr>
        <w:t>Exploitation des résultats</w:t>
      </w:r>
      <w:bookmarkEnd w:id="68"/>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9"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9"/>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lastRenderedPageBreak/>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0" w:name="_Toc126922013"/>
      <w:r w:rsidRPr="00A86E43">
        <w:rPr>
          <w:rFonts w:asciiTheme="minorHAnsi" w:hAnsiTheme="minorHAnsi"/>
          <w:sz w:val="22"/>
          <w:szCs w:val="22"/>
        </w:rPr>
        <w:t>Garanties</w:t>
      </w:r>
      <w:bookmarkEnd w:id="70"/>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1" w:name="_Toc126922014"/>
      <w:r w:rsidRPr="00A86E43">
        <w:rPr>
          <w:rFonts w:asciiTheme="minorHAnsi" w:hAnsiTheme="minorHAnsi"/>
          <w:sz w:val="22"/>
          <w:szCs w:val="22"/>
        </w:rPr>
        <w:t>Droits à l’image</w:t>
      </w:r>
      <w:bookmarkEnd w:id="71"/>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126922015"/>
      <w:bookmarkEnd w:id="66"/>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2"/>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6"/>
      <w:r w:rsidRPr="00A86E43">
        <w:rPr>
          <w:rFonts w:asciiTheme="minorHAnsi" w:hAnsiTheme="minorHAnsi" w:cstheme="minorHAnsi"/>
          <w:sz w:val="22"/>
          <w:szCs w:val="22"/>
        </w:rPr>
        <w:t>Modalités générales de résiliation</w:t>
      </w:r>
      <w:bookmarkEnd w:id="73"/>
    </w:p>
    <w:p w14:paraId="1D7F1F4E" w14:textId="00625E23" w:rsidR="0000635E" w:rsidRDefault="0000635E" w:rsidP="00A1761D">
      <w:pPr>
        <w:spacing w:line="240" w:lineRule="auto"/>
        <w:ind w:left="567"/>
        <w:jc w:val="both"/>
        <w:rPr>
          <w:rFonts w:asciiTheme="minorHAnsi" w:hAnsiTheme="minorHAnsi" w:cstheme="minorHAnsi"/>
          <w:sz w:val="22"/>
          <w:szCs w:val="22"/>
        </w:rPr>
      </w:pPr>
      <w:r w:rsidRPr="00E35241">
        <w:rPr>
          <w:rFonts w:asciiTheme="minorHAnsi" w:hAnsiTheme="minorHAnsi" w:cstheme="minorHAnsi"/>
          <w:sz w:val="22"/>
          <w:szCs w:val="22"/>
        </w:rPr>
        <w:t>Le présent contrat est soumis aux clauses de résiliation telle que défini</w:t>
      </w:r>
      <w:r w:rsidR="00884FDC" w:rsidRPr="00E35241">
        <w:rPr>
          <w:rFonts w:asciiTheme="minorHAnsi" w:hAnsiTheme="minorHAnsi" w:cstheme="minorHAnsi"/>
          <w:sz w:val="22"/>
          <w:szCs w:val="22"/>
        </w:rPr>
        <w:t>es aux articles 29 à 36 du CCAG</w:t>
      </w:r>
      <w:r w:rsidR="00B813FE" w:rsidRPr="00E35241">
        <w:rPr>
          <w:rFonts w:asciiTheme="minorHAnsi" w:hAnsiTheme="minorHAnsi" w:cstheme="minorHAnsi"/>
          <w:sz w:val="22"/>
          <w:szCs w:val="22"/>
        </w:rPr>
        <w:t xml:space="preserve"> FCS/TIC/PI</w:t>
      </w:r>
      <w:r w:rsidRPr="00E35241">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4"/>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5" w:name="_Toc126922018"/>
      <w:r w:rsidRPr="00A86E43">
        <w:rPr>
          <w:rFonts w:asciiTheme="minorHAnsi" w:hAnsiTheme="minorHAnsi" w:cstheme="minorHAnsi"/>
          <w:sz w:val="22"/>
          <w:szCs w:val="22"/>
        </w:rPr>
        <w:t>Procédure</w:t>
      </w:r>
      <w:bookmarkEnd w:id="75"/>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19"/>
      <w:r w:rsidR="00386EE8" w:rsidRPr="00E41C9A">
        <w:rPr>
          <w:rFonts w:asciiTheme="minorHAnsi" w:hAnsiTheme="minorHAnsi"/>
          <w:b/>
          <w:caps/>
          <w:sz w:val="24"/>
          <w:u w:val="single"/>
        </w:rPr>
        <w:t>Mesures et responsabilités en matière de sûreté et de sécurité</w:t>
      </w:r>
      <w:bookmarkEnd w:id="76"/>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7" w:name="_Toc536531735"/>
      <w:r w:rsidRPr="00671390">
        <w:rPr>
          <w:rFonts w:ascii="Calibri" w:eastAsia="Times New Roman" w:hAnsi="Calibri"/>
          <w:sz w:val="22"/>
        </w:rPr>
        <w:lastRenderedPageBreak/>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7"/>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8" w:name="_Toc126922020"/>
      <w:r w:rsidRPr="00A86E43">
        <w:rPr>
          <w:rFonts w:asciiTheme="minorHAnsi" w:hAnsiTheme="minorHAnsi"/>
          <w:b/>
          <w:caps/>
          <w:sz w:val="24"/>
          <w:u w:val="single"/>
        </w:rPr>
        <w:t>Éthique</w:t>
      </w:r>
      <w:bookmarkEnd w:id="78"/>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9"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9"/>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0857"/>
      <w:bookmarkStart w:id="81" w:name="_Toc70410991"/>
      <w:bookmarkStart w:id="82" w:name="_Toc70411545"/>
      <w:bookmarkStart w:id="83" w:name="_Toc70410858"/>
      <w:bookmarkStart w:id="84" w:name="_Toc70410992"/>
      <w:bookmarkStart w:id="85" w:name="_Toc70411546"/>
      <w:bookmarkStart w:id="86" w:name="_Toc70410859"/>
      <w:bookmarkStart w:id="87" w:name="_Toc70410993"/>
      <w:bookmarkStart w:id="88" w:name="_Toc70411547"/>
      <w:bookmarkStart w:id="89" w:name="_Toc70410860"/>
      <w:bookmarkStart w:id="90" w:name="_Toc70410994"/>
      <w:bookmarkStart w:id="91" w:name="_Toc70411548"/>
      <w:bookmarkStart w:id="92" w:name="_Toc70410861"/>
      <w:bookmarkStart w:id="93" w:name="_Toc70410995"/>
      <w:bookmarkStart w:id="94" w:name="_Toc70411549"/>
      <w:bookmarkStart w:id="95" w:name="_Toc70410862"/>
      <w:bookmarkStart w:id="96" w:name="_Toc70410996"/>
      <w:bookmarkStart w:id="97" w:name="_Toc70411550"/>
      <w:bookmarkStart w:id="98" w:name="_Toc70410863"/>
      <w:bookmarkStart w:id="99" w:name="_Toc70410997"/>
      <w:bookmarkStart w:id="100" w:name="_Toc70411551"/>
      <w:bookmarkStart w:id="101" w:name="_Toc70410866"/>
      <w:bookmarkStart w:id="102" w:name="_Toc70411000"/>
      <w:bookmarkStart w:id="103" w:name="_Toc70411554"/>
      <w:bookmarkStart w:id="104" w:name="_Toc70410867"/>
      <w:bookmarkStart w:id="105" w:name="_Toc70411001"/>
      <w:bookmarkStart w:id="106" w:name="_Toc70411555"/>
      <w:bookmarkStart w:id="107" w:name="_Toc70410868"/>
      <w:bookmarkStart w:id="108" w:name="_Toc70411002"/>
      <w:bookmarkStart w:id="109" w:name="_Toc70411556"/>
      <w:bookmarkStart w:id="110" w:name="_Toc70410871"/>
      <w:bookmarkStart w:id="111" w:name="_Toc70411005"/>
      <w:bookmarkStart w:id="112" w:name="_Toc70411559"/>
      <w:bookmarkStart w:id="113" w:name="_Toc70410872"/>
      <w:bookmarkStart w:id="114" w:name="_Toc70411006"/>
      <w:bookmarkStart w:id="115" w:name="_Toc70411560"/>
      <w:bookmarkStart w:id="116" w:name="_Toc70410876"/>
      <w:bookmarkStart w:id="117" w:name="_Toc70411010"/>
      <w:bookmarkStart w:id="118" w:name="_Toc70411564"/>
      <w:bookmarkStart w:id="119" w:name="_Toc70410877"/>
      <w:bookmarkStart w:id="120" w:name="_Toc70411011"/>
      <w:bookmarkStart w:id="121" w:name="_Toc70411565"/>
      <w:bookmarkStart w:id="122" w:name="_Toc70410878"/>
      <w:bookmarkStart w:id="123" w:name="_Toc70411012"/>
      <w:bookmarkStart w:id="124" w:name="_Toc70411566"/>
      <w:bookmarkStart w:id="125" w:name="_Toc126922021"/>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5"/>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w:t>
      </w:r>
      <w:r w:rsidRPr="00A86E43">
        <w:rPr>
          <w:rFonts w:asciiTheme="minorHAnsi" w:eastAsia="Times New Roman" w:hAnsiTheme="minorHAnsi" w:cstheme="minorHAnsi"/>
          <w:sz w:val="22"/>
        </w:rPr>
        <w:lastRenderedPageBreak/>
        <w:t>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6FF85EF1"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w:t>
      </w:r>
      <w:bookmarkStart w:id="126" w:name="_Toc69226591"/>
      <w:r w:rsidR="00E35241">
        <w:rPr>
          <w:rFonts w:asciiTheme="minorHAnsi" w:eastAsia="Times New Roman" w:hAnsiTheme="minorHAnsi" w:cstheme="minorHAnsi"/>
          <w:sz w:val="22"/>
        </w:rPr>
        <w:t>rès de la CNIL).</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26922023"/>
      <w:bookmarkEnd w:id="126"/>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6247A396" w:rsidR="002D12FB" w:rsidRDefault="002D12FB" w:rsidP="002D12FB">
      <w:pPr>
        <w:spacing w:line="240" w:lineRule="auto"/>
        <w:ind w:left="567"/>
        <w:jc w:val="both"/>
        <w:rPr>
          <w:rFonts w:asciiTheme="minorHAnsi" w:hAnsiTheme="minorHAnsi" w:cstheme="minorHAnsi"/>
          <w:sz w:val="22"/>
          <w:szCs w:val="22"/>
        </w:rPr>
      </w:pPr>
      <w:bookmarkStart w:id="128"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715B8FC0" w14:textId="77777777" w:rsidR="00474321" w:rsidRPr="008A347A" w:rsidRDefault="00474321" w:rsidP="002D12FB">
      <w:pPr>
        <w:spacing w:line="240" w:lineRule="auto"/>
        <w:ind w:left="567"/>
        <w:jc w:val="both"/>
        <w:rPr>
          <w:rFonts w:asciiTheme="minorHAnsi" w:hAnsiTheme="minorHAnsi" w:cstheme="minorHAnsi"/>
          <w:sz w:val="22"/>
          <w:szCs w:val="22"/>
        </w:rPr>
      </w:pP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1E84EF86" w14:textId="4061DB4F" w:rsidR="005C157F" w:rsidRDefault="002D12FB" w:rsidP="00474321">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30C3C33" w14:textId="27026989"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9" w:name="_Toc126922022"/>
      <w:r w:rsidRPr="00A86E43">
        <w:rPr>
          <w:rFonts w:asciiTheme="minorHAnsi" w:hAnsiTheme="minorHAnsi"/>
          <w:b/>
          <w:caps/>
          <w:sz w:val="24"/>
          <w:u w:val="single"/>
        </w:rPr>
        <w:t>RÈglement des litiges - DROIT Français APPLICABLE</w:t>
      </w:r>
      <w:bookmarkEnd w:id="129"/>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30" w:name="_Toc392669654"/>
      <w:bookmarkStart w:id="131" w:name="_Toc126922025"/>
      <w:r w:rsidRPr="00A86E43">
        <w:rPr>
          <w:rFonts w:asciiTheme="minorHAnsi" w:hAnsiTheme="minorHAnsi"/>
          <w:sz w:val="22"/>
          <w:szCs w:val="22"/>
        </w:rPr>
        <w:t>Déclaration</w:t>
      </w:r>
      <w:bookmarkEnd w:id="130"/>
      <w:bookmarkEnd w:id="131"/>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lastRenderedPageBreak/>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2"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2"/>
    </w:p>
    <w:p w14:paraId="6F3D8015" w14:textId="77777777" w:rsidR="00656639" w:rsidRPr="001B5605" w:rsidRDefault="00656639">
      <w:pPr>
        <w:pStyle w:val="Corpsdetexte"/>
        <w:jc w:val="left"/>
        <w:rPr>
          <w:rFonts w:asciiTheme="minorHAnsi" w:hAnsiTheme="minorHAnsi"/>
          <w:sz w:val="20"/>
        </w:rPr>
      </w:pPr>
    </w:p>
    <w:p w14:paraId="256795A6" w14:textId="47A18047" w:rsidR="00BB55D6" w:rsidRDefault="00BB55D6" w:rsidP="0089602D">
      <w:pPr>
        <w:tabs>
          <w:tab w:val="left" w:pos="2745"/>
        </w:tabs>
        <w:rPr>
          <w:rFonts w:asciiTheme="minorHAnsi" w:eastAsia="Times New Roman" w:hAnsiTheme="minorHAnsi" w:cs="Arial"/>
          <w:szCs w:val="24"/>
        </w:rPr>
      </w:pPr>
    </w:p>
    <w:p w14:paraId="19C2EE33" w14:textId="6FD9E06A" w:rsidR="00474321" w:rsidRDefault="00474321">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37F181E8" w14:textId="53194394" w:rsidR="00474321" w:rsidRDefault="00474321" w:rsidP="00474321">
      <w:pPr>
        <w:pStyle w:val="v"/>
        <w:widowControl w:val="0"/>
        <w:spacing w:before="600" w:after="240"/>
        <w:ind w:left="357" w:firstLine="0"/>
        <w:jc w:val="left"/>
        <w:outlineLvl w:val="0"/>
        <w:rPr>
          <w:rFonts w:asciiTheme="minorHAnsi" w:hAnsiTheme="minorHAnsi"/>
          <w:b/>
          <w:caps/>
          <w:sz w:val="24"/>
        </w:rPr>
      </w:pPr>
      <w:r>
        <w:rPr>
          <w:rFonts w:asciiTheme="minorHAnsi" w:hAnsiTheme="minorHAnsi"/>
          <w:b/>
          <w:caps/>
          <w:sz w:val="24"/>
        </w:rPr>
        <w:lastRenderedPageBreak/>
        <w:t>Annexe 2</w:t>
      </w:r>
      <w:r w:rsidRPr="00436E95">
        <w:rPr>
          <w:rFonts w:asciiTheme="minorHAnsi" w:hAnsiTheme="minorHAnsi"/>
          <w:b/>
          <w:caps/>
          <w:sz w:val="24"/>
        </w:rPr>
        <w:t xml:space="preserve"> : </w:t>
      </w:r>
      <w:r>
        <w:rPr>
          <w:rFonts w:asciiTheme="minorHAnsi" w:hAnsiTheme="minorHAnsi"/>
          <w:b/>
          <w:caps/>
          <w:sz w:val="24"/>
        </w:rPr>
        <w:t>L’offre technique et financière du contractant</w:t>
      </w:r>
    </w:p>
    <w:p w14:paraId="0B4270BE" w14:textId="77777777" w:rsidR="00474321" w:rsidRPr="00436E95" w:rsidRDefault="00474321" w:rsidP="00474321">
      <w:pPr>
        <w:pStyle w:val="v"/>
        <w:widowControl w:val="0"/>
        <w:spacing w:before="600" w:after="240"/>
        <w:ind w:left="0" w:firstLine="0"/>
        <w:jc w:val="left"/>
        <w:rPr>
          <w:rFonts w:asciiTheme="minorHAnsi" w:hAnsiTheme="minorHAnsi"/>
          <w:b/>
          <w:caps/>
          <w:sz w:val="24"/>
        </w:rPr>
      </w:pPr>
    </w:p>
    <w:p w14:paraId="148337EC" w14:textId="14A2EE46" w:rsidR="00474321" w:rsidRDefault="00474321">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18BC06BF" w14:textId="02944E06" w:rsidR="00474321" w:rsidRPr="00436E95" w:rsidRDefault="00474321" w:rsidP="00474321">
      <w:pPr>
        <w:pStyle w:val="v"/>
        <w:widowControl w:val="0"/>
        <w:spacing w:before="600" w:after="240"/>
        <w:ind w:left="357" w:firstLine="0"/>
        <w:jc w:val="left"/>
        <w:outlineLvl w:val="0"/>
        <w:rPr>
          <w:rFonts w:asciiTheme="minorHAnsi" w:hAnsiTheme="minorHAnsi"/>
          <w:b/>
          <w:caps/>
          <w:sz w:val="24"/>
        </w:rPr>
      </w:pPr>
      <w:r>
        <w:rPr>
          <w:rFonts w:asciiTheme="minorHAnsi" w:hAnsiTheme="minorHAnsi"/>
          <w:b/>
          <w:caps/>
          <w:sz w:val="24"/>
        </w:rPr>
        <w:lastRenderedPageBreak/>
        <w:t>Annexe 3</w:t>
      </w:r>
      <w:r w:rsidRPr="00436E95">
        <w:rPr>
          <w:rFonts w:asciiTheme="minorHAnsi" w:hAnsiTheme="minorHAnsi"/>
          <w:b/>
          <w:caps/>
          <w:sz w:val="24"/>
        </w:rPr>
        <w:t xml:space="preserve"> : </w:t>
      </w:r>
      <w:r>
        <w:rPr>
          <w:rFonts w:asciiTheme="minorHAnsi" w:hAnsiTheme="minorHAnsi"/>
          <w:b/>
          <w:caps/>
          <w:sz w:val="24"/>
        </w:rPr>
        <w:t>Les CV des experts mobilisés</w:t>
      </w:r>
    </w:p>
    <w:p w14:paraId="499BBC7C" w14:textId="19A9BA37" w:rsidR="00474321" w:rsidRDefault="00474321" w:rsidP="0089602D">
      <w:pPr>
        <w:tabs>
          <w:tab w:val="left" w:pos="2745"/>
        </w:tabs>
        <w:rPr>
          <w:rFonts w:asciiTheme="minorHAnsi" w:eastAsia="Times New Roman" w:hAnsiTheme="minorHAnsi" w:cs="Arial"/>
          <w:szCs w:val="24"/>
        </w:rPr>
      </w:pPr>
    </w:p>
    <w:p w14:paraId="1F59A088" w14:textId="4020B3A5" w:rsidR="00474321" w:rsidRDefault="00474321" w:rsidP="0089602D">
      <w:pPr>
        <w:tabs>
          <w:tab w:val="left" w:pos="2745"/>
        </w:tabs>
        <w:rPr>
          <w:rFonts w:asciiTheme="minorHAnsi" w:eastAsia="Times New Roman" w:hAnsiTheme="minorHAnsi" w:cs="Arial"/>
          <w:szCs w:val="24"/>
        </w:rPr>
      </w:pPr>
      <w:bookmarkStart w:id="133" w:name="_GoBack"/>
      <w:bookmarkEnd w:id="133"/>
    </w:p>
    <w:p w14:paraId="41988906" w14:textId="77777777" w:rsidR="00474321" w:rsidRPr="0089602D" w:rsidRDefault="00474321" w:rsidP="0089602D">
      <w:pPr>
        <w:tabs>
          <w:tab w:val="left" w:pos="2745"/>
        </w:tabs>
        <w:rPr>
          <w:rFonts w:asciiTheme="minorHAnsi" w:eastAsia="Times New Roman" w:hAnsiTheme="minorHAnsi" w:cs="Arial"/>
          <w:szCs w:val="24"/>
        </w:rPr>
      </w:pPr>
    </w:p>
    <w:sectPr w:rsidR="00474321"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Vincent LECOMTE" w:date="2016-10-03T10:55:00Z" w:initials="VL">
    <w:p w14:paraId="011CE709" w14:textId="77777777" w:rsidR="00704FBA" w:rsidRPr="00D3526A" w:rsidRDefault="00704FBA" w:rsidP="00DE1070">
      <w:pPr>
        <w:pStyle w:val="Commentaire"/>
        <w:rPr>
          <w:u w:val="single"/>
        </w:rPr>
      </w:pPr>
      <w:r w:rsidRPr="00D3526A">
        <w:rPr>
          <w:u w:val="single"/>
        </w:rPr>
        <w:t>INFO</w:t>
      </w:r>
    </w:p>
    <w:p w14:paraId="4CD7F4F9" w14:textId="77777777" w:rsidR="00704FBA" w:rsidRDefault="00704FBA" w:rsidP="00DE1070">
      <w:pPr>
        <w:pStyle w:val="Commentaire"/>
      </w:pPr>
      <w:r>
        <w:t xml:space="preserve">Indiquer ici le nom de la </w:t>
      </w:r>
      <w:r>
        <w:rPr>
          <w:rStyle w:val="Marquedecommentaire"/>
        </w:rPr>
        <w:annotationRef/>
      </w:r>
      <w:r>
        <w:t>personne morale cocontractante (en cas de société de portage) ou de la personnalité juridique de l’expert désigné ou simplement le nom de l’expert désigné si celui-ci a la capacité juridique à facturer.</w:t>
      </w:r>
    </w:p>
  </w:comment>
  <w:comment w:id="8" w:author="LECOMTE Vincent" w:date="2015-02-27T10:09:00Z" w:initials="LV">
    <w:p w14:paraId="7971ADF4" w14:textId="77777777" w:rsidR="00704FBA" w:rsidRDefault="00704FBA">
      <w:pPr>
        <w:pStyle w:val="Commentaire"/>
      </w:pPr>
      <w:r>
        <w:rPr>
          <w:rStyle w:val="Marquedecommentaire"/>
        </w:rPr>
        <w:annotationRef/>
      </w:r>
      <w:r>
        <w:t>Inscrire ici la date de la dernière version de l’offre du candidat (après négociation, compléments technique ou clarification)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D7F4F9" w15:done="0"/>
  <w15:commentEx w15:paraId="7971AD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19099" w14:textId="77777777" w:rsidR="00DB54C4" w:rsidRDefault="00DB54C4">
      <w:r>
        <w:separator/>
      </w:r>
    </w:p>
  </w:endnote>
  <w:endnote w:type="continuationSeparator" w:id="0">
    <w:p w14:paraId="72B9ADCF" w14:textId="77777777" w:rsidR="00DB54C4" w:rsidRDefault="00DB5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704FBA" w:rsidRDefault="00704FBA"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45143243" w:rsidR="00704FBA" w:rsidRDefault="00704FB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74321">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74321">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704FBA" w:rsidRDefault="00704FBA"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704FBA" w:rsidRDefault="00704FBA"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7DE1DD1" w:rsidR="00704FBA" w:rsidRDefault="00704FB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74321">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74321">
              <w:rPr>
                <w:rFonts w:asciiTheme="minorHAnsi" w:hAnsiTheme="minorHAnsi"/>
                <w:b/>
                <w:bCs/>
                <w:noProof/>
                <w:sz w:val="22"/>
                <w:szCs w:val="22"/>
              </w:rPr>
              <w:t>24</w:t>
            </w:r>
            <w:r>
              <w:rPr>
                <w:rFonts w:asciiTheme="minorHAnsi" w:hAnsiTheme="minorHAnsi"/>
                <w:b/>
                <w:bCs/>
                <w:sz w:val="22"/>
                <w:szCs w:val="22"/>
              </w:rPr>
              <w:fldChar w:fldCharType="end"/>
            </w:r>
          </w:p>
          <w:p w14:paraId="6260D679" w14:textId="765E1158" w:rsidR="00704FBA" w:rsidRDefault="00704FBA"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704FBA" w:rsidRPr="00065565" w:rsidRDefault="00704FBA"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704FBA" w:rsidRDefault="00704FBA">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704FBA" w:rsidRPr="00EE0FDD" w:rsidRDefault="00704FBA"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9452088" w:rsidR="00704FBA" w:rsidRPr="00FF1F8E" w:rsidRDefault="00704FBA"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74321">
          <w:rPr>
            <w:rFonts w:asciiTheme="minorHAnsi" w:hAnsiTheme="minorHAnsi"/>
            <w:b/>
            <w:bCs/>
            <w:noProof/>
            <w:sz w:val="22"/>
            <w:szCs w:val="22"/>
          </w:rPr>
          <w:t>24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74321">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A4AA6" w14:textId="77777777" w:rsidR="00DB54C4" w:rsidRDefault="00DB54C4">
      <w:r>
        <w:separator/>
      </w:r>
    </w:p>
  </w:footnote>
  <w:footnote w:type="continuationSeparator" w:id="0">
    <w:p w14:paraId="16793060" w14:textId="77777777" w:rsidR="00DB54C4" w:rsidRDefault="00DB54C4">
      <w:r>
        <w:continuationSeparator/>
      </w:r>
    </w:p>
  </w:footnote>
  <w:footnote w:id="1">
    <w:p w14:paraId="73F627CC" w14:textId="77777777" w:rsidR="00704FBA" w:rsidRPr="00B21564" w:rsidRDefault="00704FBA"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704FBA" w:rsidRPr="00A86E43" w:rsidRDefault="00704FBA"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704FBA" w:rsidRDefault="00704FBA"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704FBA" w:rsidRPr="00707B69" w:rsidRDefault="00704FBA"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704FBA" w:rsidRPr="00AC48DD" w:rsidRDefault="00704FB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704FBA" w:rsidRDefault="00704FB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704FBA" w:rsidRPr="00AC48DD" w:rsidRDefault="00704FB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704FBA" w:rsidRDefault="00704FBA">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704FBA" w:rsidRDefault="00704FB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704FBA" w:rsidRPr="00707B69" w:rsidRDefault="00704FBA"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704FBA" w:rsidRPr="00AC48DD" w:rsidRDefault="00704FB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704FBA" w:rsidRDefault="00704FB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704FBA" w:rsidRPr="00AC48DD" w:rsidRDefault="00704FB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704FBA" w:rsidRPr="00707B69" w:rsidRDefault="00704FBA"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704FBA" w:rsidRPr="00AC48DD" w:rsidRDefault="00704FBA"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704FBA" w:rsidRDefault="00704FBA"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704FBA" w:rsidRPr="00996FEA" w:rsidRDefault="00704FBA"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0C73F68"/>
    <w:multiLevelType w:val="hybridMultilevel"/>
    <w:tmpl w:val="5D36451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7"/>
  </w:num>
  <w:num w:numId="22">
    <w:abstractNumId w:val="56"/>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7"/>
  </w:num>
  <w:num w:numId="65">
    <w:abstractNumId w:val="57"/>
  </w:num>
  <w:num w:numId="66">
    <w:abstractNumId w:val="5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2A4"/>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3A57"/>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4321"/>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D6407"/>
    <w:rsid w:val="006E0586"/>
    <w:rsid w:val="006E2006"/>
    <w:rsid w:val="006E2037"/>
    <w:rsid w:val="006E2A49"/>
    <w:rsid w:val="006E576B"/>
    <w:rsid w:val="006E57FD"/>
    <w:rsid w:val="006F295F"/>
    <w:rsid w:val="006F6849"/>
    <w:rsid w:val="006F6F4E"/>
    <w:rsid w:val="00701BF6"/>
    <w:rsid w:val="00704355"/>
    <w:rsid w:val="00704FBA"/>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5976"/>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54C4"/>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5241"/>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Paragraph1,_kh_titre_secondaire,RMSI bulle Style,Bullet  Paragraph,Heading3,Numbered paragraph,Paragraphe,Listes Puce,lp1,Bullet List,FooterText,numbered,Use Case List Paragraph"/>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Paragraph1 Car,_kh_titre_secondaire Car,RMSI bulle Style Car,Bullet  Paragraph Car,Heading3 Car,Numbered paragraph Car,Paragraphe Car,Listes Puce Car,lp1 Car,numbered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39"/>
    <w:rsid w:val="00E3524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comments" Target="comments.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3.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4FF6D-454D-440C-B454-006B0ECB4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82</TotalTime>
  <Pages>24</Pages>
  <Words>6792</Words>
  <Characters>37361</Characters>
  <Application>Microsoft Office Word</Application>
  <DocSecurity>0</DocSecurity>
  <Lines>311</Lines>
  <Paragraphs>88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44065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Mathilde RICHELET</cp:lastModifiedBy>
  <cp:revision>3</cp:revision>
  <cp:lastPrinted>2014-11-19T14:39:00Z</cp:lastPrinted>
  <dcterms:created xsi:type="dcterms:W3CDTF">2025-05-14T15:11:00Z</dcterms:created>
  <dcterms:modified xsi:type="dcterms:W3CDTF">2025-05-15T13:40:00Z</dcterms:modified>
</cp:coreProperties>
</file>