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5ED491" w14:textId="77777777" w:rsidR="003A76E2" w:rsidRDefault="0006136E" w:rsidP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 w:rsidRPr="0006136E">
        <w:rPr>
          <w:rFonts w:cstheme="minorHAnsi"/>
          <w:b/>
          <w:bCs/>
          <w:color w:val="4F81BD" w:themeColor="accent1"/>
          <w:sz w:val="24"/>
          <w:szCs w:val="20"/>
        </w:rPr>
        <w:t xml:space="preserve">Marche de travaux relatif à la mise en place d’un système GTB </w:t>
      </w:r>
    </w:p>
    <w:p w14:paraId="294524A9" w14:textId="48DEC27F" w:rsidR="0006136E" w:rsidRDefault="0006136E" w:rsidP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 w:rsidRPr="0006136E">
        <w:rPr>
          <w:rFonts w:cstheme="minorHAnsi"/>
          <w:b/>
          <w:bCs/>
          <w:color w:val="4F81BD" w:themeColor="accent1"/>
          <w:sz w:val="24"/>
          <w:szCs w:val="20"/>
        </w:rPr>
        <w:t>(Gestion Technique du Bâtiment)</w:t>
      </w:r>
      <w:r w:rsidR="003A76E2">
        <w:rPr>
          <w:rFonts w:cstheme="minorHAnsi"/>
          <w:b/>
          <w:bCs/>
          <w:color w:val="4F81BD" w:themeColor="accent1"/>
          <w:sz w:val="24"/>
          <w:szCs w:val="20"/>
        </w:rPr>
        <w:t xml:space="preserve"> </w:t>
      </w:r>
      <w:r w:rsidRPr="0006136E">
        <w:rPr>
          <w:rFonts w:cstheme="minorHAnsi"/>
          <w:b/>
          <w:bCs/>
          <w:color w:val="4F81BD" w:themeColor="accent1"/>
          <w:sz w:val="24"/>
          <w:szCs w:val="20"/>
        </w:rPr>
        <w:t>sur 8 sites de la CPAM de Paris</w:t>
      </w:r>
    </w:p>
    <w:p w14:paraId="00F1A1C9" w14:textId="77777777" w:rsidR="007E6982" w:rsidRPr="0006136E" w:rsidRDefault="007E6982" w:rsidP="0006136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</w:p>
    <w:p w14:paraId="06A5D238" w14:textId="0BDE4F20" w:rsidR="00E926D8" w:rsidRDefault="0006136E" w:rsidP="0006136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 w:rsidRPr="0006136E">
        <w:rPr>
          <w:rFonts w:cstheme="minorHAnsi"/>
          <w:b/>
          <w:bCs/>
          <w:color w:val="4F81BD" w:themeColor="accent1"/>
          <w:sz w:val="24"/>
          <w:szCs w:val="20"/>
        </w:rPr>
        <w:t>Consultation n°25-C-010</w:t>
      </w:r>
    </w:p>
    <w:p w14:paraId="6A8E45A8" w14:textId="77777777" w:rsidR="007E6982" w:rsidRPr="008A7E23" w:rsidRDefault="007E6982" w:rsidP="0006136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5DDC2CD3" w:rsidR="00E926D8" w:rsidRPr="008A7E23" w:rsidRDefault="00E926D8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8A7E23">
        <w:rPr>
          <w:b w:val="0"/>
          <w:i/>
          <w:sz w:val="20"/>
        </w:rPr>
        <w:t>Accord-cadre passé en application de l’article R212</w:t>
      </w:r>
      <w:r w:rsidR="00DE2C55" w:rsidRPr="008A7E23">
        <w:rPr>
          <w:b w:val="0"/>
          <w:i/>
          <w:sz w:val="20"/>
        </w:rPr>
        <w:t>4</w:t>
      </w:r>
      <w:r w:rsidRPr="008A7E23">
        <w:rPr>
          <w:b w:val="0"/>
          <w:i/>
          <w:sz w:val="20"/>
        </w:rPr>
        <w:t>-</w:t>
      </w:r>
      <w:r w:rsidR="00DE2C55" w:rsidRPr="008A7E23">
        <w:rPr>
          <w:b w:val="0"/>
          <w:i/>
          <w:sz w:val="20"/>
        </w:rPr>
        <w:t>2</w:t>
      </w:r>
      <w:r w:rsidRPr="008A7E23">
        <w:rPr>
          <w:b w:val="0"/>
          <w:i/>
          <w:sz w:val="20"/>
        </w:rPr>
        <w:t xml:space="preserve"> </w:t>
      </w:r>
      <w:r w:rsidR="00DE2C55" w:rsidRPr="008A7E23">
        <w:rPr>
          <w:b w:val="0"/>
          <w:i/>
          <w:sz w:val="20"/>
        </w:rPr>
        <w:t>1</w:t>
      </w:r>
      <w:r w:rsidRPr="008A7E23">
        <w:rPr>
          <w:b w:val="0"/>
          <w:i/>
          <w:sz w:val="20"/>
        </w:rPr>
        <w:t>° du Code de la commande publique</w:t>
      </w:r>
    </w:p>
    <w:p w14:paraId="64D47884" w14:textId="77777777" w:rsidR="008F7993" w:rsidRPr="008A7E23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71CDA829" w:rsidR="00176188" w:rsidRPr="009A440D" w:rsidRDefault="004414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D80DA4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441410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441410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E2C95CF" w14:textId="68DCC78C" w:rsidR="00380C49" w:rsidRPr="003A76E2" w:rsidRDefault="00292799" w:rsidP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441410">
        <w:rPr>
          <w:rFonts w:ascii="Arial" w:hAnsi="Arial" w:cs="Arial"/>
          <w:b/>
          <w:color w:val="000000"/>
          <w:sz w:val="20"/>
          <w:szCs w:val="18"/>
        </w:rPr>
        <w:t>6</w:t>
      </w:r>
      <w:r w:rsidR="005A5BEE" w:rsidRPr="00F80D74"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="00441410">
        <w:rPr>
          <w:rFonts w:ascii="Arial" w:hAnsi="Arial" w:cs="Arial"/>
          <w:b/>
          <w:color w:val="000000"/>
          <w:sz w:val="20"/>
          <w:szCs w:val="18"/>
        </w:rPr>
        <w:t>(six</w:t>
      </w:r>
      <w:r w:rsidR="005A5BEE" w:rsidRPr="00F80D74">
        <w:rPr>
          <w:rFonts w:ascii="Arial" w:hAnsi="Arial" w:cs="Arial"/>
          <w:b/>
          <w:color w:val="000000"/>
          <w:sz w:val="20"/>
          <w:szCs w:val="18"/>
        </w:rPr>
        <w:t>)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5A5BEE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="005A5BEE">
        <w:rPr>
          <w:rFonts w:ascii="Arial" w:hAnsi="Arial" w:cs="Arial"/>
          <w:color w:val="000000"/>
          <w:sz w:val="20"/>
          <w:szCs w:val="18"/>
        </w:rPr>
        <w:t xml:space="preserve"> </w:t>
      </w:r>
      <w:bookmarkStart w:id="13" w:name="_GoBack"/>
      <w:bookmarkEnd w:id="13"/>
      <w:r w:rsidRPr="00477B53">
        <w:rPr>
          <w:rFonts w:ascii="Arial" w:hAnsi="Arial" w:cs="Arial"/>
          <w:color w:val="000000"/>
          <w:sz w:val="20"/>
          <w:szCs w:val="18"/>
        </w:rPr>
        <w:t>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0B4CD3F6" w14:textId="77777777" w:rsidR="00380C49" w:rsidRDefault="00380C4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2D7C8B1" w14:textId="48A9A432" w:rsidR="007E6982" w:rsidRDefault="0094181F" w:rsidP="007E698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D63AD1">
        <w:rPr>
          <w:rFonts w:ascii="Arial" w:hAnsi="Arial" w:cs="Arial"/>
          <w:b/>
          <w:bCs/>
          <w:color w:val="000000"/>
          <w:sz w:val="20"/>
          <w:szCs w:val="20"/>
        </w:rPr>
        <w:t>le cadre de réponse financière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 (annexe 1</w:t>
      </w:r>
      <w:r w:rsidR="00C822AF" w:rsidRPr="00D63AD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>de l’acte d’engagement</w:t>
      </w:r>
      <w:r w:rsidR="00255755" w:rsidRPr="00D63AD1">
        <w:rPr>
          <w:rFonts w:ascii="Arial" w:hAnsi="Arial" w:cs="Arial"/>
          <w:bCs/>
          <w:color w:val="000000"/>
          <w:sz w:val="20"/>
          <w:szCs w:val="20"/>
        </w:rPr>
        <w:t>)</w:t>
      </w:r>
      <w:r w:rsidRPr="00D63AD1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3ECEC966" w14:textId="62D1687B" w:rsidR="0094181F" w:rsidRDefault="0094181F" w:rsidP="007E698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63AD1">
        <w:rPr>
          <w:rFonts w:ascii="Arial" w:hAnsi="Arial" w:cs="Arial"/>
          <w:bCs/>
          <w:color w:val="000000"/>
          <w:sz w:val="20"/>
          <w:szCs w:val="20"/>
        </w:rPr>
        <w:t xml:space="preserve">Ainsi, les prestations seront réglées sur la base des prix unitaires nets hors taxes figurant sur 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>la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>Décomposition des P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 xml:space="preserve">rix 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>F</w:t>
      </w:r>
      <w:r w:rsidR="00D74FC7" w:rsidRPr="00D63AD1">
        <w:rPr>
          <w:rFonts w:ascii="Arial" w:hAnsi="Arial" w:cs="Arial"/>
          <w:bCs/>
          <w:color w:val="000000"/>
          <w:sz w:val="20"/>
          <w:szCs w:val="20"/>
        </w:rPr>
        <w:t>orfaitaires</w:t>
      </w:r>
      <w:r w:rsidR="00B464BF" w:rsidRPr="00D63AD1">
        <w:rPr>
          <w:rFonts w:ascii="Arial" w:hAnsi="Arial" w:cs="Arial"/>
          <w:bCs/>
          <w:color w:val="000000"/>
          <w:sz w:val="20"/>
          <w:szCs w:val="20"/>
        </w:rPr>
        <w:t xml:space="preserve"> (DPGF)</w:t>
      </w:r>
      <w:r w:rsidR="007E6982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4CDD0C2" w14:textId="15B4D996" w:rsidR="0094181F" w:rsidRPr="0094181F" w:rsidRDefault="0094181F" w:rsidP="007E698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03F639FB" w:rsidR="0094181F" w:rsidRDefault="0094181F" w:rsidP="007E698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>rticle 2 du Cahier des</w:t>
      </w:r>
      <w:r w:rsidR="007E698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4E8C92E3" w14:textId="24D7B81C" w:rsidR="0094181F" w:rsidRDefault="0094181F" w:rsidP="00380C4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AD2373A" w14:textId="77777777" w:rsidR="00B37634" w:rsidRDefault="00B3763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04939F8" w14:textId="144EB87A" w:rsidR="007E6982" w:rsidRPr="00441410" w:rsidRDefault="007E6982" w:rsidP="007E6982">
      <w:pPr>
        <w:pStyle w:val="RedTxt"/>
        <w:ind w:left="142"/>
        <w:jc w:val="both"/>
        <w:rPr>
          <w:sz w:val="20"/>
          <w:szCs w:val="20"/>
        </w:rPr>
      </w:pPr>
      <w:r w:rsidRPr="00441410">
        <w:rPr>
          <w:sz w:val="20"/>
          <w:szCs w:val="20"/>
        </w:rPr>
        <w:t>Le marché de travaux débutera à la date de notification (estimée courant septembre 2025) et se terminera à la fin de la garantie de parfait achèvement.</w:t>
      </w:r>
    </w:p>
    <w:p w14:paraId="4441E3CB" w14:textId="5D1C6245" w:rsidR="007E6982" w:rsidRPr="00441410" w:rsidRDefault="007E6982" w:rsidP="007E6982">
      <w:pPr>
        <w:pStyle w:val="RedTxt"/>
        <w:ind w:left="142"/>
        <w:jc w:val="both"/>
        <w:rPr>
          <w:sz w:val="20"/>
          <w:szCs w:val="20"/>
        </w:rPr>
      </w:pPr>
      <w:r w:rsidRPr="00441410">
        <w:rPr>
          <w:sz w:val="20"/>
          <w:szCs w:val="20"/>
        </w:rPr>
        <w:t>Le délai global d’exécution des travaux est estimé à 1</w:t>
      </w:r>
      <w:r w:rsidR="00441410" w:rsidRPr="00441410">
        <w:rPr>
          <w:sz w:val="20"/>
          <w:szCs w:val="20"/>
        </w:rPr>
        <w:t>0</w:t>
      </w:r>
      <w:r w:rsidRPr="00441410">
        <w:rPr>
          <w:sz w:val="20"/>
          <w:szCs w:val="20"/>
        </w:rPr>
        <w:t xml:space="preserve"> mois pour l’ensemble des sites y compris la période de préparation. </w:t>
      </w:r>
    </w:p>
    <w:p w14:paraId="2ECCB099" w14:textId="77777777" w:rsidR="007E6982" w:rsidRPr="007E6982" w:rsidRDefault="007E6982" w:rsidP="007E6982">
      <w:pPr>
        <w:pStyle w:val="RedTxt"/>
        <w:jc w:val="both"/>
        <w:rPr>
          <w:sz w:val="20"/>
          <w:szCs w:val="20"/>
          <w:highlight w:val="yellow"/>
        </w:rPr>
      </w:pPr>
    </w:p>
    <w:p w14:paraId="0A4D32ED" w14:textId="557B7694" w:rsidR="00893BA7" w:rsidRPr="00441410" w:rsidRDefault="00441410" w:rsidP="007E6982">
      <w:pPr>
        <w:pStyle w:val="RedTxt"/>
        <w:ind w:left="142"/>
        <w:jc w:val="both"/>
      </w:pPr>
      <w:r w:rsidRPr="00441410">
        <w:rPr>
          <w:sz w:val="20"/>
          <w:szCs w:val="20"/>
        </w:rPr>
        <w:lastRenderedPageBreak/>
        <w:t>La prestation</w:t>
      </w:r>
      <w:r w:rsidR="007E6982" w:rsidRPr="00441410">
        <w:rPr>
          <w:sz w:val="20"/>
          <w:szCs w:val="20"/>
        </w:rPr>
        <w:t xml:space="preserve"> de maintenance est éventuellement reconductible 3 (trois) fois de manière tacite pour une durée de 12 (douze) mois sans pouvoir excéder une durée totale (reconductions comprises) de 48 (quarante-huit) mois. Il démarrera à l’issue de l’année de garantie de parfait achèvement. </w:t>
      </w:r>
      <w:r w:rsidR="00893BA7" w:rsidRPr="00441410">
        <w:rPr>
          <w:sz w:val="20"/>
          <w:szCs w:val="20"/>
        </w:rPr>
        <w:t xml:space="preserve">La durée du marché est fixée à </w:t>
      </w:r>
      <w:r w:rsidR="0072289F" w:rsidRPr="00441410">
        <w:rPr>
          <w:sz w:val="20"/>
          <w:szCs w:val="20"/>
        </w:rPr>
        <w:t>1</w:t>
      </w:r>
      <w:r w:rsidR="00DE2C55" w:rsidRPr="00441410">
        <w:rPr>
          <w:sz w:val="20"/>
          <w:szCs w:val="20"/>
        </w:rPr>
        <w:t xml:space="preserve"> (un)</w:t>
      </w:r>
      <w:r w:rsidR="00893BA7" w:rsidRPr="00441410">
        <w:rPr>
          <w:sz w:val="20"/>
          <w:szCs w:val="20"/>
        </w:rPr>
        <w:t xml:space="preserve"> an, à compter </w:t>
      </w:r>
      <w:r w:rsidR="00DE2C55" w:rsidRPr="00441410">
        <w:rPr>
          <w:sz w:val="20"/>
          <w:szCs w:val="20"/>
        </w:rPr>
        <w:t>de sa notification.</w:t>
      </w:r>
    </w:p>
    <w:p w14:paraId="3E061AD5" w14:textId="77777777" w:rsidR="003A76E2" w:rsidRPr="00441410" w:rsidRDefault="003A76E2" w:rsidP="00893BA7">
      <w:pPr>
        <w:pStyle w:val="RedTxt"/>
        <w:ind w:left="117"/>
        <w:jc w:val="both"/>
        <w:rPr>
          <w:sz w:val="20"/>
          <w:szCs w:val="20"/>
        </w:rPr>
      </w:pPr>
    </w:p>
    <w:p w14:paraId="4EA76C83" w14:textId="17EEC4F1" w:rsidR="00893BA7" w:rsidRPr="00441410" w:rsidRDefault="00893BA7" w:rsidP="00893BA7">
      <w:pPr>
        <w:pStyle w:val="RedTxt"/>
        <w:ind w:left="117"/>
        <w:jc w:val="both"/>
        <w:rPr>
          <w:sz w:val="20"/>
          <w:szCs w:val="20"/>
        </w:rPr>
      </w:pPr>
      <w:r w:rsidRPr="00441410">
        <w:rPr>
          <w:sz w:val="20"/>
          <w:szCs w:val="20"/>
        </w:rPr>
        <w:t>Le marché est r</w:t>
      </w:r>
      <w:r w:rsidR="00931288" w:rsidRPr="00441410">
        <w:rPr>
          <w:sz w:val="20"/>
          <w:szCs w:val="20"/>
        </w:rPr>
        <w:t xml:space="preserve">econductible de manière tacite </w:t>
      </w:r>
      <w:r w:rsidR="00F44214" w:rsidRPr="00441410">
        <w:rPr>
          <w:sz w:val="20"/>
          <w:szCs w:val="20"/>
        </w:rPr>
        <w:t>3</w:t>
      </w:r>
      <w:r w:rsidR="00DE2C55" w:rsidRPr="00441410">
        <w:rPr>
          <w:sz w:val="20"/>
          <w:szCs w:val="20"/>
        </w:rPr>
        <w:t xml:space="preserve"> (trois)</w:t>
      </w:r>
      <w:r w:rsidRPr="00441410">
        <w:rPr>
          <w:sz w:val="20"/>
          <w:szCs w:val="20"/>
        </w:rPr>
        <w:t xml:space="preserve"> fois, pour une période de 1</w:t>
      </w:r>
      <w:r w:rsidR="00DE2C55" w:rsidRPr="00441410">
        <w:rPr>
          <w:sz w:val="20"/>
          <w:szCs w:val="20"/>
        </w:rPr>
        <w:t xml:space="preserve"> (un)</w:t>
      </w:r>
      <w:r w:rsidRPr="00441410">
        <w:rPr>
          <w:sz w:val="20"/>
          <w:szCs w:val="20"/>
        </w:rPr>
        <w:t xml:space="preserve"> </w:t>
      </w:r>
      <w:r w:rsidR="00780AB7" w:rsidRPr="00441410">
        <w:rPr>
          <w:sz w:val="20"/>
          <w:szCs w:val="20"/>
        </w:rPr>
        <w:t xml:space="preserve">an, soit une durée maximale de </w:t>
      </w:r>
      <w:r w:rsidR="00F44214" w:rsidRPr="00441410">
        <w:rPr>
          <w:sz w:val="20"/>
          <w:szCs w:val="20"/>
        </w:rPr>
        <w:t>4</w:t>
      </w:r>
      <w:r w:rsidR="00DE2C55" w:rsidRPr="00441410">
        <w:rPr>
          <w:sz w:val="20"/>
          <w:szCs w:val="20"/>
        </w:rPr>
        <w:t xml:space="preserve"> (quatre)</w:t>
      </w:r>
      <w:r w:rsidRPr="00441410">
        <w:rPr>
          <w:sz w:val="20"/>
          <w:szCs w:val="20"/>
        </w:rPr>
        <w:t xml:space="preserve"> ans.</w:t>
      </w:r>
    </w:p>
    <w:p w14:paraId="07FAC332" w14:textId="77777777" w:rsidR="00893BA7" w:rsidRPr="00441410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6A36B204" w14:textId="40A1F816" w:rsidR="0094181F" w:rsidRPr="00441410" w:rsidRDefault="00292799" w:rsidP="00F80D7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441410">
        <w:rPr>
          <w:rFonts w:ascii="Arial" w:hAnsi="Arial" w:cs="Arial"/>
          <w:sz w:val="20"/>
          <w:szCs w:val="20"/>
        </w:rPr>
        <w:t xml:space="preserve">Le titulaire du marché ne peut pas refuser la reconduction selon les dispositions </w:t>
      </w:r>
      <w:r w:rsidR="00F81E91" w:rsidRPr="00441410">
        <w:rPr>
          <w:rFonts w:ascii="Arial" w:hAnsi="Arial" w:cs="Arial"/>
          <w:sz w:val="20"/>
          <w:szCs w:val="20"/>
        </w:rPr>
        <w:t>de l'article R2112-4 alinéa 2 du Code de la commande publique.</w:t>
      </w:r>
    </w:p>
    <w:p w14:paraId="20B74267" w14:textId="77777777" w:rsidR="00F80D74" w:rsidRPr="00441410" w:rsidRDefault="00F80D74" w:rsidP="00F80D7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FF0000"/>
          <w:sz w:val="20"/>
          <w:szCs w:val="20"/>
        </w:rPr>
      </w:pPr>
    </w:p>
    <w:p w14:paraId="4F582024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408E5FCB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F1468C">
        <w:rPr>
          <w:rFonts w:ascii="Arial" w:hAnsi="Arial" w:cs="Arial"/>
          <w:color w:val="000000"/>
          <w:sz w:val="20"/>
          <w:szCs w:val="20"/>
        </w:rPr>
        <w:t>2.</w:t>
      </w:r>
      <w:r w:rsidR="00765380">
        <w:rPr>
          <w:rFonts w:ascii="Arial" w:hAnsi="Arial" w:cs="Arial"/>
          <w:color w:val="000000"/>
          <w:sz w:val="20"/>
          <w:szCs w:val="20"/>
        </w:rPr>
        <w:t>10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F80D74">
        <w:trPr>
          <w:trHeight w:val="1014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F80D74">
        <w:trPr>
          <w:trHeight w:val="110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F80D74">
        <w:trPr>
          <w:trHeight w:val="988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2793D59" w14:textId="167DC198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7178B297" w14:textId="77777777" w:rsidR="00B37634" w:rsidRDefault="00B37634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552CCDDE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2E29F48" w14:textId="2F242AF9" w:rsidR="003A76E2" w:rsidRDefault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19914C9B" w14:textId="413D199F" w:rsidR="003A76E2" w:rsidRDefault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600CCA3E" w14:textId="2BFB06D3" w:rsidR="003A76E2" w:rsidRDefault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58419B1A" w14:textId="6F489935" w:rsidR="003A76E2" w:rsidRDefault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4F2A6C3B" w14:textId="5C3B1C4A" w:rsidR="003A76E2" w:rsidRDefault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62B9343F" w14:textId="77777777" w:rsidR="003A76E2" w:rsidRDefault="003A76E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441410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30388043" w:rsidR="0094181F" w:rsidRDefault="00441410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</w:t>
      </w:r>
      <w:r w:rsidR="007E6982">
        <w:rPr>
          <w:rFonts w:ascii="Arial" w:hAnsi="Arial" w:cs="Arial"/>
          <w:color w:val="000000"/>
          <w:sz w:val="20"/>
          <w:szCs w:val="20"/>
        </w:rPr>
        <w:t>s</w:t>
      </w:r>
      <w:r w:rsidR="0094181F">
        <w:rPr>
          <w:rFonts w:ascii="Arial" w:hAnsi="Arial" w:cs="Arial"/>
          <w:color w:val="000000"/>
          <w:sz w:val="20"/>
          <w:szCs w:val="20"/>
        </w:rPr>
        <w:t xml:space="preserve"> de réponse financière et technique</w:t>
      </w:r>
      <w:r w:rsidR="007E6982">
        <w:rPr>
          <w:rFonts w:ascii="Arial" w:hAnsi="Arial" w:cs="Arial"/>
          <w:color w:val="000000"/>
          <w:sz w:val="20"/>
          <w:szCs w:val="20"/>
        </w:rPr>
        <w:t>s</w:t>
      </w:r>
    </w:p>
    <w:p w14:paraId="73EEBEDB" w14:textId="68A07A5E" w:rsidR="009E0FEE" w:rsidRDefault="00441410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441410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441410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4ADB33" w14:textId="645BE4EA" w:rsidR="00972CFD" w:rsidRDefault="00441410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37314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A fait l’objet d’une négociation</w:t>
      </w:r>
    </w:p>
    <w:p w14:paraId="23C7EA01" w14:textId="692ACE91" w:rsidR="00972CFD" w:rsidRDefault="00441410" w:rsidP="00972CF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70357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CFD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72CFD">
        <w:rPr>
          <w:rFonts w:ascii="Arial" w:hAnsi="Arial" w:cs="Arial"/>
          <w:color w:val="000000"/>
          <w:sz w:val="20"/>
          <w:szCs w:val="20"/>
        </w:rPr>
        <w:t xml:space="preserve">  N’a pas fait l’objet d’une négociation</w:t>
      </w: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463C9" w14:textId="77777777" w:rsidR="00572E98" w:rsidRDefault="00572E98">
      <w:pPr>
        <w:spacing w:after="0" w:line="240" w:lineRule="auto"/>
      </w:pPr>
      <w:r>
        <w:separator/>
      </w:r>
    </w:p>
  </w:endnote>
  <w:endnote w:type="continuationSeparator" w:id="0">
    <w:p w14:paraId="06D851F0" w14:textId="77777777" w:rsidR="00572E98" w:rsidRDefault="00572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835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03AA53" w14:textId="073457DA" w:rsidR="00452359" w:rsidRPr="00452359" w:rsidRDefault="00452359" w:rsidP="00452359">
            <w:pPr>
              <w:spacing w:after="0"/>
              <w:ind w:right="-425"/>
              <w:rPr>
                <w:rFonts w:ascii="Calibri" w:eastAsia="Times New Roman" w:hAnsi="Calibri" w:cs="Tahoma"/>
                <w:sz w:val="18"/>
                <w:szCs w:val="18"/>
              </w:rPr>
            </w:pPr>
            <w:r w:rsidRPr="00452359">
              <w:rPr>
                <w:rFonts w:ascii="Calibri" w:eastAsia="Times New Roman" w:hAnsi="Calibri" w:cs="Tahoma"/>
                <w:sz w:val="18"/>
                <w:szCs w:val="18"/>
              </w:rPr>
              <w:t>Acte d’engagement –</w:t>
            </w:r>
            <w:r w:rsidRPr="004523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52359">
              <w:rPr>
                <w:rFonts w:ascii="Calibri" w:eastAsia="Times New Roman" w:hAnsi="Calibri" w:cs="Tahoma"/>
                <w:sz w:val="18"/>
                <w:szCs w:val="18"/>
              </w:rPr>
              <w:t xml:space="preserve">Numéro de consultation : </w:t>
            </w:r>
            <w:r w:rsidR="007E6982">
              <w:rPr>
                <w:rFonts w:ascii="Calibri" w:eastAsia="Times New Roman" w:hAnsi="Calibri" w:cs="Tahoma"/>
                <w:sz w:val="18"/>
                <w:szCs w:val="18"/>
              </w:rPr>
              <w:t>25-C-010</w:t>
            </w:r>
          </w:p>
          <w:p w14:paraId="0466F6C3" w14:textId="19CD886A" w:rsidR="00292799" w:rsidRPr="00452359" w:rsidRDefault="007E6982" w:rsidP="00452359">
            <w:pPr>
              <w:pStyle w:val="Pieddepage"/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T</w:t>
            </w:r>
            <w:r w:rsidR="00452359" w:rsidRPr="00452359">
              <w:rPr>
                <w:rFonts w:ascii="Calibri" w:eastAsia="Times New Roman" w:hAnsi="Calibri" w:cs="Tahoma"/>
                <w:sz w:val="18"/>
                <w:szCs w:val="18"/>
              </w:rPr>
              <w:t xml:space="preserve">ravaux </w:t>
            </w:r>
            <w:r>
              <w:rPr>
                <w:rFonts w:ascii="Calibri" w:eastAsia="Times New Roman" w:hAnsi="Calibri" w:cs="Tahoma"/>
                <w:sz w:val="18"/>
                <w:szCs w:val="18"/>
              </w:rPr>
              <w:t>de mise en pl</w:t>
            </w:r>
            <w:r w:rsidR="00E81770">
              <w:rPr>
                <w:rFonts w:ascii="Calibri" w:eastAsia="Times New Roman" w:hAnsi="Calibri" w:cs="Tahoma"/>
                <w:sz w:val="18"/>
                <w:szCs w:val="18"/>
              </w:rPr>
              <w:t>a</w:t>
            </w:r>
            <w:r>
              <w:rPr>
                <w:rFonts w:ascii="Calibri" w:eastAsia="Times New Roman" w:hAnsi="Calibri" w:cs="Tahoma"/>
                <w:sz w:val="18"/>
                <w:szCs w:val="18"/>
              </w:rPr>
              <w:t>ce d’un système GTB</w:t>
            </w:r>
            <w:r>
              <w:rPr>
                <w:rFonts w:ascii="Calibri" w:eastAsia="Times New Roman" w:hAnsi="Calibri" w:cs="Tahoma"/>
                <w:sz w:val="18"/>
                <w:szCs w:val="18"/>
              </w:rPr>
              <w:tab/>
            </w:r>
            <w:r w:rsidR="00452359">
              <w:t xml:space="preserve">       </w:t>
            </w:r>
            <w:r w:rsidR="00380C49">
              <w:tab/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t xml:space="preserve">Page </w:t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begin"/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instrText>PAGE</w:instrText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separate"/>
            </w:r>
            <w:r w:rsidR="00441410">
              <w:rPr>
                <w:rFonts w:ascii="Calibri" w:eastAsia="Times New Roman" w:hAnsi="Calibri" w:cs="Tahoma"/>
                <w:noProof/>
                <w:sz w:val="18"/>
                <w:szCs w:val="20"/>
              </w:rPr>
              <w:t>1</w:t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end"/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t xml:space="preserve"> sur </w:t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begin"/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instrText>NUMPAGES</w:instrText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separate"/>
            </w:r>
            <w:r w:rsidR="00441410">
              <w:rPr>
                <w:rFonts w:ascii="Calibri" w:eastAsia="Times New Roman" w:hAnsi="Calibri" w:cs="Tahoma"/>
                <w:noProof/>
                <w:sz w:val="18"/>
                <w:szCs w:val="20"/>
              </w:rPr>
              <w:t>4</w:t>
            </w:r>
            <w:r w:rsidR="00452359" w:rsidRPr="00452359">
              <w:rPr>
                <w:rFonts w:ascii="Calibri" w:eastAsia="Times New Roman" w:hAnsi="Calibri" w:cs="Tahoma"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FDE9D" w14:textId="77777777" w:rsidR="00572E98" w:rsidRDefault="00572E98">
      <w:pPr>
        <w:spacing w:after="0" w:line="240" w:lineRule="auto"/>
      </w:pPr>
      <w:r>
        <w:separator/>
      </w:r>
    </w:p>
  </w:footnote>
  <w:footnote w:type="continuationSeparator" w:id="0">
    <w:p w14:paraId="7EBDF7A4" w14:textId="77777777" w:rsidR="00572E98" w:rsidRDefault="00572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bordersDoNotSurroundHeader/>
  <w:bordersDoNotSurroundFooter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E6"/>
    <w:rsid w:val="00042214"/>
    <w:rsid w:val="00054ED4"/>
    <w:rsid w:val="0006136E"/>
    <w:rsid w:val="000734D4"/>
    <w:rsid w:val="00080E57"/>
    <w:rsid w:val="000E646C"/>
    <w:rsid w:val="0010752F"/>
    <w:rsid w:val="00144C66"/>
    <w:rsid w:val="00160BEB"/>
    <w:rsid w:val="00176188"/>
    <w:rsid w:val="001D1DA1"/>
    <w:rsid w:val="001F4968"/>
    <w:rsid w:val="0023171F"/>
    <w:rsid w:val="00243379"/>
    <w:rsid w:val="00247FFD"/>
    <w:rsid w:val="002520D8"/>
    <w:rsid w:val="00255755"/>
    <w:rsid w:val="002717C9"/>
    <w:rsid w:val="00292799"/>
    <w:rsid w:val="002B38DE"/>
    <w:rsid w:val="00354C84"/>
    <w:rsid w:val="00380C49"/>
    <w:rsid w:val="003A76E2"/>
    <w:rsid w:val="003D5FDC"/>
    <w:rsid w:val="003E5BE9"/>
    <w:rsid w:val="004006E1"/>
    <w:rsid w:val="00414D23"/>
    <w:rsid w:val="00441410"/>
    <w:rsid w:val="00452359"/>
    <w:rsid w:val="00477B53"/>
    <w:rsid w:val="00507446"/>
    <w:rsid w:val="005261C7"/>
    <w:rsid w:val="00532018"/>
    <w:rsid w:val="00547DAB"/>
    <w:rsid w:val="00565D8C"/>
    <w:rsid w:val="00572E98"/>
    <w:rsid w:val="005825C7"/>
    <w:rsid w:val="005A5BEE"/>
    <w:rsid w:val="005B2DC5"/>
    <w:rsid w:val="0066065B"/>
    <w:rsid w:val="006725A1"/>
    <w:rsid w:val="00676E73"/>
    <w:rsid w:val="006E4E86"/>
    <w:rsid w:val="006F009F"/>
    <w:rsid w:val="006F22CA"/>
    <w:rsid w:val="0072289F"/>
    <w:rsid w:val="00743745"/>
    <w:rsid w:val="00756374"/>
    <w:rsid w:val="00765380"/>
    <w:rsid w:val="00780AB7"/>
    <w:rsid w:val="007C02D1"/>
    <w:rsid w:val="007C5FDD"/>
    <w:rsid w:val="007E6982"/>
    <w:rsid w:val="0082516E"/>
    <w:rsid w:val="00893BA7"/>
    <w:rsid w:val="008A7E23"/>
    <w:rsid w:val="008F7993"/>
    <w:rsid w:val="00901733"/>
    <w:rsid w:val="009032FB"/>
    <w:rsid w:val="00931288"/>
    <w:rsid w:val="0094181F"/>
    <w:rsid w:val="00972CFD"/>
    <w:rsid w:val="009A440D"/>
    <w:rsid w:val="009A5011"/>
    <w:rsid w:val="009E0FEE"/>
    <w:rsid w:val="00A0346E"/>
    <w:rsid w:val="00A512A2"/>
    <w:rsid w:val="00A6499B"/>
    <w:rsid w:val="00B37634"/>
    <w:rsid w:val="00B439C2"/>
    <w:rsid w:val="00B464BF"/>
    <w:rsid w:val="00B519E3"/>
    <w:rsid w:val="00B608C6"/>
    <w:rsid w:val="00B60DA3"/>
    <w:rsid w:val="00B80DF7"/>
    <w:rsid w:val="00B96E6C"/>
    <w:rsid w:val="00C822AF"/>
    <w:rsid w:val="00CC0657"/>
    <w:rsid w:val="00CE17E2"/>
    <w:rsid w:val="00D1049B"/>
    <w:rsid w:val="00D53CD4"/>
    <w:rsid w:val="00D63AD1"/>
    <w:rsid w:val="00D70EE6"/>
    <w:rsid w:val="00D74FC7"/>
    <w:rsid w:val="00D80DA4"/>
    <w:rsid w:val="00DE2C55"/>
    <w:rsid w:val="00E54944"/>
    <w:rsid w:val="00E81770"/>
    <w:rsid w:val="00E926D8"/>
    <w:rsid w:val="00EC1E6B"/>
    <w:rsid w:val="00EE351A"/>
    <w:rsid w:val="00F036B9"/>
    <w:rsid w:val="00F04166"/>
    <w:rsid w:val="00F1468C"/>
    <w:rsid w:val="00F32B40"/>
    <w:rsid w:val="00F44214"/>
    <w:rsid w:val="00F505FE"/>
    <w:rsid w:val="00F72ACD"/>
    <w:rsid w:val="00F80D74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7B8BD-DE69-4D9C-A19F-DD6AEB72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893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LARABI DIANA (CPAM PARIS)</cp:lastModifiedBy>
  <cp:revision>7</cp:revision>
  <cp:lastPrinted>2017-08-08T13:04:00Z</cp:lastPrinted>
  <dcterms:created xsi:type="dcterms:W3CDTF">2025-05-05T13:43:00Z</dcterms:created>
  <dcterms:modified xsi:type="dcterms:W3CDTF">2025-05-19T06:46:00Z</dcterms:modified>
</cp:coreProperties>
</file>