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38148FA8" w14:textId="0C9069C9"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p>
    <w:p w14:paraId="02188304" w14:textId="7CFF82DE"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w:t>
      </w:r>
      <w:r w:rsidR="00DD503F">
        <w:rPr>
          <w:rFonts w:ascii="Arial" w:hAnsi="Arial" w:cs="Arial"/>
          <w:b/>
          <w:bCs/>
          <w:sz w:val="28"/>
          <w:szCs w:val="28"/>
        </w:rPr>
        <w:t>2025-8790-002</w:t>
      </w:r>
    </w:p>
    <w:p w14:paraId="1A9460C2" w14:textId="77777777" w:rsidR="00F92FB7" w:rsidRPr="00F92FB7" w:rsidRDefault="00F92FB7" w:rsidP="00F92FB7">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Style w:val="lev"/>
        </w:rPr>
      </w:pPr>
      <w:r w:rsidRPr="00F92FB7">
        <w:rPr>
          <w:rStyle w:val="lev"/>
        </w:rPr>
        <w:t>Exploitation mécanisée dans les peuplements résineux</w:t>
      </w:r>
    </w:p>
    <w:p w14:paraId="74D1F99B" w14:textId="4950B17E" w:rsidR="00F92FB7" w:rsidRPr="00F92FB7" w:rsidRDefault="00F92FB7" w:rsidP="00F92FB7">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Style w:val="lev"/>
        </w:rPr>
      </w:pPr>
      <w:r w:rsidRPr="00F92FB7">
        <w:rPr>
          <w:rStyle w:val="lev"/>
        </w:rPr>
        <w:t xml:space="preserve">Forêts publiques des Hautes-Pyrénées, de la Haute Garonne et du Gers (hors forêt domaniale de </w:t>
      </w:r>
      <w:proofErr w:type="spellStart"/>
      <w:r w:rsidRPr="00F92FB7">
        <w:rPr>
          <w:rStyle w:val="lev"/>
        </w:rPr>
        <w:t>Bouconne</w:t>
      </w:r>
      <w:proofErr w:type="spellEnd"/>
      <w:r w:rsidRPr="00F92FB7">
        <w:rPr>
          <w:rStyle w:val="lev"/>
        </w:rPr>
        <w:t>)</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6816B3AD"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8C4E0A">
        <w:rPr>
          <w:rFonts w:ascii="Arial" w:hAnsi="Arial" w:cs="Arial"/>
          <w:b/>
          <w:bCs/>
          <w:sz w:val="22"/>
          <w:szCs w:val="22"/>
        </w:rPr>
        <w:t>Lot</w:t>
      </w:r>
      <w:r w:rsidR="00CC3D8D">
        <w:rPr>
          <w:rFonts w:ascii="Arial" w:hAnsi="Arial" w:cs="Arial"/>
          <w:b/>
          <w:bCs/>
          <w:sz w:val="22"/>
          <w:szCs w:val="22"/>
        </w:rPr>
        <w:t>s</w:t>
      </w:r>
      <w:r w:rsidRPr="008C4E0A">
        <w:rPr>
          <w:rFonts w:ascii="Arial" w:hAnsi="Arial" w:cs="Arial"/>
          <w:b/>
          <w:bCs/>
          <w:sz w:val="22"/>
          <w:szCs w:val="22"/>
        </w:rPr>
        <w:t xml:space="preserve"> n°</w:t>
      </w:r>
      <w:r w:rsidR="00CC3D8D">
        <w:rPr>
          <w:rFonts w:ascii="Arial" w:hAnsi="Arial" w:cs="Arial"/>
          <w:b/>
          <w:bCs/>
          <w:sz w:val="22"/>
          <w:szCs w:val="22"/>
        </w:rPr>
        <w:t>1 et 2</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472C5C1B" w14:textId="49A2FB53"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MARCHE A PROCEDURE ADAPTEE</w:t>
      </w:r>
    </w:p>
    <w:p w14:paraId="0BD641E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0"/>
          <w:szCs w:val="28"/>
        </w:rPr>
      </w:pPr>
    </w:p>
    <w:p w14:paraId="0E79592D" w14:textId="2334AF4C" w:rsidR="0005708B" w:rsidRPr="009F4C1F" w:rsidRDefault="0005708B" w:rsidP="009F4C1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35CDD6BF" w14:textId="612C2DB7" w:rsidR="002B603F" w:rsidRPr="00FE127E" w:rsidRDefault="002B603F" w:rsidP="00FE127E">
      <w:pPr>
        <w:widowControl w:val="0"/>
        <w:spacing w:before="120" w:after="120"/>
        <w:rPr>
          <w:rFonts w:ascii="Arial" w:hAnsi="Arial" w:cs="Arial"/>
          <w:color w:val="000000"/>
          <w:sz w:val="20"/>
          <w:szCs w:val="22"/>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FE127E">
        <w:rPr>
          <w:rFonts w:ascii="Arial" w:hAnsi="Arial" w:cs="Arial"/>
          <w:sz w:val="20"/>
          <w:szCs w:val="20"/>
        </w:rPr>
        <w:t xml:space="preserve"> </w:t>
      </w:r>
      <w:bookmarkStart w:id="0" w:name="_Toc81880367"/>
      <w:r w:rsidR="00FE127E" w:rsidRPr="00927940">
        <w:rPr>
          <w:rFonts w:ascii="Arial" w:hAnsi="Arial" w:cs="Arial"/>
          <w:color w:val="000000"/>
          <w:sz w:val="20"/>
          <w:szCs w:val="20"/>
        </w:rPr>
        <w:t>Le présent marché a pour objet la réalisation de prestations d’exploitation forestières en abattage et débardage mécanisé des bois</w:t>
      </w:r>
      <w:r w:rsidR="004D134F">
        <w:rPr>
          <w:rFonts w:ascii="Arial" w:hAnsi="Arial" w:cs="Arial"/>
          <w:color w:val="000000"/>
          <w:sz w:val="20"/>
          <w:szCs w:val="20"/>
        </w:rPr>
        <w:t xml:space="preserve"> résineux</w:t>
      </w:r>
      <w:r w:rsidR="00FE127E" w:rsidRPr="00927940">
        <w:rPr>
          <w:rFonts w:ascii="Arial" w:hAnsi="Arial" w:cs="Arial"/>
          <w:color w:val="000000"/>
          <w:sz w:val="20"/>
          <w:szCs w:val="20"/>
        </w:rPr>
        <w:t xml:space="preserve"> </w:t>
      </w:r>
      <w:r w:rsidR="00FE127E" w:rsidRPr="00927940">
        <w:rPr>
          <w:rFonts w:ascii="Arial" w:hAnsi="Arial" w:cs="Arial"/>
          <w:color w:val="000000"/>
          <w:sz w:val="20"/>
          <w:szCs w:val="22"/>
        </w:rPr>
        <w:t xml:space="preserve">en forêts relevant du régime forestier dans les départements des Hautes-Pyrénées, de la Haute-Garonne et du Gers (hors forêt domaniale de </w:t>
      </w:r>
      <w:proofErr w:type="spellStart"/>
      <w:r w:rsidR="00FE127E" w:rsidRPr="00927940">
        <w:rPr>
          <w:rFonts w:ascii="Arial" w:hAnsi="Arial" w:cs="Arial"/>
          <w:color w:val="000000"/>
          <w:sz w:val="20"/>
          <w:szCs w:val="22"/>
        </w:rPr>
        <w:t>Bouconne</w:t>
      </w:r>
      <w:proofErr w:type="spellEnd"/>
      <w:r w:rsidR="00FE127E" w:rsidRPr="00927940">
        <w:rPr>
          <w:rFonts w:ascii="Arial" w:hAnsi="Arial" w:cs="Arial"/>
          <w:color w:val="000000"/>
          <w:sz w:val="20"/>
          <w:szCs w:val="22"/>
        </w:rPr>
        <w:t>).</w:t>
      </w:r>
      <w:bookmarkEnd w:id="0"/>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0C69433D" w14:textId="77777777" w:rsidR="002C21FB" w:rsidRDefault="002C21FB" w:rsidP="002C21FB">
      <w:pPr>
        <w:jc w:val="both"/>
        <w:outlineLvl w:val="0"/>
        <w:rPr>
          <w:rFonts w:ascii="Arial" w:hAnsi="Arial" w:cs="Arial"/>
          <w:sz w:val="20"/>
          <w:szCs w:val="20"/>
        </w:rPr>
      </w:pPr>
    </w:p>
    <w:p w14:paraId="4760A4BD" w14:textId="77777777" w:rsidR="00DD503F" w:rsidRPr="000643AF" w:rsidRDefault="00DD503F" w:rsidP="00DD503F">
      <w:pPr>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619CC884" w14:textId="77777777" w:rsidR="00DD503F" w:rsidRDefault="00DD503F" w:rsidP="00DD503F">
      <w:pPr>
        <w:ind w:left="708" w:firstLine="708"/>
        <w:jc w:val="center"/>
        <w:outlineLvl w:val="0"/>
        <w:rPr>
          <w:rFonts w:ascii="Arial" w:hAnsi="Arial" w:cs="Arial"/>
          <w:sz w:val="20"/>
          <w:szCs w:val="20"/>
        </w:rPr>
      </w:pPr>
      <w:r w:rsidRPr="002C21FB">
        <w:rPr>
          <w:rFonts w:ascii="Arial" w:hAnsi="Arial" w:cs="Arial"/>
          <w:sz w:val="20"/>
          <w:szCs w:val="20"/>
        </w:rPr>
        <w:t xml:space="preserve">Direction territoriale </w:t>
      </w:r>
      <w:proofErr w:type="spellStart"/>
      <w:r>
        <w:rPr>
          <w:rFonts w:ascii="Arial" w:hAnsi="Arial" w:cs="Arial"/>
          <w:sz w:val="20"/>
          <w:szCs w:val="20"/>
        </w:rPr>
        <w:t>Midi-Méditerranée</w:t>
      </w:r>
      <w:proofErr w:type="spellEnd"/>
    </w:p>
    <w:p w14:paraId="56C55255" w14:textId="77777777" w:rsidR="00DD503F" w:rsidRPr="008F7BEC" w:rsidRDefault="00DD503F" w:rsidP="00DD503F">
      <w:pPr>
        <w:ind w:left="708" w:firstLine="708"/>
        <w:jc w:val="center"/>
        <w:rPr>
          <w:rFonts w:ascii="Arial" w:hAnsi="Arial" w:cs="Arial"/>
          <w:sz w:val="20"/>
          <w:szCs w:val="20"/>
        </w:rPr>
      </w:pPr>
      <w:r w:rsidRPr="002C21FB">
        <w:rPr>
          <w:rFonts w:ascii="Arial" w:hAnsi="Arial" w:cs="Arial"/>
          <w:sz w:val="20"/>
          <w:szCs w:val="20"/>
        </w:rPr>
        <w:t xml:space="preserve">Agence </w:t>
      </w:r>
      <w:r>
        <w:rPr>
          <w:rFonts w:ascii="Arial" w:hAnsi="Arial" w:cs="Arial"/>
          <w:sz w:val="20"/>
          <w:szCs w:val="20"/>
        </w:rPr>
        <w:t>territoriale Pyrénées-Gascogne</w:t>
      </w:r>
    </w:p>
    <w:p w14:paraId="6AF473AC" w14:textId="77777777" w:rsidR="00DD503F" w:rsidRPr="00E90D8F" w:rsidRDefault="00DD503F" w:rsidP="00DD503F">
      <w:pPr>
        <w:rPr>
          <w:rFonts w:ascii="Arial" w:hAnsi="Arial" w:cs="Arial"/>
          <w:b/>
          <w:bCs/>
          <w:sz w:val="20"/>
          <w:szCs w:val="20"/>
        </w:rPr>
      </w:pPr>
      <w:r w:rsidRPr="002C21FB">
        <w:rPr>
          <w:rFonts w:ascii="Arial" w:hAnsi="Arial" w:cs="Arial"/>
          <w:b/>
          <w:sz w:val="20"/>
          <w:szCs w:val="20"/>
        </w:rPr>
        <w:t xml:space="preserve">Adresse : </w:t>
      </w:r>
      <w:r w:rsidRPr="00BF67F3">
        <w:rPr>
          <w:rFonts w:ascii="Arial" w:hAnsi="Arial" w:cs="Arial"/>
          <w:sz w:val="20"/>
          <w:szCs w:val="20"/>
        </w:rPr>
        <w:t>Centre Kennedy – rue Jean-Loup Chrétien</w:t>
      </w:r>
      <w:r>
        <w:rPr>
          <w:rFonts w:ascii="Arial" w:hAnsi="Arial" w:cs="Arial"/>
          <w:sz w:val="20"/>
          <w:szCs w:val="20"/>
        </w:rPr>
        <w:t xml:space="preserve"> - </w:t>
      </w:r>
      <w:r w:rsidRPr="00BF67F3">
        <w:rPr>
          <w:rFonts w:ascii="Arial" w:hAnsi="Arial" w:cs="Arial"/>
          <w:sz w:val="20"/>
          <w:szCs w:val="20"/>
        </w:rPr>
        <w:t>BP 1312</w:t>
      </w:r>
      <w:r>
        <w:rPr>
          <w:rFonts w:ascii="Arial" w:hAnsi="Arial" w:cs="Arial"/>
          <w:sz w:val="20"/>
          <w:szCs w:val="20"/>
        </w:rPr>
        <w:t xml:space="preserve"> - </w:t>
      </w:r>
      <w:r w:rsidRPr="00BF67F3">
        <w:rPr>
          <w:rFonts w:ascii="Arial" w:hAnsi="Arial" w:cs="Arial"/>
          <w:sz w:val="20"/>
          <w:szCs w:val="20"/>
        </w:rPr>
        <w:t>65013 TARBES Cedex 9</w:t>
      </w:r>
    </w:p>
    <w:p w14:paraId="3F0683CC" w14:textId="77777777" w:rsidR="00DD503F" w:rsidRPr="00025354" w:rsidRDefault="00DD503F" w:rsidP="00DD503F">
      <w:pPr>
        <w:widowControl w:val="0"/>
        <w:rPr>
          <w:rFonts w:ascii="Arial" w:hAnsi="Arial" w:cs="Arial"/>
          <w:sz w:val="20"/>
          <w:szCs w:val="22"/>
          <w:highlight w:val="cyan"/>
        </w:rPr>
      </w:pPr>
    </w:p>
    <w:p w14:paraId="77FAFBC1" w14:textId="77777777" w:rsidR="00DD503F" w:rsidRDefault="00DD503F" w:rsidP="00DD503F">
      <w:pPr>
        <w:pStyle w:val="Commentaire"/>
      </w:pPr>
      <w:r w:rsidRPr="009D27BA">
        <w:rPr>
          <w:rFonts w:ascii="Arial" w:hAnsi="Arial" w:cs="Arial"/>
          <w:szCs w:val="22"/>
        </w:rPr>
        <w:t>Représenté par M. MEUNIER Jean-Lou, Directeur de l’agence Pyrénées-Gascogne de l’Office national des forêts</w:t>
      </w:r>
    </w:p>
    <w:p w14:paraId="7299025D" w14:textId="77777777" w:rsidR="00DD503F" w:rsidRDefault="00DD503F" w:rsidP="00DD503F">
      <w:pPr>
        <w:autoSpaceDE w:val="0"/>
        <w:autoSpaceDN w:val="0"/>
        <w:adjustRightInd w:val="0"/>
        <w:outlineLvl w:val="0"/>
        <w:rPr>
          <w:rFonts w:ascii="Arial" w:hAnsi="Arial" w:cs="Arial"/>
          <w:b/>
          <w:bCs/>
          <w:sz w:val="20"/>
          <w:szCs w:val="20"/>
        </w:rPr>
      </w:pPr>
    </w:p>
    <w:p w14:paraId="72FC8F4F" w14:textId="77777777" w:rsidR="00DD503F" w:rsidRDefault="00DD503F" w:rsidP="00DD503F">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Pr>
          <w:rFonts w:ascii="Arial" w:hAnsi="Arial" w:cs="Arial"/>
          <w:b/>
          <w:bCs/>
          <w:sz w:val="20"/>
          <w:szCs w:val="20"/>
        </w:rPr>
        <w:t>de l’accord-cadre</w:t>
      </w:r>
      <w:r w:rsidRPr="002C21FB">
        <w:rPr>
          <w:rFonts w:ascii="Arial" w:hAnsi="Arial" w:cs="Arial"/>
          <w:b/>
          <w:bCs/>
          <w:sz w:val="20"/>
          <w:szCs w:val="20"/>
        </w:rPr>
        <w:t> :</w:t>
      </w:r>
      <w:r w:rsidRPr="002C21FB">
        <w:rPr>
          <w:rFonts w:ascii="Arial" w:hAnsi="Arial" w:cs="Arial"/>
          <w:sz w:val="20"/>
          <w:szCs w:val="20"/>
        </w:rPr>
        <w:t xml:space="preserve"> </w:t>
      </w:r>
    </w:p>
    <w:p w14:paraId="5E12CEB2" w14:textId="77777777" w:rsidR="00DD503F" w:rsidRDefault="00DD503F" w:rsidP="00DD503F">
      <w:pPr>
        <w:autoSpaceDE w:val="0"/>
        <w:autoSpaceDN w:val="0"/>
        <w:adjustRightInd w:val="0"/>
        <w:jc w:val="center"/>
        <w:outlineLvl w:val="0"/>
        <w:rPr>
          <w:rFonts w:ascii="Arial" w:hAnsi="Arial" w:cs="Arial"/>
          <w:sz w:val="20"/>
          <w:szCs w:val="20"/>
        </w:rPr>
      </w:pPr>
      <w:r>
        <w:rPr>
          <w:rFonts w:ascii="Arial" w:hAnsi="Arial" w:cs="Arial"/>
          <w:sz w:val="20"/>
          <w:szCs w:val="20"/>
        </w:rPr>
        <w:t>Mme CAHEN Mathilde, Responsable du service Bois de l’agence Pyrénées-Gascogne</w:t>
      </w:r>
    </w:p>
    <w:p w14:paraId="12906C64" w14:textId="77777777" w:rsidR="00DD503F" w:rsidRPr="003777A0" w:rsidRDefault="00DD503F" w:rsidP="00DD503F">
      <w:pPr>
        <w:jc w:val="center"/>
        <w:rPr>
          <w:rFonts w:ascii="Arial" w:hAnsi="Arial" w:cs="Arial"/>
          <w:sz w:val="20"/>
          <w:szCs w:val="20"/>
        </w:rPr>
      </w:pPr>
      <w:r w:rsidRPr="003777A0">
        <w:rPr>
          <w:rFonts w:ascii="Arial" w:hAnsi="Arial" w:cs="Arial"/>
          <w:sz w:val="20"/>
          <w:szCs w:val="20"/>
        </w:rPr>
        <w:t>Téléphone : 06.22.04.96.94</w:t>
      </w:r>
      <w:r>
        <w:rPr>
          <w:rFonts w:ascii="Arial" w:hAnsi="Arial" w:cs="Arial"/>
          <w:sz w:val="20"/>
          <w:szCs w:val="20"/>
        </w:rPr>
        <w:t xml:space="preserve"> - </w:t>
      </w: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8" w:history="1">
        <w:r w:rsidRPr="003777A0">
          <w:rPr>
            <w:rStyle w:val="Lienhypertexte"/>
            <w:rFonts w:ascii="Arial" w:hAnsi="Arial" w:cs="Arial"/>
            <w:sz w:val="20"/>
            <w:szCs w:val="20"/>
          </w:rPr>
          <w:t>mathilde.cahen@onf.fr</w:t>
        </w:r>
      </w:hyperlink>
    </w:p>
    <w:p w14:paraId="499AF71E" w14:textId="77777777" w:rsidR="00DD503F" w:rsidRDefault="00DD503F" w:rsidP="00DD503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59071BFA" w14:textId="77777777" w:rsidR="00DD503F" w:rsidRDefault="00DD503F" w:rsidP="00DD503F">
      <w:pPr>
        <w:shd w:val="clear" w:color="auto" w:fill="FFFFFF" w:themeFill="background1"/>
        <w:spacing w:before="60"/>
        <w:jc w:val="center"/>
        <w:rPr>
          <w:rFonts w:ascii="Arial" w:hAnsi="Arial" w:cs="Arial"/>
          <w:sz w:val="20"/>
        </w:rPr>
      </w:pPr>
      <w:r>
        <w:rPr>
          <w:rFonts w:ascii="Arial" w:hAnsi="Arial" w:cs="Arial"/>
          <w:sz w:val="20"/>
        </w:rPr>
        <w:t xml:space="preserve">Mme LEPETIT Catherine, Agent Comptable Secondaire de la DT </w:t>
      </w:r>
      <w:proofErr w:type="spellStart"/>
      <w:r>
        <w:rPr>
          <w:rFonts w:ascii="Arial" w:hAnsi="Arial" w:cs="Arial"/>
          <w:sz w:val="20"/>
        </w:rPr>
        <w:t>midi-Méditerranée</w:t>
      </w:r>
      <w:proofErr w:type="spellEnd"/>
    </w:p>
    <w:p w14:paraId="00C93D1C" w14:textId="77777777" w:rsidR="00DD503F" w:rsidRPr="003777A0" w:rsidRDefault="00DD503F" w:rsidP="00DD503F">
      <w:pPr>
        <w:jc w:val="center"/>
        <w:rPr>
          <w:rFonts w:ascii="Arial" w:hAnsi="Arial" w:cs="Arial"/>
          <w:sz w:val="20"/>
          <w:szCs w:val="20"/>
        </w:rPr>
      </w:pPr>
      <w:r w:rsidRPr="003777A0">
        <w:rPr>
          <w:rFonts w:ascii="Arial" w:hAnsi="Arial" w:cs="Arial"/>
          <w:sz w:val="20"/>
          <w:szCs w:val="20"/>
        </w:rPr>
        <w:t>505 rue de la Croix Verte</w:t>
      </w:r>
      <w:r>
        <w:rPr>
          <w:rFonts w:ascii="Arial" w:hAnsi="Arial" w:cs="Arial"/>
          <w:sz w:val="20"/>
          <w:szCs w:val="20"/>
        </w:rPr>
        <w:t xml:space="preserve"> - </w:t>
      </w:r>
      <w:r w:rsidRPr="003777A0">
        <w:rPr>
          <w:rFonts w:ascii="Arial" w:hAnsi="Arial" w:cs="Arial"/>
          <w:sz w:val="20"/>
          <w:szCs w:val="20"/>
        </w:rPr>
        <w:t>34000 MONTPELLIER</w:t>
      </w:r>
    </w:p>
    <w:p w14:paraId="433A153E" w14:textId="77777777" w:rsidR="00DD503F" w:rsidRPr="003777A0" w:rsidRDefault="00DD503F" w:rsidP="00DD503F">
      <w:pPr>
        <w:jc w:val="center"/>
        <w:rPr>
          <w:rFonts w:ascii="Arial" w:hAnsi="Arial" w:cs="Arial"/>
          <w:sz w:val="20"/>
          <w:szCs w:val="20"/>
        </w:rPr>
      </w:pPr>
      <w:r w:rsidRPr="003777A0">
        <w:rPr>
          <w:rFonts w:ascii="Arial" w:hAnsi="Arial" w:cs="Arial"/>
          <w:sz w:val="20"/>
          <w:szCs w:val="20"/>
        </w:rPr>
        <w:t>Téléphone : 06.11.77.30.80</w:t>
      </w:r>
    </w:p>
    <w:p w14:paraId="264DBC99" w14:textId="77777777" w:rsidR="00DD503F" w:rsidRPr="003777A0" w:rsidRDefault="00DD503F" w:rsidP="00DD503F">
      <w:pPr>
        <w:jc w:val="center"/>
        <w:rPr>
          <w:rFonts w:ascii="Arial" w:hAnsi="Arial" w:cs="Arial"/>
          <w:sz w:val="20"/>
          <w:szCs w:val="20"/>
        </w:rPr>
      </w:pP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9" w:history="1">
        <w:r w:rsidRPr="003777A0">
          <w:rPr>
            <w:rStyle w:val="Lienhypertexte"/>
            <w:rFonts w:ascii="Arial" w:hAnsi="Arial" w:cs="Arial"/>
            <w:sz w:val="20"/>
            <w:szCs w:val="20"/>
          </w:rPr>
          <w:t>catherine.lepetit@onf.fr</w:t>
        </w:r>
      </w:hyperlink>
    </w:p>
    <w:p w14:paraId="0F490D0E" w14:textId="77777777" w:rsidR="00DD503F" w:rsidRDefault="00DD503F" w:rsidP="00DD503F">
      <w:pPr>
        <w:shd w:val="clear" w:color="auto" w:fill="FFFFFF" w:themeFill="background1"/>
        <w:spacing w:before="60"/>
        <w:jc w:val="both"/>
        <w:rPr>
          <w:rFonts w:ascii="Arial" w:hAnsi="Arial" w:cs="Arial"/>
          <w:sz w:val="20"/>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Désignation, adresse, numéro de téléphone du comptable assignataire</w:t>
      </w:r>
      <w:r w:rsidRPr="002C21FB">
        <w:rPr>
          <w:rFonts w:ascii="Arial" w:hAnsi="Arial" w:cs="Arial"/>
          <w:sz w:val="20"/>
        </w:rPr>
        <w:t xml:space="preserve"> : </w:t>
      </w:r>
    </w:p>
    <w:p w14:paraId="008692E7" w14:textId="77777777" w:rsidR="00DD503F" w:rsidRDefault="00DD503F" w:rsidP="00DD503F">
      <w:pPr>
        <w:shd w:val="clear" w:color="auto" w:fill="FFFFFF" w:themeFill="background1"/>
        <w:spacing w:before="60"/>
        <w:jc w:val="center"/>
        <w:rPr>
          <w:rFonts w:ascii="Arial" w:hAnsi="Arial" w:cs="Arial"/>
          <w:sz w:val="20"/>
        </w:rPr>
      </w:pPr>
      <w:r>
        <w:rPr>
          <w:rFonts w:ascii="Arial" w:hAnsi="Arial" w:cs="Arial"/>
          <w:sz w:val="20"/>
        </w:rPr>
        <w:t xml:space="preserve">Mme LEPETIT Catherine, Agent Comptable Secondaire de la DT </w:t>
      </w:r>
      <w:proofErr w:type="spellStart"/>
      <w:r>
        <w:rPr>
          <w:rFonts w:ascii="Arial" w:hAnsi="Arial" w:cs="Arial"/>
          <w:sz w:val="20"/>
        </w:rPr>
        <w:t>midi-Méditerranée</w:t>
      </w:r>
      <w:proofErr w:type="spellEnd"/>
    </w:p>
    <w:p w14:paraId="45BE5FF7" w14:textId="77777777" w:rsidR="00DD503F" w:rsidRPr="003777A0" w:rsidRDefault="00DD503F" w:rsidP="00DD503F">
      <w:pPr>
        <w:jc w:val="center"/>
        <w:rPr>
          <w:rFonts w:ascii="Arial" w:hAnsi="Arial" w:cs="Arial"/>
          <w:sz w:val="20"/>
          <w:szCs w:val="20"/>
        </w:rPr>
      </w:pPr>
      <w:r w:rsidRPr="003777A0">
        <w:rPr>
          <w:rFonts w:ascii="Arial" w:hAnsi="Arial" w:cs="Arial"/>
          <w:sz w:val="20"/>
          <w:szCs w:val="20"/>
        </w:rPr>
        <w:t>Téléphone : 06.11.77.30.80</w:t>
      </w:r>
      <w:r>
        <w:rPr>
          <w:rFonts w:ascii="Arial" w:hAnsi="Arial" w:cs="Arial"/>
          <w:sz w:val="20"/>
          <w:szCs w:val="20"/>
        </w:rPr>
        <w:t xml:space="preserve"> - </w:t>
      </w:r>
      <w:proofErr w:type="gramStart"/>
      <w:r w:rsidRPr="003777A0">
        <w:rPr>
          <w:rFonts w:ascii="Arial" w:hAnsi="Arial" w:cs="Arial"/>
          <w:sz w:val="20"/>
          <w:szCs w:val="20"/>
        </w:rPr>
        <w:t>Email</w:t>
      </w:r>
      <w:proofErr w:type="gramEnd"/>
      <w:r w:rsidRPr="003777A0">
        <w:rPr>
          <w:rFonts w:ascii="Arial" w:hAnsi="Arial" w:cs="Arial"/>
          <w:sz w:val="20"/>
          <w:szCs w:val="20"/>
        </w:rPr>
        <w:t xml:space="preserve"> : </w:t>
      </w:r>
      <w:hyperlink r:id="rId10" w:history="1">
        <w:r w:rsidRPr="003777A0">
          <w:rPr>
            <w:rStyle w:val="Lienhypertexte"/>
            <w:rFonts w:ascii="Arial" w:hAnsi="Arial" w:cs="Arial"/>
            <w:sz w:val="20"/>
            <w:szCs w:val="20"/>
          </w:rPr>
          <w:t>catherine.lepetit@onf.fr</w:t>
        </w:r>
      </w:hyperlink>
    </w:p>
    <w:p w14:paraId="1EA15BB2" w14:textId="77777777" w:rsidR="00DD503F" w:rsidRDefault="00DD503F" w:rsidP="009F4C1F">
      <w:pPr>
        <w:outlineLvl w:val="0"/>
        <w:rPr>
          <w:rFonts w:ascii="Arial" w:hAnsi="Arial" w:cs="Arial"/>
          <w:b/>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lastRenderedPageBreak/>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8DE52D5" w14:textId="0DC87B75" w:rsidR="00116778" w:rsidRPr="008B43FC" w:rsidRDefault="002C21FB" w:rsidP="008B43FC">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23BC1238" w14:textId="66ABD384"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1" w:name="_Hlk60680871"/>
      <w:r w:rsidR="000A596D">
        <w:rPr>
          <w:rFonts w:ascii="Arial" w:hAnsi="Arial" w:cs="Arial"/>
          <w:sz w:val="20"/>
          <w:szCs w:val="20"/>
        </w:rPr>
        <w:t>9</w:t>
      </w:r>
      <w:r w:rsidR="009138D9" w:rsidRPr="008B1B38">
        <w:rPr>
          <w:rFonts w:ascii="Arial" w:hAnsi="Arial" w:cs="Arial"/>
          <w:sz w:val="20"/>
          <w:szCs w:val="20"/>
        </w:rPr>
        <w:t>0 jours</w:t>
      </w:r>
      <w:bookmarkEnd w:id="1"/>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77777777" w:rsidR="008B1B38" w:rsidRDefault="008B1B3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lastRenderedPageBreak/>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916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81"/>
        <w:gridCol w:w="4581"/>
      </w:tblGrid>
      <w:tr w:rsidR="008B1B38" w:rsidRPr="00F51FF1" w14:paraId="0E113A4E" w14:textId="77777777" w:rsidTr="00A7247E">
        <w:trPr>
          <w:trHeight w:val="1086"/>
        </w:trPr>
        <w:tc>
          <w:tcPr>
            <w:tcW w:w="4581" w:type="dxa"/>
            <w:tcBorders>
              <w:top w:val="single" w:sz="4" w:space="0" w:color="auto"/>
              <w:left w:val="single" w:sz="4" w:space="0" w:color="auto"/>
              <w:bottom w:val="single" w:sz="4" w:space="0" w:color="auto"/>
            </w:tcBorders>
          </w:tcPr>
          <w:p w14:paraId="6A230238" w14:textId="1AE84A08" w:rsidR="00DD503F" w:rsidRDefault="00DD503F" w:rsidP="00CC5D3C">
            <w:pPr>
              <w:autoSpaceDE w:val="0"/>
              <w:autoSpaceDN w:val="0"/>
              <w:adjustRightInd w:val="0"/>
              <w:jc w:val="both"/>
              <w:rPr>
                <w:sz w:val="22"/>
                <w:szCs w:val="22"/>
              </w:rPr>
            </w:pPr>
          </w:p>
          <w:p w14:paraId="3BAD3170" w14:textId="43C14FE6" w:rsidR="008B1B38" w:rsidRPr="002C21FB" w:rsidRDefault="008B1B38" w:rsidP="00CC5D3C">
            <w:pPr>
              <w:autoSpaceDE w:val="0"/>
              <w:autoSpaceDN w:val="0"/>
              <w:adjustRightInd w:val="0"/>
              <w:jc w:val="both"/>
              <w:rPr>
                <w:sz w:val="22"/>
                <w:szCs w:val="22"/>
              </w:rPr>
            </w:pPr>
            <w:r w:rsidRPr="002C21FB">
              <w:rPr>
                <w:sz w:val="22"/>
                <w:szCs w:val="22"/>
              </w:rPr>
              <w:t xml:space="preserve"> </w:t>
            </w:r>
            <w:r w:rsidR="00FE127E">
              <w:rPr>
                <w:sz w:val="22"/>
                <w:szCs w:val="22"/>
              </w:rPr>
              <w:fldChar w:fldCharType="begin">
                <w:ffData>
                  <w:name w:val="CaseACocher1"/>
                  <w:enabled/>
                  <w:calcOnExit w:val="0"/>
                  <w:checkBox>
                    <w:sizeAuto/>
                    <w:default w:val="1"/>
                  </w:checkBox>
                </w:ffData>
              </w:fldChar>
            </w:r>
            <w:bookmarkStart w:id="2" w:name="CaseACocher1"/>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bookmarkEnd w:id="2"/>
            <w:r w:rsidRPr="002C21FB">
              <w:rPr>
                <w:sz w:val="22"/>
                <w:szCs w:val="22"/>
              </w:rPr>
              <w:t xml:space="preserve"> Abattage / Façonnage</w:t>
            </w:r>
          </w:p>
          <w:p w14:paraId="23417265" w14:textId="1205720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E127E">
              <w:rPr>
                <w:sz w:val="22"/>
                <w:szCs w:val="22"/>
              </w:rPr>
              <w:fldChar w:fldCharType="begin">
                <w:ffData>
                  <w:name w:val="CaseACocher2"/>
                  <w:enabled/>
                  <w:calcOnExit w:val="0"/>
                  <w:checkBox>
                    <w:sizeAuto/>
                    <w:default w:val="1"/>
                  </w:checkBox>
                </w:ffData>
              </w:fldChar>
            </w:r>
            <w:bookmarkStart w:id="3" w:name="CaseACocher2"/>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bookmarkEnd w:id="3"/>
            <w:r w:rsidRPr="002C21FB">
              <w:rPr>
                <w:sz w:val="22"/>
                <w:szCs w:val="22"/>
              </w:rPr>
              <w:t xml:space="preserve"> Débardage</w:t>
            </w:r>
          </w:p>
          <w:p w14:paraId="28D305FF"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3"/>
                  <w:enabled/>
                  <w:calcOnExit w:val="0"/>
                  <w:checkBox>
                    <w:sizeAuto/>
                    <w:default w:val="0"/>
                  </w:checkBox>
                </w:ffData>
              </w:fldChar>
            </w:r>
            <w:bookmarkStart w:id="4" w:name="CaseACocher3"/>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4"/>
            <w:r w:rsidRPr="002C21FB">
              <w:rPr>
                <w:sz w:val="22"/>
                <w:szCs w:val="22"/>
              </w:rPr>
              <w:t xml:space="preserve"> Abattage / Façonnage / Débardage</w:t>
            </w:r>
          </w:p>
          <w:p w14:paraId="4D36C3B5" w14:textId="562EA029" w:rsidR="008B1B38" w:rsidRPr="002C21FB" w:rsidRDefault="008B1B38" w:rsidP="002C21FB">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E127E">
              <w:rPr>
                <w:sz w:val="22"/>
                <w:szCs w:val="22"/>
              </w:rPr>
              <w:fldChar w:fldCharType="begin">
                <w:ffData>
                  <w:name w:val="CaseACocher9"/>
                  <w:enabled/>
                  <w:calcOnExit w:val="0"/>
                  <w:checkBox>
                    <w:sizeAuto/>
                    <w:default w:val="1"/>
                  </w:checkBox>
                </w:ffData>
              </w:fldChar>
            </w:r>
            <w:bookmarkStart w:id="5" w:name="CaseACocher9"/>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bookmarkEnd w:id="5"/>
            <w:r w:rsidR="002C21FB" w:rsidRPr="002C21FB">
              <w:rPr>
                <w:sz w:val="22"/>
                <w:szCs w:val="22"/>
              </w:rPr>
              <w:t xml:space="preserve"> Bois Énergie (houppier, taillis en vrac…)</w:t>
            </w:r>
          </w:p>
        </w:tc>
        <w:tc>
          <w:tcPr>
            <w:tcW w:w="4581" w:type="dxa"/>
            <w:tcBorders>
              <w:top w:val="single" w:sz="4" w:space="0" w:color="auto"/>
              <w:bottom w:val="single" w:sz="4" w:space="0" w:color="auto"/>
              <w:right w:val="single" w:sz="4" w:space="0" w:color="auto"/>
            </w:tcBorders>
          </w:tcPr>
          <w:p w14:paraId="48FED277" w14:textId="5BEA3A09"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5048683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E127E">
              <w:rPr>
                <w:sz w:val="22"/>
                <w:szCs w:val="22"/>
              </w:rPr>
              <w:fldChar w:fldCharType="begin">
                <w:ffData>
                  <w:name w:val="CaseACocher5"/>
                  <w:enabled/>
                  <w:calcOnExit w:val="0"/>
                  <w:checkBox>
                    <w:sizeAuto/>
                    <w:default w:val="1"/>
                  </w:checkBox>
                </w:ffData>
              </w:fldChar>
            </w:r>
            <w:bookmarkStart w:id="6" w:name="CaseACocher5"/>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bookmarkEnd w:id="6"/>
            <w:r w:rsidRPr="002C21FB">
              <w:rPr>
                <w:sz w:val="22"/>
                <w:szCs w:val="22"/>
              </w:rPr>
              <w:t xml:space="preserve"> Grume résineuse (&gt; 6m)</w:t>
            </w:r>
          </w:p>
          <w:p w14:paraId="35D9E3CA" w14:textId="2A81227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E127E">
              <w:rPr>
                <w:sz w:val="22"/>
                <w:szCs w:val="22"/>
              </w:rPr>
              <w:fldChar w:fldCharType="begin">
                <w:ffData>
                  <w:name w:val="CaseACocher6"/>
                  <w:enabled/>
                  <w:calcOnExit w:val="0"/>
                  <w:checkBox>
                    <w:sizeAuto/>
                    <w:default w:val="1"/>
                  </w:checkBox>
                </w:ffData>
              </w:fldChar>
            </w:r>
            <w:bookmarkStart w:id="7" w:name="CaseACocher6"/>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bookmarkEnd w:id="7"/>
            <w:r w:rsidRPr="002C21FB">
              <w:rPr>
                <w:sz w:val="22"/>
                <w:szCs w:val="22"/>
              </w:rPr>
              <w:t xml:space="preserve"> Grume feuillue (&gt; 6m)</w:t>
            </w:r>
          </w:p>
          <w:p w14:paraId="604C0E2A" w14:textId="3E25FED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E127E">
              <w:rPr>
                <w:sz w:val="22"/>
                <w:szCs w:val="22"/>
              </w:rPr>
              <w:fldChar w:fldCharType="begin">
                <w:ffData>
                  <w:name w:val="CaseACocher7"/>
                  <w:enabled/>
                  <w:calcOnExit w:val="0"/>
                  <w:checkBox>
                    <w:sizeAuto/>
                    <w:default w:val="1"/>
                  </w:checkBox>
                </w:ffData>
              </w:fldChar>
            </w:r>
            <w:bookmarkStart w:id="8" w:name="CaseACocher7"/>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bookmarkEnd w:id="8"/>
            <w:r w:rsidRPr="002C21FB">
              <w:rPr>
                <w:sz w:val="22"/>
                <w:szCs w:val="22"/>
              </w:rPr>
              <w:t xml:space="preserve"> Billons résineux</w:t>
            </w:r>
          </w:p>
          <w:p w14:paraId="3875A313" w14:textId="57C456EC"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E127E">
              <w:rPr>
                <w:sz w:val="22"/>
                <w:szCs w:val="22"/>
              </w:rPr>
              <w:fldChar w:fldCharType="begin">
                <w:ffData>
                  <w:name w:val="CaseACocher8"/>
                  <w:enabled/>
                  <w:calcOnExit w:val="0"/>
                  <w:checkBox>
                    <w:sizeAuto/>
                    <w:default w:val="1"/>
                  </w:checkBox>
                </w:ffData>
              </w:fldChar>
            </w:r>
            <w:bookmarkStart w:id="9" w:name="CaseACocher8"/>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bookmarkEnd w:id="9"/>
            <w:r w:rsidRPr="002C21FB">
              <w:rPr>
                <w:sz w:val="22"/>
                <w:szCs w:val="22"/>
              </w:rPr>
              <w:t xml:space="preserve"> Billons feuillu</w:t>
            </w:r>
            <w:r w:rsidR="00DD503F">
              <w:rPr>
                <w:sz w:val="22"/>
                <w:szCs w:val="22"/>
              </w:rPr>
              <w:t>s</w:t>
            </w:r>
          </w:p>
          <w:p w14:paraId="13FDE39A" w14:textId="2611400F" w:rsidR="008B1B38" w:rsidRPr="002C21FB" w:rsidRDefault="008B1B38" w:rsidP="002C21FB">
            <w:pPr>
              <w:autoSpaceDE w:val="0"/>
              <w:autoSpaceDN w:val="0"/>
              <w:adjustRightInd w:val="0"/>
              <w:jc w:val="both"/>
              <w:rPr>
                <w:sz w:val="20"/>
                <w:szCs w:val="20"/>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0"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0"/>
            <w:r w:rsidRPr="002C21FB">
              <w:rPr>
                <w:sz w:val="22"/>
                <w:szCs w:val="22"/>
              </w:rPr>
              <w:t xml:space="preserve"> Cubage  </w:t>
            </w:r>
          </w:p>
          <w:p w14:paraId="1AE0984D"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1"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1"/>
            <w:r w:rsidRPr="002C21FB">
              <w:rPr>
                <w:sz w:val="22"/>
                <w:szCs w:val="22"/>
              </w:rPr>
              <w:t xml:space="preserve"> Cubage et classement   </w:t>
            </w:r>
          </w:p>
          <w:p w14:paraId="353F797F" w14:textId="57A697D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E127E">
              <w:rPr>
                <w:sz w:val="22"/>
                <w:szCs w:val="22"/>
              </w:rPr>
              <w:fldChar w:fldCharType="begin">
                <w:ffData>
                  <w:name w:val="CaseACocher12"/>
                  <w:enabled/>
                  <w:calcOnExit w:val="0"/>
                  <w:checkBox>
                    <w:sizeAuto/>
                    <w:default w:val="1"/>
                  </w:checkBox>
                </w:ffData>
              </w:fldChar>
            </w:r>
            <w:bookmarkStart w:id="12" w:name="CaseACocher12"/>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bookmarkEnd w:id="12"/>
            <w:r w:rsidRPr="002C21FB">
              <w:rPr>
                <w:sz w:val="22"/>
                <w:szCs w:val="22"/>
              </w:rPr>
              <w:t xml:space="preserve"> Câblage et sécurisation des routes  </w:t>
            </w:r>
          </w:p>
          <w:p w14:paraId="5F24C777"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3"/>
            <w:r w:rsidRPr="002C21FB">
              <w:rPr>
                <w:sz w:val="22"/>
                <w:szCs w:val="22"/>
              </w:rPr>
              <w:fldChar w:fldCharType="begin">
                <w:ffData>
                  <w:name w:val="CaseACocher13"/>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Pr="002C21FB">
              <w:rPr>
                <w:sz w:val="22"/>
                <w:szCs w:val="22"/>
              </w:rPr>
              <w:t xml:space="preserve"> 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580E49CB" w14:textId="3C203E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4"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52A3695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FB56B1">
              <w:rPr>
                <w:sz w:val="22"/>
                <w:szCs w:val="22"/>
              </w:rPr>
              <w:fldChar w:fldCharType="begin">
                <w:ffData>
                  <w:name w:val="CaseACocher15"/>
                  <w:enabled/>
                  <w:calcOnExit w:val="0"/>
                  <w:checkBox>
                    <w:sizeAuto/>
                    <w:default w:val="1"/>
                  </w:checkBox>
                </w:ffData>
              </w:fldChar>
            </w:r>
            <w:bookmarkStart w:id="15" w:name="CaseACocher15"/>
            <w:r w:rsidR="00FB56B1">
              <w:rPr>
                <w:sz w:val="22"/>
                <w:szCs w:val="22"/>
              </w:rPr>
              <w:instrText xml:space="preserve"> FORMCHECKBOX </w:instrText>
            </w:r>
            <w:r w:rsidR="00FB56B1">
              <w:rPr>
                <w:sz w:val="22"/>
                <w:szCs w:val="22"/>
              </w:rPr>
            </w:r>
            <w:r w:rsidR="00FB56B1">
              <w:rPr>
                <w:sz w:val="22"/>
                <w:szCs w:val="22"/>
              </w:rPr>
              <w:fldChar w:fldCharType="separate"/>
            </w:r>
            <w:r w:rsidR="00FB56B1">
              <w:rPr>
                <w:sz w:val="22"/>
                <w:szCs w:val="22"/>
              </w:rPr>
              <w:fldChar w:fldCharType="end"/>
            </w:r>
            <w:bookmarkEnd w:id="15"/>
            <w:r w:rsidRPr="002C21FB">
              <w:rPr>
                <w:sz w:val="22"/>
                <w:szCs w:val="22"/>
              </w:rPr>
              <w:t xml:space="preserve"> Traitement des souches (si non exhaustif) </w:t>
            </w:r>
          </w:p>
          <w:p w14:paraId="1018416C"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6" w:name="CaseACocher16"/>
            <w:r w:rsidRPr="002C21FB">
              <w:rPr>
                <w:sz w:val="22"/>
                <w:szCs w:val="22"/>
              </w:rPr>
              <w:fldChar w:fldCharType="begin">
                <w:ffData>
                  <w:name w:val="CaseACocher1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6"/>
            <w:r w:rsidRPr="002C21FB">
              <w:rPr>
                <w:sz w:val="22"/>
                <w:szCs w:val="22"/>
              </w:rPr>
              <w:t xml:space="preserve"> Désignation par l’ETF  </w:t>
            </w: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271653F6" w14:textId="45D18B6A" w:rsidR="008B1B38" w:rsidRPr="00DD503F" w:rsidRDefault="008B1B38" w:rsidP="00DD503F">
      <w:pPr>
        <w:autoSpaceDE w:val="0"/>
        <w:autoSpaceDN w:val="0"/>
        <w:adjustRightInd w:val="0"/>
        <w:jc w:val="both"/>
        <w:rPr>
          <w:sz w:val="22"/>
          <w:szCs w:val="22"/>
        </w:rPr>
      </w:pPr>
      <w:r w:rsidRPr="00EB373D">
        <w:rPr>
          <w:sz w:val="22"/>
          <w:szCs w:val="22"/>
        </w:rPr>
        <w:t>Les prestations sont à exécuter sur les zones géographiques ci-après définies :</w:t>
      </w:r>
      <w:r>
        <w:rPr>
          <w:b/>
          <w:bCs/>
          <w:sz w:val="22"/>
          <w:szCs w:val="22"/>
        </w:rPr>
        <w:tab/>
      </w:r>
      <w:r>
        <w:rPr>
          <w:b/>
          <w:bCs/>
          <w:sz w:val="22"/>
          <w:szCs w:val="22"/>
        </w:rPr>
        <w:tab/>
      </w:r>
      <w:r>
        <w:rPr>
          <w:b/>
          <w:bCs/>
          <w:sz w:val="22"/>
          <w:szCs w:val="22"/>
        </w:rPr>
        <w:tab/>
      </w:r>
      <w:r>
        <w:rPr>
          <w:b/>
          <w:bCs/>
          <w:sz w:val="22"/>
          <w:szCs w:val="22"/>
        </w:rPr>
        <w:tab/>
        <w:t xml:space="preserve">                   </w:t>
      </w:r>
    </w:p>
    <w:p w14:paraId="5CB2BB92" w14:textId="0981FC9F"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961136">
        <w:rPr>
          <w:sz w:val="22"/>
          <w:szCs w:val="22"/>
        </w:rPr>
        <w:fldChar w:fldCharType="begin">
          <w:ffData>
            <w:name w:val="CaseACocher19"/>
            <w:enabled/>
            <w:calcOnExit w:val="0"/>
            <w:checkBox>
              <w:sizeAuto/>
              <w:default w:val="1"/>
            </w:checkBox>
          </w:ffData>
        </w:fldChar>
      </w:r>
      <w:bookmarkStart w:id="17" w:name="CaseACocher19"/>
      <w:r w:rsidR="00961136">
        <w:rPr>
          <w:sz w:val="22"/>
          <w:szCs w:val="22"/>
        </w:rPr>
        <w:instrText xml:space="preserve"> FORMCHECKBOX </w:instrText>
      </w:r>
      <w:r w:rsidR="00961136">
        <w:rPr>
          <w:sz w:val="22"/>
          <w:szCs w:val="22"/>
        </w:rPr>
      </w:r>
      <w:r w:rsidR="00961136">
        <w:rPr>
          <w:sz w:val="22"/>
          <w:szCs w:val="22"/>
        </w:rPr>
        <w:fldChar w:fldCharType="separate"/>
      </w:r>
      <w:r w:rsidR="00961136">
        <w:rPr>
          <w:sz w:val="22"/>
          <w:szCs w:val="22"/>
        </w:rPr>
        <w:fldChar w:fldCharType="end"/>
      </w:r>
      <w:bookmarkEnd w:id="17"/>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961136">
        <w:rPr>
          <w:sz w:val="22"/>
          <w:szCs w:val="22"/>
        </w:rPr>
        <w:t>Pyrénées-Gascogne</w:t>
      </w: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13035CA6" w14:textId="5C6CD079" w:rsidR="008B1B38"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961136">
        <w:rPr>
          <w:sz w:val="22"/>
          <w:szCs w:val="22"/>
        </w:rPr>
        <w:fldChar w:fldCharType="begin">
          <w:ffData>
            <w:name w:val="CaseACocher18"/>
            <w:enabled/>
            <w:calcOnExit w:val="0"/>
            <w:checkBox>
              <w:sizeAuto/>
              <w:default w:val="1"/>
            </w:checkBox>
          </w:ffData>
        </w:fldChar>
      </w:r>
      <w:bookmarkStart w:id="18" w:name="CaseACocher18"/>
      <w:r w:rsidR="00961136">
        <w:rPr>
          <w:sz w:val="22"/>
          <w:szCs w:val="22"/>
        </w:rPr>
        <w:instrText xml:space="preserve"> FORMCHECKBOX </w:instrText>
      </w:r>
      <w:r w:rsidR="00961136">
        <w:rPr>
          <w:sz w:val="22"/>
          <w:szCs w:val="22"/>
        </w:rPr>
      </w:r>
      <w:r w:rsidR="00961136">
        <w:rPr>
          <w:sz w:val="22"/>
          <w:szCs w:val="22"/>
        </w:rPr>
        <w:fldChar w:fldCharType="separate"/>
      </w:r>
      <w:r w:rsidR="00961136">
        <w:rPr>
          <w:sz w:val="22"/>
          <w:szCs w:val="22"/>
        </w:rPr>
        <w:fldChar w:fldCharType="end"/>
      </w:r>
      <w:bookmarkEnd w:id="18"/>
      <w:r w:rsidRPr="008F3949">
        <w:rPr>
          <w:sz w:val="22"/>
          <w:szCs w:val="22"/>
        </w:rPr>
        <w:t xml:space="preserve"> Département(s) :  </w:t>
      </w:r>
      <w:r w:rsidR="00961136">
        <w:rPr>
          <w:sz w:val="22"/>
          <w:szCs w:val="22"/>
        </w:rPr>
        <w:t>65-31-32</w:t>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19"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19"/>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7A6B2653" w14:textId="77777777" w:rsidR="00FE127E" w:rsidRDefault="00FE127E" w:rsidP="008B1B38">
      <w:pPr>
        <w:autoSpaceDE w:val="0"/>
        <w:autoSpaceDN w:val="0"/>
        <w:adjustRightInd w:val="0"/>
        <w:jc w:val="both"/>
        <w:outlineLvl w:val="0"/>
        <w:rPr>
          <w:b/>
          <w:bCs/>
          <w:color w:val="006600"/>
          <w:sz w:val="22"/>
          <w:szCs w:val="22"/>
        </w:rPr>
      </w:pPr>
    </w:p>
    <w:p w14:paraId="1801A688" w14:textId="6B56C25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69BE0803" w14:textId="77777777" w:rsidR="00FE127E" w:rsidRPr="005D4E9C" w:rsidRDefault="00FE127E" w:rsidP="008B1B38">
      <w:pPr>
        <w:autoSpaceDE w:val="0"/>
        <w:autoSpaceDN w:val="0"/>
        <w:adjustRightInd w:val="0"/>
        <w:jc w:val="both"/>
        <w:rPr>
          <w:sz w:val="22"/>
          <w:szCs w:val="22"/>
        </w:rPr>
      </w:pPr>
    </w:p>
    <w:p w14:paraId="416CBA50" w14:textId="3463941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243599FF" w14:textId="77777777" w:rsidR="00CB10AF" w:rsidRPr="00CB10AF" w:rsidRDefault="00CB10AF" w:rsidP="00A7247E">
      <w:pPr>
        <w:jc w:val="both"/>
        <w:rPr>
          <w:b/>
          <w:bCs/>
          <w:sz w:val="22"/>
          <w:szCs w:val="22"/>
        </w:rPr>
      </w:pPr>
      <w:r w:rsidRPr="00CB10AF">
        <w:rPr>
          <w:b/>
          <w:bCs/>
          <w:sz w:val="22"/>
          <w:szCs w:val="22"/>
        </w:rPr>
        <w:t xml:space="preserve">Les prestations commandées concernent des chantiers d’exploitation forestière dont l’essentiel des tiges ou de la surface sont susceptibles d’exploitation mécanisée. </w:t>
      </w:r>
    </w:p>
    <w:p w14:paraId="37618C4D" w14:textId="77777777" w:rsidR="00CB10AF" w:rsidRPr="00CB10AF" w:rsidRDefault="00CB10AF" w:rsidP="00A7247E">
      <w:pPr>
        <w:jc w:val="both"/>
        <w:rPr>
          <w:b/>
          <w:bCs/>
          <w:sz w:val="22"/>
          <w:szCs w:val="22"/>
        </w:rPr>
      </w:pPr>
    </w:p>
    <w:p w14:paraId="34503672" w14:textId="77777777" w:rsidR="00CB10AF" w:rsidRPr="00CB10AF" w:rsidRDefault="00CB10AF" w:rsidP="00A7247E">
      <w:pPr>
        <w:jc w:val="both"/>
        <w:rPr>
          <w:b/>
          <w:bCs/>
          <w:sz w:val="22"/>
          <w:szCs w:val="22"/>
        </w:rPr>
      </w:pPr>
      <w:r w:rsidRPr="00CB10AF">
        <w:rPr>
          <w:b/>
          <w:bCs/>
          <w:sz w:val="22"/>
          <w:szCs w:val="22"/>
        </w:rPr>
        <w:t>Les prestations commandées correspondent à l’exploitation de la totalité des tiges ou surfaces des chantiers proposés, indépendamment des techniques et engins d’exploitations mis en œuvre.</w:t>
      </w:r>
    </w:p>
    <w:p w14:paraId="04459067" w14:textId="77777777" w:rsidR="00CB10AF" w:rsidRPr="00CB10AF" w:rsidRDefault="00CB10AF" w:rsidP="00A7247E">
      <w:pPr>
        <w:jc w:val="both"/>
        <w:rPr>
          <w:b/>
          <w:bCs/>
          <w:sz w:val="22"/>
          <w:szCs w:val="22"/>
        </w:rPr>
      </w:pPr>
    </w:p>
    <w:p w14:paraId="7BC182DA" w14:textId="77777777" w:rsidR="00CB10AF" w:rsidRPr="00CB10AF" w:rsidRDefault="00CB10AF" w:rsidP="00A7247E">
      <w:pPr>
        <w:jc w:val="both"/>
        <w:rPr>
          <w:b/>
          <w:bCs/>
          <w:sz w:val="22"/>
          <w:szCs w:val="22"/>
          <w:u w:val="single"/>
        </w:rPr>
      </w:pPr>
      <w:r w:rsidRPr="00CB10AF">
        <w:rPr>
          <w:b/>
          <w:bCs/>
          <w:sz w:val="22"/>
          <w:szCs w:val="22"/>
        </w:rPr>
        <w:t>Tâches à accomplir :</w:t>
      </w:r>
    </w:p>
    <w:p w14:paraId="49C5D151" w14:textId="77777777" w:rsidR="00CB10AF" w:rsidRPr="00CB10AF" w:rsidRDefault="00CB10AF" w:rsidP="00A7247E">
      <w:pPr>
        <w:jc w:val="both"/>
        <w:rPr>
          <w:sz w:val="22"/>
          <w:szCs w:val="22"/>
        </w:rPr>
      </w:pPr>
      <w:r w:rsidRPr="00CB10AF">
        <w:rPr>
          <w:sz w:val="22"/>
          <w:szCs w:val="22"/>
        </w:rPr>
        <w:t xml:space="preserve">Ouverture des cloisonnements de l’ordre de 16 à 18 mètres, le cas échéant. Les départs depuis les traînes sont indiqués par l'ONF (peinture). </w:t>
      </w:r>
    </w:p>
    <w:p w14:paraId="44FBEE76" w14:textId="77777777" w:rsidR="00CB10AF" w:rsidRPr="00CB10AF" w:rsidRDefault="00CB10AF" w:rsidP="00A7247E">
      <w:pPr>
        <w:jc w:val="both"/>
        <w:rPr>
          <w:sz w:val="22"/>
          <w:szCs w:val="22"/>
        </w:rPr>
      </w:pPr>
      <w:r w:rsidRPr="00CB10AF">
        <w:rPr>
          <w:sz w:val="22"/>
          <w:szCs w:val="22"/>
        </w:rPr>
        <w:t>Coupes marquées en réserve : exploitation des tiges non réservées dans les bandes entre les cloisonnements.</w:t>
      </w:r>
    </w:p>
    <w:p w14:paraId="0FF7FD23" w14:textId="77777777" w:rsidR="00CB10AF" w:rsidRPr="00CB10AF" w:rsidRDefault="00CB10AF" w:rsidP="00A7247E">
      <w:pPr>
        <w:jc w:val="both"/>
        <w:rPr>
          <w:sz w:val="22"/>
          <w:szCs w:val="22"/>
        </w:rPr>
      </w:pPr>
      <w:r w:rsidRPr="00CB10AF">
        <w:rPr>
          <w:sz w:val="22"/>
          <w:szCs w:val="22"/>
        </w:rPr>
        <w:t>Coupes marquées en abandon : exploitation des tiges marquées dans les bandes entre les cloisonnements.</w:t>
      </w:r>
    </w:p>
    <w:p w14:paraId="37B6DA24" w14:textId="77777777" w:rsidR="00CB10AF" w:rsidRPr="00CB10AF" w:rsidRDefault="00CB10AF" w:rsidP="00A7247E">
      <w:pPr>
        <w:jc w:val="both"/>
        <w:rPr>
          <w:sz w:val="22"/>
          <w:szCs w:val="22"/>
        </w:rPr>
      </w:pPr>
      <w:r w:rsidRPr="00CB10AF">
        <w:rPr>
          <w:sz w:val="22"/>
          <w:szCs w:val="22"/>
        </w:rPr>
        <w:t>Coupes à désignation par l’exploitant : choix et exploitation des tiges selon les clauses techniques propres à chaque proposition de commande.</w:t>
      </w:r>
    </w:p>
    <w:p w14:paraId="7CDB7A48" w14:textId="77777777" w:rsidR="00CB10AF" w:rsidRPr="00CB10AF" w:rsidRDefault="00CB10AF" w:rsidP="00A7247E">
      <w:pPr>
        <w:jc w:val="both"/>
        <w:rPr>
          <w:sz w:val="22"/>
          <w:szCs w:val="22"/>
        </w:rPr>
      </w:pPr>
    </w:p>
    <w:p w14:paraId="0AEF08E1" w14:textId="77777777" w:rsidR="00CB10AF" w:rsidRPr="00CB10AF" w:rsidRDefault="00CB10AF" w:rsidP="00A7247E">
      <w:pPr>
        <w:jc w:val="both"/>
        <w:rPr>
          <w:sz w:val="22"/>
          <w:szCs w:val="22"/>
        </w:rPr>
      </w:pPr>
      <w:r w:rsidRPr="00CB10AF">
        <w:rPr>
          <w:sz w:val="22"/>
          <w:szCs w:val="22"/>
        </w:rPr>
        <w:t>Les découpes des produits à façonner seront stipulées sur la fiche produit remise en début de chantier.</w:t>
      </w:r>
    </w:p>
    <w:p w14:paraId="0F3468CC" w14:textId="77777777" w:rsidR="00CB10AF" w:rsidRPr="00CB10AF" w:rsidRDefault="00CB10AF" w:rsidP="00A7247E">
      <w:pPr>
        <w:jc w:val="both"/>
        <w:rPr>
          <w:sz w:val="22"/>
          <w:szCs w:val="22"/>
        </w:rPr>
      </w:pPr>
      <w:r w:rsidRPr="00CB10AF">
        <w:rPr>
          <w:sz w:val="22"/>
          <w:szCs w:val="22"/>
        </w:rPr>
        <w:t>Débardage jusqu'aux places de dépôt indiquées par l'ONF situées dans les peuplements, en bordure des pistes d'accès.</w:t>
      </w:r>
    </w:p>
    <w:p w14:paraId="68A51168" w14:textId="77777777" w:rsidR="00CB10AF" w:rsidRPr="00CB10AF" w:rsidRDefault="00CB10AF" w:rsidP="00A7247E">
      <w:pPr>
        <w:jc w:val="both"/>
        <w:rPr>
          <w:b/>
          <w:bCs/>
          <w:sz w:val="22"/>
          <w:szCs w:val="22"/>
        </w:rPr>
      </w:pPr>
    </w:p>
    <w:p w14:paraId="1F999E92" w14:textId="77777777" w:rsidR="00CB10AF" w:rsidRPr="00CB10AF" w:rsidRDefault="00CB10AF" w:rsidP="00CB10AF">
      <w:pPr>
        <w:rPr>
          <w:b/>
          <w:bCs/>
          <w:sz w:val="22"/>
          <w:szCs w:val="22"/>
        </w:rPr>
      </w:pPr>
      <w:r w:rsidRPr="00CB10AF">
        <w:rPr>
          <w:b/>
          <w:bCs/>
          <w:sz w:val="22"/>
          <w:szCs w:val="22"/>
        </w:rPr>
        <w:t>Circulation :</w:t>
      </w:r>
    </w:p>
    <w:p w14:paraId="63650E12" w14:textId="77777777" w:rsidR="00CB10AF" w:rsidRPr="00CB10AF" w:rsidRDefault="00CB10AF" w:rsidP="00A7247E">
      <w:pPr>
        <w:jc w:val="both"/>
        <w:rPr>
          <w:sz w:val="22"/>
          <w:szCs w:val="22"/>
        </w:rPr>
      </w:pPr>
      <w:r w:rsidRPr="00CB10AF">
        <w:rPr>
          <w:sz w:val="22"/>
          <w:szCs w:val="22"/>
        </w:rPr>
        <w:t>La circulation des engins est limitée aux pistes, traines et layons. Aucun engin ne doit circuler dans les peuplements entre cloisonnements.</w:t>
      </w:r>
    </w:p>
    <w:p w14:paraId="3277051A" w14:textId="77777777" w:rsidR="00CB10AF" w:rsidRPr="00CB10AF" w:rsidRDefault="00CB10AF" w:rsidP="00CB10AF">
      <w:pPr>
        <w:rPr>
          <w:sz w:val="22"/>
          <w:szCs w:val="22"/>
        </w:rPr>
      </w:pPr>
      <w:r w:rsidRPr="00CB10AF">
        <w:rPr>
          <w:b/>
          <w:bCs/>
          <w:sz w:val="22"/>
          <w:szCs w:val="22"/>
        </w:rPr>
        <w:lastRenderedPageBreak/>
        <w:t xml:space="preserve">Avancement du chantier : </w:t>
      </w:r>
    </w:p>
    <w:p w14:paraId="1B0B83C6" w14:textId="77777777" w:rsidR="00CB10AF" w:rsidRPr="00CB10AF" w:rsidRDefault="00CB10AF" w:rsidP="00A7247E">
      <w:pPr>
        <w:jc w:val="both"/>
        <w:rPr>
          <w:sz w:val="22"/>
          <w:szCs w:val="22"/>
        </w:rPr>
      </w:pPr>
      <w:r w:rsidRPr="00CB10AF">
        <w:rPr>
          <w:sz w:val="22"/>
          <w:szCs w:val="22"/>
        </w:rPr>
        <w:t>L’agent responsable de coupe devra être systématiquement prévenu en cas d’interruption de chantier. Il sera obligatoirement informé de la date de reprise au moins 48 h à l’avance. Ce délai est porté à 72 h quand il inclut un dimanche.</w:t>
      </w:r>
    </w:p>
    <w:p w14:paraId="23CB07CA" w14:textId="77777777" w:rsidR="00CB10AF" w:rsidRPr="00CB10AF" w:rsidRDefault="00CB10AF" w:rsidP="00A7247E">
      <w:pPr>
        <w:jc w:val="both"/>
        <w:rPr>
          <w:sz w:val="22"/>
          <w:szCs w:val="22"/>
        </w:rPr>
      </w:pPr>
      <w:r w:rsidRPr="00CB10AF">
        <w:rPr>
          <w:sz w:val="22"/>
          <w:szCs w:val="22"/>
        </w:rPr>
        <w:t>En cas de changement d’équipe, l’agent responsable de coupe sera prévenu sous ces mêmes délais.</w:t>
      </w:r>
    </w:p>
    <w:p w14:paraId="3EF6A773" w14:textId="77777777" w:rsidR="00CB10AF" w:rsidRPr="00CB10AF" w:rsidRDefault="00CB10AF" w:rsidP="00A7247E">
      <w:pPr>
        <w:jc w:val="both"/>
        <w:rPr>
          <w:sz w:val="22"/>
          <w:szCs w:val="22"/>
        </w:rPr>
      </w:pPr>
      <w:r w:rsidRPr="00CB10AF">
        <w:rPr>
          <w:sz w:val="22"/>
          <w:szCs w:val="22"/>
        </w:rPr>
        <w:t>La transmission des plans et consignes à la nouvelle équipe relève dans ce cas de la responsabilité de l’entreprise.</w:t>
      </w:r>
    </w:p>
    <w:p w14:paraId="1782C32B" w14:textId="77777777" w:rsidR="00CB10AF" w:rsidRPr="00CB10AF" w:rsidRDefault="00CB10AF" w:rsidP="00A7247E">
      <w:pPr>
        <w:jc w:val="both"/>
        <w:rPr>
          <w:sz w:val="22"/>
          <w:szCs w:val="22"/>
        </w:rPr>
      </w:pPr>
    </w:p>
    <w:p w14:paraId="0E85FAAD" w14:textId="77777777" w:rsidR="00CB10AF" w:rsidRPr="00CB10AF" w:rsidRDefault="00CB10AF" w:rsidP="00A7247E">
      <w:pPr>
        <w:jc w:val="both"/>
        <w:rPr>
          <w:sz w:val="22"/>
          <w:szCs w:val="22"/>
        </w:rPr>
      </w:pPr>
      <w:r w:rsidRPr="00CB10AF">
        <w:rPr>
          <w:b/>
          <w:bCs/>
          <w:sz w:val="22"/>
          <w:szCs w:val="22"/>
        </w:rPr>
        <w:t>Contrôle :</w:t>
      </w:r>
    </w:p>
    <w:p w14:paraId="44EE7F36" w14:textId="77777777" w:rsidR="00CB10AF" w:rsidRPr="00CB10AF" w:rsidRDefault="00CB10AF" w:rsidP="00A7247E">
      <w:pPr>
        <w:jc w:val="both"/>
        <w:rPr>
          <w:sz w:val="22"/>
          <w:szCs w:val="22"/>
        </w:rPr>
      </w:pPr>
      <w:r w:rsidRPr="00CB10AF">
        <w:rPr>
          <w:sz w:val="22"/>
          <w:szCs w:val="22"/>
        </w:rPr>
        <w:t>L'ensemble des points énoncés ci-dessus ou dans les clauses techniques annexées aux propositions de commande feront l'objet d'un contrôle.</w:t>
      </w:r>
    </w:p>
    <w:p w14:paraId="0C931595" w14:textId="77777777" w:rsidR="00CB10AF" w:rsidRPr="00CB10AF" w:rsidRDefault="00CB10AF" w:rsidP="00A7247E">
      <w:pPr>
        <w:jc w:val="both"/>
        <w:rPr>
          <w:sz w:val="22"/>
          <w:szCs w:val="22"/>
        </w:rPr>
      </w:pPr>
      <w:r w:rsidRPr="00CB10AF">
        <w:rPr>
          <w:sz w:val="22"/>
          <w:szCs w:val="22"/>
        </w:rPr>
        <w:t>Le contrôle de la bonne exécution des cloisonnements sera réalisé par l'ONF.</w:t>
      </w:r>
    </w:p>
    <w:p w14:paraId="01AFBC3D" w14:textId="77777777" w:rsidR="00CB10AF" w:rsidRPr="00CB10AF" w:rsidRDefault="00CB10AF" w:rsidP="00A7247E">
      <w:pPr>
        <w:jc w:val="both"/>
        <w:rPr>
          <w:sz w:val="22"/>
          <w:szCs w:val="22"/>
        </w:rPr>
      </w:pPr>
      <w:r w:rsidRPr="00CB10AF">
        <w:rPr>
          <w:sz w:val="22"/>
          <w:szCs w:val="22"/>
        </w:rPr>
        <w:t>Il sera vérifié que les tiges réservées sont bien conservées et non abimées.</w:t>
      </w:r>
    </w:p>
    <w:p w14:paraId="4DD53219" w14:textId="77777777" w:rsidR="00CB10AF" w:rsidRPr="00CB10AF" w:rsidRDefault="00CB10AF" w:rsidP="00A7247E">
      <w:pPr>
        <w:jc w:val="both"/>
        <w:rPr>
          <w:sz w:val="22"/>
          <w:szCs w:val="22"/>
        </w:rPr>
      </w:pPr>
      <w:r w:rsidRPr="00CB10AF">
        <w:rPr>
          <w:sz w:val="22"/>
          <w:szCs w:val="22"/>
        </w:rPr>
        <w:t xml:space="preserve">Des contrôles par placettes permettront de vérifier le volume prélevé par l'exploitant et le respect des consignes de sélection dans les zones à désignation par l’exploitant. </w:t>
      </w:r>
    </w:p>
    <w:p w14:paraId="06EFBCEF" w14:textId="77777777" w:rsidR="00CB10AF" w:rsidRPr="00CB10AF" w:rsidRDefault="00CB10AF" w:rsidP="00A7247E">
      <w:pPr>
        <w:jc w:val="both"/>
        <w:rPr>
          <w:sz w:val="22"/>
          <w:szCs w:val="22"/>
        </w:rPr>
      </w:pPr>
      <w:r w:rsidRPr="00CB10AF">
        <w:rPr>
          <w:sz w:val="22"/>
          <w:szCs w:val="22"/>
        </w:rPr>
        <w:t>Les fiches de l’abatteuse seront demandées à chaque visite pour contrôler l’intensité des prélèvements.</w:t>
      </w:r>
    </w:p>
    <w:p w14:paraId="362FCAC2" w14:textId="77777777" w:rsidR="00CB10AF" w:rsidRPr="00CB10AF" w:rsidRDefault="00CB10AF" w:rsidP="00A7247E">
      <w:pPr>
        <w:jc w:val="both"/>
        <w:rPr>
          <w:sz w:val="22"/>
          <w:szCs w:val="22"/>
        </w:rPr>
      </w:pPr>
      <w:r w:rsidRPr="00CB10AF">
        <w:rPr>
          <w:sz w:val="22"/>
          <w:szCs w:val="22"/>
        </w:rPr>
        <w:t>Le tri sera contrôlé durant l'exploitation et sur les places de dépôt en vérifiant le classement et le dimensionnement de billons pris au hasard.</w:t>
      </w:r>
    </w:p>
    <w:p w14:paraId="62823536" w14:textId="77777777" w:rsidR="00CB10AF" w:rsidRPr="00CB10AF" w:rsidRDefault="00CB10AF" w:rsidP="00A7247E">
      <w:pPr>
        <w:jc w:val="both"/>
        <w:rPr>
          <w:sz w:val="22"/>
          <w:szCs w:val="22"/>
        </w:rPr>
      </w:pPr>
      <w:r w:rsidRPr="00CB10AF">
        <w:rPr>
          <w:sz w:val="22"/>
          <w:szCs w:val="22"/>
        </w:rPr>
        <w:t>Le bois déposé sur les places de dépôts sera cubé pour contrôler l'adéquation avec le volume prélevé dans le peuplement.</w:t>
      </w:r>
    </w:p>
    <w:p w14:paraId="3840566C" w14:textId="77777777" w:rsidR="00CB10AF" w:rsidRPr="00CB10AF" w:rsidRDefault="00CB10AF" w:rsidP="00CB10AF">
      <w:pPr>
        <w:rPr>
          <w:sz w:val="22"/>
          <w:szCs w:val="22"/>
        </w:rPr>
      </w:pPr>
    </w:p>
    <w:p w14:paraId="1740461A" w14:textId="77777777" w:rsidR="00CB10AF" w:rsidRPr="00CB10AF" w:rsidRDefault="00CB10AF" w:rsidP="00A7247E">
      <w:pPr>
        <w:jc w:val="both"/>
        <w:rPr>
          <w:sz w:val="22"/>
          <w:szCs w:val="22"/>
        </w:rPr>
      </w:pPr>
      <w:r w:rsidRPr="00CB10AF">
        <w:rPr>
          <w:b/>
          <w:bCs/>
          <w:sz w:val="22"/>
          <w:szCs w:val="22"/>
        </w:rPr>
        <w:t>Maintien, remise en état des lieux :</w:t>
      </w:r>
    </w:p>
    <w:p w14:paraId="17CE1742" w14:textId="77777777" w:rsidR="00CB10AF" w:rsidRPr="00CB10AF" w:rsidRDefault="00CB10AF" w:rsidP="00A7247E">
      <w:pPr>
        <w:jc w:val="both"/>
        <w:rPr>
          <w:sz w:val="22"/>
          <w:szCs w:val="22"/>
        </w:rPr>
      </w:pPr>
      <w:r w:rsidRPr="00CB10AF">
        <w:rPr>
          <w:sz w:val="22"/>
          <w:szCs w:val="22"/>
          <w:u w:val="single"/>
        </w:rPr>
        <w:t>Remise en état des lieux :</w:t>
      </w:r>
      <w:r w:rsidRPr="00CB10AF">
        <w:rPr>
          <w:sz w:val="22"/>
          <w:szCs w:val="22"/>
        </w:rPr>
        <w:t xml:space="preserve"> préalablement au commencement du chantier, un état des lieux contradictoire sera établi. Les voies d’accès, de vidange et de dépôt seront remises en état dans les délais prescrits par la personne responsable du suivi du marché. Le non-respect de ces prescriptions techniques pourra entraîner la mise en œuvre de pénalités.</w:t>
      </w:r>
    </w:p>
    <w:p w14:paraId="585F0136" w14:textId="77777777" w:rsidR="00CB10AF" w:rsidRPr="00CB10AF" w:rsidRDefault="00CB10AF" w:rsidP="00A7247E">
      <w:pPr>
        <w:jc w:val="both"/>
        <w:rPr>
          <w:sz w:val="22"/>
          <w:szCs w:val="22"/>
        </w:rPr>
      </w:pPr>
    </w:p>
    <w:p w14:paraId="4FBE6456" w14:textId="77777777" w:rsidR="00CB10AF" w:rsidRPr="00CB10AF" w:rsidRDefault="00CB10AF" w:rsidP="00A7247E">
      <w:pPr>
        <w:jc w:val="both"/>
        <w:rPr>
          <w:sz w:val="22"/>
          <w:szCs w:val="22"/>
        </w:rPr>
      </w:pPr>
      <w:r w:rsidRPr="00CB10AF">
        <w:rPr>
          <w:b/>
          <w:bCs/>
          <w:sz w:val="22"/>
          <w:szCs w:val="22"/>
        </w:rPr>
        <w:t>Loi sur l’eau et autres sujétions réglementaires</w:t>
      </w:r>
      <w:r w:rsidRPr="00CB10AF">
        <w:rPr>
          <w:sz w:val="22"/>
          <w:szCs w:val="22"/>
        </w:rPr>
        <w:t> : en tant que de besoin, l’ONF établira les dossiers d’autorisation réglementaires. L’entreprise mettra en œuvre les prescriptions édictées et le cas échéant installera les dispositifs nécessaires.</w:t>
      </w:r>
    </w:p>
    <w:p w14:paraId="561C0A69" w14:textId="77777777" w:rsidR="00CB10AF" w:rsidRPr="00CB10AF" w:rsidRDefault="00CB10AF" w:rsidP="00A7247E">
      <w:pPr>
        <w:jc w:val="both"/>
        <w:rPr>
          <w:sz w:val="22"/>
          <w:szCs w:val="22"/>
        </w:rPr>
      </w:pPr>
    </w:p>
    <w:p w14:paraId="0CC84FD0" w14:textId="77777777" w:rsidR="00CB10AF" w:rsidRPr="00CB10AF" w:rsidRDefault="00CB10AF" w:rsidP="00A7247E">
      <w:pPr>
        <w:jc w:val="both"/>
        <w:rPr>
          <w:b/>
          <w:bCs/>
          <w:sz w:val="22"/>
          <w:szCs w:val="22"/>
        </w:rPr>
      </w:pPr>
      <w:r w:rsidRPr="00CB10AF">
        <w:rPr>
          <w:b/>
          <w:bCs/>
          <w:sz w:val="22"/>
          <w:szCs w:val="22"/>
        </w:rPr>
        <w:t>Consignes particulières</w:t>
      </w:r>
    </w:p>
    <w:p w14:paraId="54FC366A" w14:textId="4E1C8DFD" w:rsidR="008B1B38" w:rsidRPr="00CB10AF" w:rsidRDefault="00CB10AF" w:rsidP="00A7247E">
      <w:pPr>
        <w:jc w:val="both"/>
        <w:rPr>
          <w:sz w:val="22"/>
          <w:szCs w:val="22"/>
        </w:rPr>
      </w:pPr>
      <w:r w:rsidRPr="00CB10AF">
        <w:rPr>
          <w:sz w:val="22"/>
          <w:szCs w:val="22"/>
        </w:rPr>
        <w:t>Les consignes propres à chaque chantier seront spécifiées sur chaque proposition de commande.</w:t>
      </w: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6092B646" w14:textId="77777777" w:rsidR="00CB10AF" w:rsidRPr="00CB10AF" w:rsidRDefault="00CB10AF" w:rsidP="00CB10AF">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r w:rsidRPr="00CB10AF">
        <w:rPr>
          <w:bCs/>
          <w:sz w:val="22"/>
          <w:szCs w:val="22"/>
        </w:rPr>
        <w:t>En complément de l'article 3-4 des CGA exploitation forestière, il est précisé :</w:t>
      </w:r>
    </w:p>
    <w:p w14:paraId="776788E6" w14:textId="77777777" w:rsidR="00CB10AF" w:rsidRPr="00CB10AF" w:rsidRDefault="00CB10AF" w:rsidP="00CB10AF">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59FBC7DB" w14:textId="77777777" w:rsidR="00CB10AF" w:rsidRPr="00CB10AF" w:rsidRDefault="00CB10AF" w:rsidP="00CB10AF">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r w:rsidRPr="00CB10AF">
        <w:rPr>
          <w:bCs/>
          <w:sz w:val="22"/>
          <w:szCs w:val="22"/>
        </w:rPr>
        <w:t>1) Le port des équipements de protection individuelle est strictement obligatoire pour la réalisation des différentes prestations, tant pour les salariés que pour les sous-traitants et fera l'objet de contrôles. Tout manquement donnera lieu à suspension du chantier en application de l'article 9-2-1. En dérogation à l'article 8-1, le manquement au port des équipements de sécurité sera sanctionné par une pénalité de 100 euros par jour ouvré de suspension de chantier.</w:t>
      </w:r>
    </w:p>
    <w:p w14:paraId="2B2EF068" w14:textId="77777777" w:rsidR="00CB10AF" w:rsidRPr="00CB10AF" w:rsidRDefault="00CB10AF" w:rsidP="00CB10AF">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42C98313" w14:textId="77777777" w:rsidR="00CB10AF" w:rsidRPr="00CB10AF" w:rsidRDefault="00CB10AF" w:rsidP="00CB10AF">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r w:rsidRPr="00CB10AF">
        <w:rPr>
          <w:bCs/>
          <w:sz w:val="22"/>
          <w:szCs w:val="22"/>
        </w:rPr>
        <w:t>2) les distances de sécurité feront l’objet d’une attention particulière, et seront respectées.</w:t>
      </w:r>
    </w:p>
    <w:p w14:paraId="47B639B5" w14:textId="77777777" w:rsidR="00CB10AF" w:rsidRPr="00CB10AF" w:rsidRDefault="00CB10AF" w:rsidP="00CB10AF">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06FB2484" w14:textId="4A4D76F0" w:rsidR="008B1B38" w:rsidRPr="00CB10AF" w:rsidRDefault="00CB10AF"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r w:rsidRPr="00CB10AF">
        <w:rPr>
          <w:bCs/>
          <w:sz w:val="22"/>
          <w:szCs w:val="22"/>
        </w:rPr>
        <w:t>3) La présence permanente sur les chantiers d'un personnel parlant couramment français est obligatoire. Tout manquement sera sanctionné en application de l'article 8-1. L'article 12-1 sera appliqué au 3ème constat de manquement.</w:t>
      </w:r>
    </w:p>
    <w:p w14:paraId="6BB48A68"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082EA94D" w14:textId="77777777" w:rsidR="008B1B38" w:rsidRPr="00733FE7"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0143EFEE" w14:textId="26581FEE" w:rsidR="002B603F" w:rsidRPr="00636F1F" w:rsidRDefault="00A7247E" w:rsidP="00A7247E">
      <w:pPr>
        <w:rPr>
          <w:rFonts w:ascii="Arial" w:hAnsi="Arial" w:cs="Arial"/>
          <w:b/>
          <w:bCs/>
          <w:color w:val="000000" w:themeColor="text1"/>
        </w:rPr>
      </w:pPr>
      <w:r>
        <w:rPr>
          <w:rFonts w:ascii="Arial" w:hAnsi="Arial" w:cs="Arial"/>
          <w:b/>
          <w:bCs/>
          <w:color w:val="000000" w:themeColor="text1"/>
        </w:rPr>
        <w:br w:type="page"/>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7FF148B9" w14:textId="51DCC1B1" w:rsidR="008033FF" w:rsidRDefault="008A1736" w:rsidP="00FE127E">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3CCE29B0" w14:textId="1DCDB638" w:rsidR="008033FF" w:rsidRPr="00A7247E" w:rsidRDefault="006B715E" w:rsidP="00A7247E">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4C221B08" w14:textId="40778B40" w:rsidR="008033FF" w:rsidRPr="009E593D"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E593D">
        <w:rPr>
          <w:rFonts w:ascii="Arial" w:hAnsi="Arial" w:cs="Arial"/>
          <w:b/>
          <w:sz w:val="22"/>
          <w:szCs w:val="22"/>
        </w:rPr>
        <w:t>Grume</w:t>
      </w:r>
      <w:r w:rsidRPr="009E593D">
        <w:rPr>
          <w:sz w:val="22"/>
          <w:szCs w:val="22"/>
        </w:rPr>
        <w:t> :</w:t>
      </w:r>
      <w:r w:rsidRPr="009E593D">
        <w:rPr>
          <w:rFonts w:ascii="Arial" w:hAnsi="Arial" w:cs="Arial"/>
          <w:sz w:val="20"/>
        </w:rPr>
        <w:t xml:space="preserve"> Quantité annuelle minimale : </w:t>
      </w:r>
      <w:r w:rsidR="00000789" w:rsidRPr="009E593D">
        <w:rPr>
          <w:rFonts w:ascii="Arial" w:hAnsi="Arial" w:cs="Arial"/>
          <w:sz w:val="20"/>
        </w:rPr>
        <w:t>0</w:t>
      </w:r>
      <w:r w:rsidRPr="009E593D">
        <w:rPr>
          <w:rFonts w:ascii="Arial" w:hAnsi="Arial" w:cs="Arial"/>
          <w:sz w:val="20"/>
        </w:rPr>
        <w:t xml:space="preserve"> m3   -   Quantité annuelle maximale :</w:t>
      </w:r>
      <w:r w:rsidR="009E593D" w:rsidRPr="009E593D">
        <w:rPr>
          <w:rFonts w:ascii="Arial" w:hAnsi="Arial" w:cs="Arial"/>
          <w:sz w:val="20"/>
        </w:rPr>
        <w:t xml:space="preserve"> 2 000</w:t>
      </w:r>
      <w:r w:rsidRPr="009E593D">
        <w:rPr>
          <w:rFonts w:ascii="Arial" w:hAnsi="Arial" w:cs="Arial"/>
          <w:sz w:val="20"/>
        </w:rPr>
        <w:t xml:space="preserve"> m3</w:t>
      </w:r>
    </w:p>
    <w:p w14:paraId="1D0FF397" w14:textId="04937888" w:rsidR="008033FF" w:rsidRPr="009E593D"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E593D">
        <w:rPr>
          <w:rFonts w:ascii="Arial" w:hAnsi="Arial" w:cs="Arial"/>
          <w:b/>
          <w:sz w:val="22"/>
          <w:szCs w:val="22"/>
        </w:rPr>
        <w:t>Billons</w:t>
      </w:r>
      <w:r w:rsidRPr="009E593D">
        <w:rPr>
          <w:sz w:val="22"/>
          <w:szCs w:val="22"/>
        </w:rPr>
        <w:t> :</w:t>
      </w:r>
      <w:r w:rsidRPr="009E593D">
        <w:rPr>
          <w:rFonts w:ascii="Arial" w:hAnsi="Arial" w:cs="Arial"/>
          <w:sz w:val="20"/>
        </w:rPr>
        <w:t xml:space="preserve"> Quantité annuelle minimale :</w:t>
      </w:r>
      <w:r w:rsidR="00000789" w:rsidRPr="009E593D">
        <w:rPr>
          <w:rFonts w:ascii="Arial" w:hAnsi="Arial" w:cs="Arial"/>
          <w:sz w:val="20"/>
        </w:rPr>
        <w:t xml:space="preserve"> 0</w:t>
      </w:r>
      <w:r w:rsidRPr="009E593D">
        <w:rPr>
          <w:rFonts w:ascii="Arial" w:hAnsi="Arial" w:cs="Arial"/>
          <w:sz w:val="20"/>
        </w:rPr>
        <w:t xml:space="preserve"> m3a   -   Quantité annuelle maximale : </w:t>
      </w:r>
      <w:r w:rsidR="009E593D" w:rsidRPr="009E593D">
        <w:rPr>
          <w:rFonts w:ascii="Arial" w:hAnsi="Arial" w:cs="Arial"/>
          <w:sz w:val="20"/>
        </w:rPr>
        <w:t>5 000</w:t>
      </w:r>
      <w:r w:rsidRPr="009E593D">
        <w:rPr>
          <w:rFonts w:ascii="Arial" w:hAnsi="Arial" w:cs="Arial"/>
          <w:sz w:val="20"/>
        </w:rPr>
        <w:t xml:space="preserve"> m3a</w:t>
      </w:r>
    </w:p>
    <w:p w14:paraId="35D585EA" w14:textId="77D44FA1"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E593D">
        <w:rPr>
          <w:rFonts w:ascii="Arial" w:hAnsi="Arial" w:cs="Arial"/>
          <w:b/>
          <w:sz w:val="22"/>
          <w:szCs w:val="22"/>
        </w:rPr>
        <w:t>Bois d’énergie</w:t>
      </w:r>
      <w:r w:rsidRPr="009E593D">
        <w:rPr>
          <w:sz w:val="22"/>
          <w:szCs w:val="22"/>
        </w:rPr>
        <w:t> :</w:t>
      </w:r>
      <w:r w:rsidRPr="009E593D">
        <w:rPr>
          <w:rFonts w:ascii="Arial" w:hAnsi="Arial" w:cs="Arial"/>
          <w:sz w:val="20"/>
        </w:rPr>
        <w:t xml:space="preserve"> Quantité annuelle minimale : </w:t>
      </w:r>
      <w:r w:rsidR="009E593D" w:rsidRPr="009E593D">
        <w:rPr>
          <w:rFonts w:ascii="Arial" w:hAnsi="Arial" w:cs="Arial"/>
          <w:sz w:val="20"/>
        </w:rPr>
        <w:t>0</w:t>
      </w:r>
      <w:r w:rsidRPr="009E593D">
        <w:rPr>
          <w:rFonts w:ascii="Arial" w:hAnsi="Arial" w:cs="Arial"/>
          <w:sz w:val="20"/>
        </w:rPr>
        <w:t xml:space="preserve"> </w:t>
      </w:r>
      <w:r w:rsidR="00000789" w:rsidRPr="009E593D">
        <w:rPr>
          <w:rFonts w:ascii="Arial" w:hAnsi="Arial" w:cs="Arial"/>
          <w:sz w:val="20"/>
        </w:rPr>
        <w:t>m3a</w:t>
      </w:r>
      <w:r w:rsidRPr="009E593D">
        <w:rPr>
          <w:rFonts w:ascii="Arial" w:hAnsi="Arial" w:cs="Arial"/>
          <w:sz w:val="20"/>
        </w:rPr>
        <w:t xml:space="preserve">    -   Quantité annuelle maximale : </w:t>
      </w:r>
      <w:r w:rsidR="009E593D" w:rsidRPr="009E593D">
        <w:rPr>
          <w:rFonts w:ascii="Arial" w:hAnsi="Arial" w:cs="Arial"/>
          <w:sz w:val="20"/>
        </w:rPr>
        <w:t xml:space="preserve">1 000 </w:t>
      </w:r>
      <w:r w:rsidR="00000789" w:rsidRPr="009E593D">
        <w:rPr>
          <w:rFonts w:ascii="Arial" w:hAnsi="Arial" w:cs="Arial"/>
          <w:sz w:val="20"/>
        </w:rPr>
        <w:t>m3a</w:t>
      </w:r>
    </w:p>
    <w:p w14:paraId="73F995B2" w14:textId="77777777" w:rsidR="00FE127E" w:rsidRDefault="00FE127E" w:rsidP="008A1736">
      <w:pPr>
        <w:autoSpaceDE w:val="0"/>
        <w:autoSpaceDN w:val="0"/>
        <w:adjustRightInd w:val="0"/>
        <w:jc w:val="both"/>
        <w:outlineLvl w:val="0"/>
        <w:rPr>
          <w:b/>
          <w:bCs/>
          <w:color w:val="006600"/>
          <w:sz w:val="22"/>
          <w:szCs w:val="22"/>
        </w:rPr>
      </w:pPr>
    </w:p>
    <w:p w14:paraId="2C7E82B5" w14:textId="133616BA"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D71D6F">
        <w:rPr>
          <w:b/>
          <w:bCs/>
          <w:color w:val="006600"/>
          <w:sz w:val="22"/>
          <w:szCs w:val="22"/>
        </w:rPr>
        <w:t xml:space="preserve"> </w:t>
      </w:r>
      <w:r w:rsidR="00D71D6F" w:rsidRPr="00FE127E">
        <w:rPr>
          <w:b/>
          <w:bCs/>
          <w:color w:val="006600"/>
          <w:sz w:val="22"/>
          <w:szCs w:val="22"/>
        </w:rPr>
        <w:t>liés au lot n°</w:t>
      </w:r>
      <w:r w:rsidR="00FE127E" w:rsidRPr="00FE127E">
        <w:rPr>
          <w:b/>
          <w:bCs/>
          <w:color w:val="006600"/>
          <w:sz w:val="22"/>
          <w:szCs w:val="22"/>
        </w:rPr>
        <w:t>2</w:t>
      </w:r>
      <w:r w:rsidR="003752B2" w:rsidRPr="00FE127E">
        <w:rPr>
          <w:b/>
          <w:bCs/>
          <w:color w:val="006600"/>
          <w:sz w:val="22"/>
          <w:szCs w:val="22"/>
        </w:rPr>
        <w:t xml:space="preserve"> </w:t>
      </w:r>
      <w:r w:rsidR="00717AD4" w:rsidRPr="00FE127E">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0049A3B4" w14:textId="28E7D504" w:rsidR="006A14A5" w:rsidRDefault="00480AAE" w:rsidP="00480AAE">
      <w:pPr>
        <w:pStyle w:val="texte1"/>
        <w:rPr>
          <w:rFonts w:ascii="Arial" w:hAnsi="Arial" w:cs="Arial"/>
          <w:iCs/>
          <w:sz w:val="20"/>
        </w:rPr>
      </w:pPr>
      <w:r w:rsidRPr="006A14A5">
        <w:rPr>
          <w:rFonts w:ascii="Arial" w:hAnsi="Arial" w:cs="Arial"/>
          <w:iCs/>
          <w:sz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E9E5834" w14:textId="77777777" w:rsidR="00A7247E" w:rsidRDefault="00A7247E" w:rsidP="008A1736">
      <w:pPr>
        <w:autoSpaceDE w:val="0"/>
        <w:autoSpaceDN w:val="0"/>
        <w:adjustRightInd w:val="0"/>
        <w:jc w:val="both"/>
        <w:outlineLvl w:val="0"/>
        <w:rPr>
          <w:b/>
          <w:bCs/>
          <w:color w:val="006600"/>
          <w:sz w:val="22"/>
          <w:szCs w:val="22"/>
        </w:rPr>
      </w:pPr>
    </w:p>
    <w:p w14:paraId="3929D432" w14:textId="26FFCE69"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3A572E99" w:rsidR="005D4E9C" w:rsidRPr="00A7247E" w:rsidRDefault="00F452F1" w:rsidP="005D4E9C">
      <w:pPr>
        <w:autoSpaceDE w:val="0"/>
        <w:autoSpaceDN w:val="0"/>
        <w:adjustRightInd w:val="0"/>
        <w:jc w:val="both"/>
        <w:rPr>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7F59FD">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CC5D3C">
        <w:tc>
          <w:tcPr>
            <w:tcW w:w="5290" w:type="dxa"/>
            <w:tcBorders>
              <w:top w:val="single" w:sz="4" w:space="0" w:color="auto"/>
              <w:left w:val="single" w:sz="4" w:space="0" w:color="auto"/>
              <w:bottom w:val="single" w:sz="4" w:space="0" w:color="auto"/>
              <w:right w:val="single" w:sz="6" w:space="0" w:color="auto"/>
            </w:tcBorders>
            <w:shd w:val="clear" w:color="auto" w:fill="auto"/>
          </w:tcPr>
          <w:p w14:paraId="70E043F2" w14:textId="77777777" w:rsidR="00F452F1" w:rsidRPr="00D4232B" w:rsidRDefault="00F452F1" w:rsidP="00CC5D3C">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tcPr>
          <w:p w14:paraId="669B88C2" w14:textId="77777777" w:rsidR="00F452F1" w:rsidRPr="00D4232B" w:rsidRDefault="00F452F1" w:rsidP="00CC5D3C">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tcPr>
          <w:p w14:paraId="77DA5F67" w14:textId="77777777" w:rsidR="00F452F1" w:rsidRPr="00D4232B" w:rsidRDefault="00F452F1" w:rsidP="00CC5D3C">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CC5D3C">
        <w:tc>
          <w:tcPr>
            <w:tcW w:w="5290" w:type="dxa"/>
            <w:tcBorders>
              <w:top w:val="single" w:sz="4" w:space="0" w:color="auto"/>
              <w:left w:val="single" w:sz="4" w:space="0" w:color="auto"/>
              <w:bottom w:val="nil"/>
            </w:tcBorders>
            <w:shd w:val="clear" w:color="auto" w:fill="auto"/>
          </w:tcPr>
          <w:p w14:paraId="5EA4C570" w14:textId="1E5D0631" w:rsidR="00F452F1" w:rsidRPr="00D4232B" w:rsidRDefault="00F452F1" w:rsidP="00CC5D3C">
            <w:pPr>
              <w:autoSpaceDE w:val="0"/>
              <w:autoSpaceDN w:val="0"/>
              <w:adjustRightInd w:val="0"/>
              <w:jc w:val="both"/>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FE127E">
              <w:rPr>
                <w:i/>
                <w:iCs/>
                <w:sz w:val="22"/>
                <w:szCs w:val="22"/>
              </w:rPr>
              <w:fldChar w:fldCharType="begin">
                <w:ffData>
                  <w:name w:val="CaseACocher25"/>
                  <w:enabled/>
                  <w:calcOnExit w:val="0"/>
                  <w:checkBox>
                    <w:sizeAuto/>
                    <w:default w:val="1"/>
                  </w:checkBox>
                </w:ffData>
              </w:fldChar>
            </w:r>
            <w:bookmarkStart w:id="20" w:name="CaseACocher25"/>
            <w:r w:rsidR="00FE127E">
              <w:rPr>
                <w:i/>
                <w:iCs/>
                <w:sz w:val="22"/>
                <w:szCs w:val="22"/>
              </w:rPr>
              <w:instrText xml:space="preserve"> FORMCHECKBOX </w:instrText>
            </w:r>
            <w:r w:rsidR="00FE127E">
              <w:rPr>
                <w:i/>
                <w:iCs/>
                <w:sz w:val="22"/>
                <w:szCs w:val="22"/>
              </w:rPr>
            </w:r>
            <w:r w:rsidR="00FE127E">
              <w:rPr>
                <w:i/>
                <w:iCs/>
                <w:sz w:val="22"/>
                <w:szCs w:val="22"/>
              </w:rPr>
              <w:fldChar w:fldCharType="separate"/>
            </w:r>
            <w:r w:rsidR="00FE127E">
              <w:rPr>
                <w:i/>
                <w:iCs/>
                <w:sz w:val="22"/>
                <w:szCs w:val="22"/>
              </w:rPr>
              <w:fldChar w:fldCharType="end"/>
            </w:r>
            <w:bookmarkEnd w:id="20"/>
            <w:r w:rsidRPr="00D4232B">
              <w:rPr>
                <w:i/>
                <w:iCs/>
                <w:sz w:val="22"/>
                <w:szCs w:val="22"/>
              </w:rPr>
              <w:t xml:space="preserve"> </w:t>
            </w:r>
            <w:r w:rsidRPr="00D4232B">
              <w:rPr>
                <w:b/>
                <w:bCs/>
                <w:sz w:val="22"/>
                <w:szCs w:val="22"/>
              </w:rPr>
              <w:t>Abattage / Façonnage</w:t>
            </w:r>
          </w:p>
        </w:tc>
        <w:tc>
          <w:tcPr>
            <w:tcW w:w="2340" w:type="dxa"/>
            <w:tcBorders>
              <w:top w:val="single" w:sz="4" w:space="0" w:color="auto"/>
              <w:bottom w:val="nil"/>
            </w:tcBorders>
            <w:shd w:val="clear" w:color="auto" w:fill="auto"/>
          </w:tcPr>
          <w:p w14:paraId="723746EE" w14:textId="77777777" w:rsidR="00F452F1" w:rsidRPr="00D4232B" w:rsidRDefault="00F452F1" w:rsidP="00CC5D3C">
            <w:pPr>
              <w:autoSpaceDE w:val="0"/>
              <w:autoSpaceDN w:val="0"/>
              <w:adjustRightInd w:val="0"/>
              <w:jc w:val="both"/>
              <w:rPr>
                <w:sz w:val="22"/>
                <w:szCs w:val="22"/>
              </w:rPr>
            </w:pPr>
          </w:p>
        </w:tc>
        <w:tc>
          <w:tcPr>
            <w:tcW w:w="1440" w:type="dxa"/>
            <w:tcBorders>
              <w:top w:val="single" w:sz="4" w:space="0" w:color="auto"/>
              <w:bottom w:val="nil"/>
              <w:right w:val="single" w:sz="4" w:space="0" w:color="auto"/>
            </w:tcBorders>
            <w:shd w:val="clear" w:color="auto" w:fill="auto"/>
          </w:tcPr>
          <w:p w14:paraId="4DA91238" w14:textId="16F377FC" w:rsidR="00F452F1" w:rsidRPr="00D4232B" w:rsidRDefault="00F452F1" w:rsidP="00CC5D3C">
            <w:pPr>
              <w:autoSpaceDE w:val="0"/>
              <w:autoSpaceDN w:val="0"/>
              <w:adjustRightInd w:val="0"/>
              <w:jc w:val="both"/>
              <w:rPr>
                <w:sz w:val="22"/>
                <w:szCs w:val="22"/>
              </w:rPr>
            </w:pPr>
          </w:p>
        </w:tc>
      </w:tr>
      <w:tr w:rsidR="00F452F1" w:rsidRPr="00D4232B" w14:paraId="12D6FFCE" w14:textId="77777777" w:rsidTr="009F4C1F">
        <w:tc>
          <w:tcPr>
            <w:tcW w:w="5290" w:type="dxa"/>
            <w:tcBorders>
              <w:top w:val="nil"/>
              <w:left w:val="single" w:sz="4" w:space="0" w:color="auto"/>
              <w:bottom w:val="nil"/>
              <w:right w:val="single" w:sz="4" w:space="0" w:color="auto"/>
            </w:tcBorders>
            <w:shd w:val="clear" w:color="auto" w:fill="auto"/>
          </w:tcPr>
          <w:p w14:paraId="53FFB9A0" w14:textId="1A1D20A0" w:rsidR="00F452F1" w:rsidRPr="00FE127E" w:rsidRDefault="00F452F1" w:rsidP="00CC5D3C">
            <w:pPr>
              <w:autoSpaceDE w:val="0"/>
              <w:autoSpaceDN w:val="0"/>
              <w:adjustRightInd w:val="0"/>
              <w:rPr>
                <w:sz w:val="22"/>
                <w:szCs w:val="22"/>
              </w:rPr>
            </w:pPr>
            <w:bookmarkStart w:id="21" w:name="CaseACocher26"/>
            <w:r w:rsidRPr="00FE127E">
              <w:rPr>
                <w:sz w:val="22"/>
                <w:szCs w:val="22"/>
              </w:rPr>
              <w:t xml:space="preserve">                    </w:t>
            </w:r>
            <w:bookmarkEnd w:id="21"/>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FE127E">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tcPr>
          <w:p w14:paraId="1480FF60"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3D1CDF5" w14:textId="3BC1CF28" w:rsidR="00F452F1" w:rsidRPr="00D4232B" w:rsidRDefault="009F4C1F" w:rsidP="009F4C1F">
            <w:pPr>
              <w:autoSpaceDE w:val="0"/>
              <w:autoSpaceDN w:val="0"/>
              <w:adjustRightInd w:val="0"/>
              <w:jc w:val="center"/>
              <w:rPr>
                <w:sz w:val="22"/>
                <w:szCs w:val="22"/>
              </w:rPr>
            </w:pPr>
            <w:r>
              <w:rPr>
                <w:sz w:val="22"/>
                <w:szCs w:val="22"/>
              </w:rPr>
              <w:t>M3</w:t>
            </w:r>
          </w:p>
        </w:tc>
      </w:tr>
      <w:tr w:rsidR="00F452F1" w:rsidRPr="00D4232B" w14:paraId="75A88498" w14:textId="77777777" w:rsidTr="009F4C1F">
        <w:tc>
          <w:tcPr>
            <w:tcW w:w="5290" w:type="dxa"/>
            <w:tcBorders>
              <w:top w:val="nil"/>
              <w:left w:val="single" w:sz="4" w:space="0" w:color="auto"/>
              <w:bottom w:val="nil"/>
              <w:right w:val="single" w:sz="4" w:space="0" w:color="auto"/>
            </w:tcBorders>
            <w:shd w:val="clear" w:color="auto" w:fill="auto"/>
          </w:tcPr>
          <w:p w14:paraId="5D204678" w14:textId="62797357" w:rsidR="00F452F1" w:rsidRPr="00FE127E" w:rsidRDefault="00F452F1" w:rsidP="00CC5D3C">
            <w:pPr>
              <w:autoSpaceDE w:val="0"/>
              <w:autoSpaceDN w:val="0"/>
              <w:adjustRightInd w:val="0"/>
              <w:rPr>
                <w:sz w:val="22"/>
                <w:szCs w:val="22"/>
              </w:rPr>
            </w:pPr>
            <w:bookmarkStart w:id="22" w:name="CaseACocher27"/>
            <w:r w:rsidRPr="00FE127E">
              <w:rPr>
                <w:sz w:val="22"/>
                <w:szCs w:val="22"/>
              </w:rPr>
              <w:t xml:space="preserve">                    </w:t>
            </w:r>
            <w:bookmarkEnd w:id="22"/>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FE127E">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tcPr>
          <w:p w14:paraId="3A3C521F"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72731A6" w14:textId="1534F665" w:rsidR="00F452F1" w:rsidRPr="00D4232B" w:rsidRDefault="009F4C1F" w:rsidP="009F4C1F">
            <w:pPr>
              <w:autoSpaceDE w:val="0"/>
              <w:autoSpaceDN w:val="0"/>
              <w:adjustRightInd w:val="0"/>
              <w:jc w:val="center"/>
              <w:rPr>
                <w:sz w:val="22"/>
                <w:szCs w:val="22"/>
              </w:rPr>
            </w:pPr>
            <w:r>
              <w:rPr>
                <w:sz w:val="22"/>
                <w:szCs w:val="22"/>
              </w:rPr>
              <w:t>M3</w:t>
            </w:r>
          </w:p>
        </w:tc>
      </w:tr>
      <w:tr w:rsidR="00F452F1" w:rsidRPr="00D4232B" w14:paraId="0B0DEC5D" w14:textId="77777777" w:rsidTr="009F4C1F">
        <w:tc>
          <w:tcPr>
            <w:tcW w:w="5290" w:type="dxa"/>
            <w:tcBorders>
              <w:top w:val="nil"/>
              <w:left w:val="single" w:sz="4" w:space="0" w:color="auto"/>
              <w:bottom w:val="nil"/>
              <w:right w:val="single" w:sz="4" w:space="0" w:color="auto"/>
            </w:tcBorders>
            <w:shd w:val="clear" w:color="auto" w:fill="auto"/>
          </w:tcPr>
          <w:p w14:paraId="5CF3AC82" w14:textId="19DB261F" w:rsidR="00F452F1" w:rsidRPr="00FE127E" w:rsidRDefault="00F452F1" w:rsidP="00CC5D3C">
            <w:pPr>
              <w:autoSpaceDE w:val="0"/>
              <w:autoSpaceDN w:val="0"/>
              <w:adjustRightInd w:val="0"/>
              <w:jc w:val="both"/>
              <w:rPr>
                <w:sz w:val="22"/>
                <w:szCs w:val="22"/>
              </w:rPr>
            </w:pPr>
            <w:bookmarkStart w:id="23" w:name="CaseACocher28"/>
            <w:r w:rsidRPr="00FE127E">
              <w:rPr>
                <w:sz w:val="22"/>
                <w:szCs w:val="22"/>
              </w:rPr>
              <w:t xml:space="preserve">                    </w:t>
            </w:r>
            <w:bookmarkEnd w:id="23"/>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FE127E">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tcPr>
          <w:p w14:paraId="0B2DE9A5"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B69206D" w14:textId="7C7A1800" w:rsidR="00F452F1" w:rsidRPr="00D4232B" w:rsidRDefault="009F4C1F" w:rsidP="009F4C1F">
            <w:pPr>
              <w:autoSpaceDE w:val="0"/>
              <w:autoSpaceDN w:val="0"/>
              <w:adjustRightInd w:val="0"/>
              <w:jc w:val="center"/>
              <w:rPr>
                <w:sz w:val="22"/>
                <w:szCs w:val="22"/>
              </w:rPr>
            </w:pPr>
            <w:r>
              <w:rPr>
                <w:sz w:val="22"/>
                <w:szCs w:val="22"/>
              </w:rPr>
              <w:t>M3a</w:t>
            </w:r>
          </w:p>
        </w:tc>
      </w:tr>
      <w:tr w:rsidR="00F452F1" w:rsidRPr="00D4232B" w14:paraId="5CE1C5D8" w14:textId="77777777" w:rsidTr="009F4C1F">
        <w:tc>
          <w:tcPr>
            <w:tcW w:w="5290" w:type="dxa"/>
            <w:tcBorders>
              <w:top w:val="nil"/>
              <w:left w:val="single" w:sz="4" w:space="0" w:color="auto"/>
              <w:bottom w:val="nil"/>
              <w:right w:val="single" w:sz="4" w:space="0" w:color="auto"/>
            </w:tcBorders>
            <w:shd w:val="clear" w:color="auto" w:fill="auto"/>
          </w:tcPr>
          <w:p w14:paraId="30315B84" w14:textId="24E50376" w:rsidR="00F452F1" w:rsidRPr="00FE127E" w:rsidRDefault="00F452F1" w:rsidP="00CC5D3C">
            <w:pPr>
              <w:autoSpaceDE w:val="0"/>
              <w:autoSpaceDN w:val="0"/>
              <w:adjustRightInd w:val="0"/>
              <w:jc w:val="both"/>
              <w:rPr>
                <w:sz w:val="22"/>
                <w:szCs w:val="22"/>
              </w:rPr>
            </w:pPr>
            <w:bookmarkStart w:id="24" w:name="CaseACocher29"/>
            <w:r w:rsidRPr="00FE127E">
              <w:rPr>
                <w:sz w:val="22"/>
                <w:szCs w:val="22"/>
              </w:rPr>
              <w:t xml:space="preserve">                    </w:t>
            </w:r>
            <w:bookmarkEnd w:id="24"/>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FE127E">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tcPr>
          <w:p w14:paraId="7090A57A"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82920F1" w14:textId="00D7BF32" w:rsidR="00F452F1" w:rsidRPr="00D4232B" w:rsidRDefault="009F4C1F" w:rsidP="009F4C1F">
            <w:pPr>
              <w:autoSpaceDE w:val="0"/>
              <w:autoSpaceDN w:val="0"/>
              <w:adjustRightInd w:val="0"/>
              <w:jc w:val="center"/>
              <w:rPr>
                <w:sz w:val="22"/>
                <w:szCs w:val="22"/>
              </w:rPr>
            </w:pPr>
            <w:r>
              <w:rPr>
                <w:sz w:val="22"/>
                <w:szCs w:val="22"/>
              </w:rPr>
              <w:t>M3a</w:t>
            </w:r>
          </w:p>
        </w:tc>
      </w:tr>
      <w:tr w:rsidR="00F452F1" w:rsidRPr="00D4232B" w14:paraId="47C00C52" w14:textId="77777777" w:rsidTr="009F4C1F">
        <w:tc>
          <w:tcPr>
            <w:tcW w:w="5290" w:type="dxa"/>
            <w:tcBorders>
              <w:top w:val="nil"/>
              <w:left w:val="single" w:sz="4" w:space="0" w:color="auto"/>
              <w:bottom w:val="single" w:sz="4" w:space="0" w:color="auto"/>
              <w:right w:val="single" w:sz="4" w:space="0" w:color="auto"/>
            </w:tcBorders>
            <w:shd w:val="clear" w:color="auto" w:fill="auto"/>
          </w:tcPr>
          <w:p w14:paraId="5C6FD8E4" w14:textId="3B1A703C" w:rsidR="00F452F1" w:rsidRPr="00FE127E" w:rsidRDefault="00F452F1" w:rsidP="00CC5D3C">
            <w:pPr>
              <w:autoSpaceDE w:val="0"/>
              <w:autoSpaceDN w:val="0"/>
              <w:adjustRightInd w:val="0"/>
              <w:jc w:val="both"/>
              <w:rPr>
                <w:sz w:val="22"/>
                <w:szCs w:val="22"/>
              </w:rPr>
            </w:pPr>
            <w:bookmarkStart w:id="25" w:name="CaseACocher30"/>
            <w:r w:rsidRPr="00FE127E">
              <w:rPr>
                <w:sz w:val="22"/>
                <w:szCs w:val="22"/>
              </w:rPr>
              <w:t xml:space="preserve">                    </w:t>
            </w:r>
            <w:bookmarkEnd w:id="25"/>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FE127E">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tcPr>
          <w:p w14:paraId="49E09279"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75FF829" w14:textId="6FC78CCB" w:rsidR="00F452F1" w:rsidRPr="00D4232B" w:rsidRDefault="009F4C1F" w:rsidP="009F4C1F">
            <w:pPr>
              <w:autoSpaceDE w:val="0"/>
              <w:autoSpaceDN w:val="0"/>
              <w:adjustRightInd w:val="0"/>
              <w:jc w:val="center"/>
              <w:rPr>
                <w:sz w:val="22"/>
                <w:szCs w:val="22"/>
              </w:rPr>
            </w:pPr>
            <w:r>
              <w:rPr>
                <w:sz w:val="22"/>
                <w:szCs w:val="22"/>
              </w:rPr>
              <w:t>M3a</w:t>
            </w:r>
          </w:p>
        </w:tc>
      </w:tr>
      <w:tr w:rsidR="00F452F1" w:rsidRPr="00D4232B" w14:paraId="397791E4" w14:textId="77777777" w:rsidTr="009F4C1F">
        <w:tc>
          <w:tcPr>
            <w:tcW w:w="5290" w:type="dxa"/>
            <w:tcBorders>
              <w:top w:val="single" w:sz="4" w:space="0" w:color="auto"/>
              <w:left w:val="single" w:sz="4" w:space="0" w:color="auto"/>
              <w:bottom w:val="nil"/>
              <w:right w:val="single" w:sz="4" w:space="0" w:color="auto"/>
            </w:tcBorders>
            <w:shd w:val="clear" w:color="auto" w:fill="auto"/>
          </w:tcPr>
          <w:p w14:paraId="2DA56DF2" w14:textId="5290B1C6" w:rsidR="00F452F1" w:rsidRPr="00D4232B" w:rsidRDefault="00F452F1" w:rsidP="00CC5D3C">
            <w:pPr>
              <w:autoSpaceDE w:val="0"/>
              <w:autoSpaceDN w:val="0"/>
              <w:adjustRightInd w:val="0"/>
              <w:jc w:val="both"/>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FE127E">
              <w:rPr>
                <w:i/>
                <w:iCs/>
                <w:sz w:val="22"/>
                <w:szCs w:val="22"/>
              </w:rPr>
              <w:fldChar w:fldCharType="begin">
                <w:ffData>
                  <w:name w:val="CaseACocher31"/>
                  <w:enabled/>
                  <w:calcOnExit w:val="0"/>
                  <w:checkBox>
                    <w:sizeAuto/>
                    <w:default w:val="1"/>
                  </w:checkBox>
                </w:ffData>
              </w:fldChar>
            </w:r>
            <w:bookmarkStart w:id="26" w:name="CaseACocher31"/>
            <w:r w:rsidR="00FE127E">
              <w:rPr>
                <w:i/>
                <w:iCs/>
                <w:sz w:val="22"/>
                <w:szCs w:val="22"/>
              </w:rPr>
              <w:instrText xml:space="preserve"> FORMCHECKBOX </w:instrText>
            </w:r>
            <w:r w:rsidR="00FE127E">
              <w:rPr>
                <w:i/>
                <w:iCs/>
                <w:sz w:val="22"/>
                <w:szCs w:val="22"/>
              </w:rPr>
            </w:r>
            <w:r w:rsidR="00FE127E">
              <w:rPr>
                <w:i/>
                <w:iCs/>
                <w:sz w:val="22"/>
                <w:szCs w:val="22"/>
              </w:rPr>
              <w:fldChar w:fldCharType="separate"/>
            </w:r>
            <w:r w:rsidR="00FE127E">
              <w:rPr>
                <w:i/>
                <w:iCs/>
                <w:sz w:val="22"/>
                <w:szCs w:val="22"/>
              </w:rPr>
              <w:fldChar w:fldCharType="end"/>
            </w:r>
            <w:bookmarkEnd w:id="26"/>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tcPr>
          <w:p w14:paraId="3E77B3AE" w14:textId="77777777" w:rsidR="00F452F1" w:rsidRPr="00D4232B" w:rsidRDefault="00F452F1" w:rsidP="00CC5D3C">
            <w:pPr>
              <w:autoSpaceDE w:val="0"/>
              <w:autoSpaceDN w:val="0"/>
              <w:adjustRightInd w:val="0"/>
              <w:jc w:val="both"/>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77777777" w:rsidR="00F452F1" w:rsidRPr="00D4232B" w:rsidRDefault="00F452F1" w:rsidP="009F4C1F">
            <w:pPr>
              <w:autoSpaceDE w:val="0"/>
              <w:autoSpaceDN w:val="0"/>
              <w:adjustRightInd w:val="0"/>
              <w:jc w:val="center"/>
              <w:rPr>
                <w:sz w:val="22"/>
                <w:szCs w:val="22"/>
              </w:rPr>
            </w:pPr>
          </w:p>
        </w:tc>
      </w:tr>
      <w:tr w:rsidR="00F452F1" w:rsidRPr="00D4232B" w14:paraId="11F2EAC3" w14:textId="77777777" w:rsidTr="009F4C1F">
        <w:tc>
          <w:tcPr>
            <w:tcW w:w="5290" w:type="dxa"/>
            <w:tcBorders>
              <w:top w:val="nil"/>
              <w:left w:val="single" w:sz="4" w:space="0" w:color="auto"/>
              <w:bottom w:val="nil"/>
              <w:right w:val="single" w:sz="4" w:space="0" w:color="auto"/>
            </w:tcBorders>
            <w:shd w:val="clear" w:color="auto" w:fill="auto"/>
          </w:tcPr>
          <w:p w14:paraId="3B24BD0F" w14:textId="4795EB12" w:rsidR="00F452F1" w:rsidRPr="00D4232B" w:rsidRDefault="00F452F1" w:rsidP="00CC5D3C">
            <w:pPr>
              <w:autoSpaceDE w:val="0"/>
              <w:autoSpaceDN w:val="0"/>
              <w:adjustRightInd w:val="0"/>
              <w:jc w:val="both"/>
              <w:rPr>
                <w:sz w:val="22"/>
                <w:szCs w:val="22"/>
              </w:rPr>
            </w:pPr>
            <w:bookmarkStart w:id="27" w:name="CaseACocher34"/>
            <w:r w:rsidRPr="00D4232B">
              <w:rPr>
                <w:sz w:val="22"/>
                <w:szCs w:val="22"/>
              </w:rPr>
              <w:t xml:space="preserve">                    </w:t>
            </w:r>
            <w:bookmarkEnd w:id="27"/>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tcPr>
          <w:p w14:paraId="0B75AB24"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2BDD3165" w:rsidR="00F452F1" w:rsidRPr="00D4232B" w:rsidRDefault="009F4C1F" w:rsidP="009F4C1F">
            <w:pPr>
              <w:autoSpaceDE w:val="0"/>
              <w:autoSpaceDN w:val="0"/>
              <w:adjustRightInd w:val="0"/>
              <w:jc w:val="center"/>
              <w:rPr>
                <w:sz w:val="22"/>
                <w:szCs w:val="22"/>
              </w:rPr>
            </w:pPr>
            <w:r>
              <w:rPr>
                <w:sz w:val="22"/>
                <w:szCs w:val="22"/>
              </w:rPr>
              <w:t>M3</w:t>
            </w:r>
          </w:p>
        </w:tc>
      </w:tr>
      <w:tr w:rsidR="00F452F1" w:rsidRPr="00D4232B" w14:paraId="509531BF" w14:textId="77777777" w:rsidTr="009F4C1F">
        <w:tc>
          <w:tcPr>
            <w:tcW w:w="5290" w:type="dxa"/>
            <w:tcBorders>
              <w:top w:val="nil"/>
              <w:left w:val="single" w:sz="4" w:space="0" w:color="auto"/>
              <w:bottom w:val="nil"/>
              <w:right w:val="single" w:sz="4" w:space="0" w:color="auto"/>
            </w:tcBorders>
            <w:shd w:val="clear" w:color="auto" w:fill="auto"/>
          </w:tcPr>
          <w:p w14:paraId="2F250864" w14:textId="783F4BD9" w:rsidR="00F452F1" w:rsidRPr="00D4232B" w:rsidRDefault="00F452F1" w:rsidP="00CC5D3C">
            <w:pPr>
              <w:autoSpaceDE w:val="0"/>
              <w:autoSpaceDN w:val="0"/>
              <w:adjustRightInd w:val="0"/>
              <w:jc w:val="both"/>
              <w:rPr>
                <w:sz w:val="22"/>
                <w:szCs w:val="22"/>
              </w:rPr>
            </w:pPr>
            <w:bookmarkStart w:id="28" w:name="CaseACocher35"/>
            <w:r w:rsidRPr="00D4232B">
              <w:rPr>
                <w:sz w:val="22"/>
                <w:szCs w:val="22"/>
              </w:rPr>
              <w:t xml:space="preserve">                    </w:t>
            </w:r>
            <w:bookmarkEnd w:id="28"/>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tcPr>
          <w:p w14:paraId="3ABFBE18"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0BAA40F1" w:rsidR="00F452F1" w:rsidRPr="00D4232B" w:rsidRDefault="009F4C1F" w:rsidP="009F4C1F">
            <w:pPr>
              <w:autoSpaceDE w:val="0"/>
              <w:autoSpaceDN w:val="0"/>
              <w:adjustRightInd w:val="0"/>
              <w:jc w:val="center"/>
              <w:rPr>
                <w:sz w:val="22"/>
                <w:szCs w:val="22"/>
              </w:rPr>
            </w:pPr>
            <w:r>
              <w:rPr>
                <w:sz w:val="22"/>
                <w:szCs w:val="22"/>
              </w:rPr>
              <w:t>M</w:t>
            </w:r>
            <w:r w:rsidR="00BB0F38">
              <w:rPr>
                <w:sz w:val="22"/>
                <w:szCs w:val="22"/>
              </w:rPr>
              <w:t>3</w:t>
            </w:r>
          </w:p>
        </w:tc>
      </w:tr>
      <w:tr w:rsidR="00F452F1" w:rsidRPr="00D4232B" w14:paraId="4851CA4A" w14:textId="77777777" w:rsidTr="009F4C1F">
        <w:tc>
          <w:tcPr>
            <w:tcW w:w="5290" w:type="dxa"/>
            <w:tcBorders>
              <w:top w:val="nil"/>
              <w:left w:val="single" w:sz="4" w:space="0" w:color="auto"/>
              <w:bottom w:val="nil"/>
              <w:right w:val="single" w:sz="4" w:space="0" w:color="auto"/>
            </w:tcBorders>
            <w:shd w:val="clear" w:color="auto" w:fill="auto"/>
          </w:tcPr>
          <w:p w14:paraId="06A23A3E" w14:textId="1B214281" w:rsidR="00F452F1" w:rsidRPr="00D4232B" w:rsidRDefault="00F452F1" w:rsidP="00CC5D3C">
            <w:pPr>
              <w:autoSpaceDE w:val="0"/>
              <w:autoSpaceDN w:val="0"/>
              <w:adjustRightInd w:val="0"/>
              <w:jc w:val="both"/>
              <w:rPr>
                <w:sz w:val="22"/>
                <w:szCs w:val="22"/>
              </w:rPr>
            </w:pPr>
            <w:bookmarkStart w:id="29" w:name="CaseACocher36"/>
            <w:r w:rsidRPr="00D4232B">
              <w:rPr>
                <w:sz w:val="22"/>
                <w:szCs w:val="22"/>
              </w:rPr>
              <w:t xml:space="preserve">                    </w:t>
            </w:r>
            <w:bookmarkEnd w:id="29"/>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tcPr>
          <w:p w14:paraId="18A10570"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3B3C7C57" w:rsidR="00F452F1" w:rsidRPr="00D4232B" w:rsidRDefault="009F4C1F" w:rsidP="009F4C1F">
            <w:pPr>
              <w:autoSpaceDE w:val="0"/>
              <w:autoSpaceDN w:val="0"/>
              <w:adjustRightInd w:val="0"/>
              <w:jc w:val="center"/>
              <w:rPr>
                <w:sz w:val="22"/>
                <w:szCs w:val="22"/>
              </w:rPr>
            </w:pPr>
            <w:r>
              <w:rPr>
                <w:sz w:val="22"/>
                <w:szCs w:val="22"/>
              </w:rPr>
              <w:t>M3a</w:t>
            </w:r>
          </w:p>
        </w:tc>
      </w:tr>
      <w:tr w:rsidR="00F452F1" w:rsidRPr="00D4232B" w14:paraId="761FC277" w14:textId="77777777" w:rsidTr="009F4C1F">
        <w:tc>
          <w:tcPr>
            <w:tcW w:w="5290" w:type="dxa"/>
            <w:tcBorders>
              <w:top w:val="nil"/>
              <w:left w:val="single" w:sz="4" w:space="0" w:color="auto"/>
              <w:bottom w:val="nil"/>
              <w:right w:val="single" w:sz="4" w:space="0" w:color="auto"/>
            </w:tcBorders>
            <w:shd w:val="clear" w:color="auto" w:fill="auto"/>
          </w:tcPr>
          <w:p w14:paraId="04CA5F04" w14:textId="7F75C1E9" w:rsidR="00F452F1" w:rsidRPr="00D4232B" w:rsidRDefault="00F452F1" w:rsidP="00CC5D3C">
            <w:pPr>
              <w:autoSpaceDE w:val="0"/>
              <w:autoSpaceDN w:val="0"/>
              <w:adjustRightInd w:val="0"/>
              <w:jc w:val="both"/>
              <w:rPr>
                <w:sz w:val="22"/>
                <w:szCs w:val="22"/>
              </w:rPr>
            </w:pPr>
            <w:bookmarkStart w:id="30" w:name="CaseACocher37"/>
            <w:r w:rsidRPr="00D4232B">
              <w:rPr>
                <w:sz w:val="22"/>
                <w:szCs w:val="22"/>
              </w:rPr>
              <w:t xml:space="preserve">                    </w:t>
            </w:r>
            <w:bookmarkEnd w:id="30"/>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tcPr>
          <w:p w14:paraId="62ABBFAB"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1E4EB32" w14:textId="13393665" w:rsidR="00F452F1" w:rsidRPr="00D4232B" w:rsidRDefault="009F4C1F" w:rsidP="009F4C1F">
            <w:pPr>
              <w:autoSpaceDE w:val="0"/>
              <w:autoSpaceDN w:val="0"/>
              <w:adjustRightInd w:val="0"/>
              <w:jc w:val="center"/>
              <w:rPr>
                <w:sz w:val="22"/>
                <w:szCs w:val="22"/>
              </w:rPr>
            </w:pPr>
            <w:r>
              <w:rPr>
                <w:sz w:val="22"/>
                <w:szCs w:val="22"/>
              </w:rPr>
              <w:t>M3a</w:t>
            </w:r>
          </w:p>
        </w:tc>
      </w:tr>
      <w:tr w:rsidR="00F452F1" w:rsidRPr="00D4232B" w14:paraId="2FE13F03" w14:textId="77777777" w:rsidTr="009F4C1F">
        <w:tc>
          <w:tcPr>
            <w:tcW w:w="5290" w:type="dxa"/>
            <w:tcBorders>
              <w:top w:val="nil"/>
              <w:left w:val="single" w:sz="4" w:space="0" w:color="auto"/>
              <w:bottom w:val="single" w:sz="4" w:space="0" w:color="auto"/>
              <w:right w:val="single" w:sz="4" w:space="0" w:color="auto"/>
            </w:tcBorders>
            <w:shd w:val="clear" w:color="auto" w:fill="auto"/>
          </w:tcPr>
          <w:p w14:paraId="3B743F40" w14:textId="7BD0067C" w:rsidR="00F452F1" w:rsidRPr="00D4232B" w:rsidRDefault="00F452F1" w:rsidP="00CC5D3C">
            <w:pPr>
              <w:autoSpaceDE w:val="0"/>
              <w:autoSpaceDN w:val="0"/>
              <w:adjustRightInd w:val="0"/>
              <w:jc w:val="both"/>
              <w:rPr>
                <w:sz w:val="22"/>
                <w:szCs w:val="22"/>
              </w:rPr>
            </w:pPr>
            <w:bookmarkStart w:id="31" w:name="CaseACocher38"/>
            <w:r w:rsidRPr="00D4232B">
              <w:rPr>
                <w:sz w:val="22"/>
                <w:szCs w:val="22"/>
              </w:rPr>
              <w:t xml:space="preserve">                    </w:t>
            </w:r>
            <w:bookmarkEnd w:id="31"/>
            <w:r w:rsidR="00FE127E">
              <w:rPr>
                <w:sz w:val="22"/>
                <w:szCs w:val="22"/>
              </w:rPr>
              <w:fldChar w:fldCharType="begin">
                <w:ffData>
                  <w:name w:val=""/>
                  <w:enabled/>
                  <w:calcOnExit w:val="0"/>
                  <w:checkBox>
                    <w:sizeAuto/>
                    <w:default w:val="1"/>
                  </w:checkBox>
                </w:ffData>
              </w:fldChar>
            </w:r>
            <w:r w:rsidR="00FE127E">
              <w:rPr>
                <w:sz w:val="22"/>
                <w:szCs w:val="22"/>
              </w:rPr>
              <w:instrText xml:space="preserve"> FORMCHECKBOX </w:instrText>
            </w:r>
            <w:r w:rsidR="00FE127E">
              <w:rPr>
                <w:sz w:val="22"/>
                <w:szCs w:val="22"/>
              </w:rPr>
            </w:r>
            <w:r w:rsidR="00FE127E">
              <w:rPr>
                <w:sz w:val="22"/>
                <w:szCs w:val="22"/>
              </w:rPr>
              <w:fldChar w:fldCharType="separate"/>
            </w:r>
            <w:r w:rsidR="00FE127E">
              <w:rPr>
                <w:sz w:val="22"/>
                <w:szCs w:val="22"/>
              </w:rPr>
              <w:fldChar w:fldCharType="end"/>
            </w:r>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tcPr>
          <w:p w14:paraId="75AB4301" w14:textId="77777777" w:rsidR="00F452F1" w:rsidRPr="00D4232B" w:rsidRDefault="00F452F1" w:rsidP="00CC5D3C">
            <w:pPr>
              <w:autoSpaceDE w:val="0"/>
              <w:autoSpaceDN w:val="0"/>
              <w:adjustRightInd w:val="0"/>
              <w:jc w:val="both"/>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522600A4" w:rsidR="00F452F1" w:rsidRPr="00D4232B" w:rsidRDefault="009F4C1F" w:rsidP="009F4C1F">
            <w:pPr>
              <w:autoSpaceDE w:val="0"/>
              <w:autoSpaceDN w:val="0"/>
              <w:adjustRightInd w:val="0"/>
              <w:jc w:val="center"/>
              <w:rPr>
                <w:sz w:val="22"/>
                <w:szCs w:val="22"/>
              </w:rPr>
            </w:pPr>
            <w:r>
              <w:rPr>
                <w:sz w:val="22"/>
                <w:szCs w:val="22"/>
              </w:rPr>
              <w:t>M3a</w:t>
            </w:r>
          </w:p>
        </w:tc>
      </w:tr>
    </w:tbl>
    <w:p w14:paraId="30DFF67F" w14:textId="77777777" w:rsidR="008033FF" w:rsidRDefault="008033FF" w:rsidP="00F452F1">
      <w:pPr>
        <w:autoSpaceDE w:val="0"/>
        <w:autoSpaceDN w:val="0"/>
        <w:adjustRightInd w:val="0"/>
        <w:jc w:val="both"/>
        <w:rPr>
          <w:sz w:val="22"/>
          <w:szCs w:val="22"/>
        </w:rPr>
      </w:pPr>
    </w:p>
    <w:p w14:paraId="7C1EDFDF" w14:textId="0C11CB4F" w:rsidR="00F452F1" w:rsidRDefault="00F452F1" w:rsidP="009F4C1F">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5721C9CD" w14:textId="77777777" w:rsidR="006A14A5" w:rsidRDefault="006A14A5" w:rsidP="009F4C1F">
      <w:pPr>
        <w:autoSpaceDE w:val="0"/>
        <w:autoSpaceDN w:val="0"/>
        <w:adjustRightInd w:val="0"/>
        <w:jc w:val="both"/>
        <w:outlineLvl w:val="0"/>
        <w:rPr>
          <w:sz w:val="22"/>
          <w:szCs w:val="22"/>
        </w:rPr>
      </w:pPr>
    </w:p>
    <w:p w14:paraId="35F3625F" w14:textId="0FE34852"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5B0183A3" w14:textId="1D5A3946" w:rsidR="00F452F1" w:rsidRPr="00000789" w:rsidRDefault="00F452F1" w:rsidP="00000789">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1744"/>
        <w:gridCol w:w="1984"/>
        <w:gridCol w:w="2127"/>
        <w:gridCol w:w="1502"/>
      </w:tblGrid>
      <w:tr w:rsidR="00000789" w:rsidRPr="00F63796" w14:paraId="62F4F9A3" w14:textId="77777777" w:rsidTr="007F59FD">
        <w:tc>
          <w:tcPr>
            <w:tcW w:w="1360" w:type="dxa"/>
            <w:vMerge w:val="restart"/>
            <w:tcBorders>
              <w:top w:val="double" w:sz="4" w:space="0" w:color="auto"/>
              <w:left w:val="double" w:sz="4" w:space="0" w:color="auto"/>
              <w:right w:val="single" w:sz="4" w:space="0" w:color="auto"/>
            </w:tcBorders>
            <w:vAlign w:val="center"/>
          </w:tcPr>
          <w:p w14:paraId="6423E6AB" w14:textId="77777777" w:rsidR="00000789" w:rsidRPr="00F63796" w:rsidRDefault="00000789" w:rsidP="00000789">
            <w:pPr>
              <w:autoSpaceDE w:val="0"/>
              <w:autoSpaceDN w:val="0"/>
              <w:adjustRightInd w:val="0"/>
              <w:jc w:val="center"/>
              <w:rPr>
                <w:b/>
                <w:bCs/>
                <w:sz w:val="22"/>
                <w:szCs w:val="22"/>
              </w:rPr>
            </w:pPr>
            <w:r w:rsidRPr="00F63796">
              <w:rPr>
                <w:b/>
                <w:bCs/>
                <w:sz w:val="22"/>
                <w:szCs w:val="22"/>
              </w:rPr>
              <w:t>Abattage / Façonnage</w:t>
            </w:r>
          </w:p>
        </w:tc>
        <w:tc>
          <w:tcPr>
            <w:tcW w:w="1744" w:type="dxa"/>
            <w:tcBorders>
              <w:top w:val="double" w:sz="4" w:space="0" w:color="auto"/>
              <w:left w:val="single" w:sz="4" w:space="0" w:color="auto"/>
              <w:bottom w:val="double" w:sz="4" w:space="0" w:color="auto"/>
              <w:right w:val="single" w:sz="4" w:space="0" w:color="auto"/>
            </w:tcBorders>
            <w:shd w:val="clear" w:color="auto" w:fill="auto"/>
          </w:tcPr>
          <w:p w14:paraId="505521E2" w14:textId="77777777" w:rsidR="00000789" w:rsidRPr="00F63796" w:rsidRDefault="00000789" w:rsidP="00000789">
            <w:pPr>
              <w:autoSpaceDE w:val="0"/>
              <w:autoSpaceDN w:val="0"/>
              <w:adjustRightInd w:val="0"/>
              <w:jc w:val="center"/>
              <w:rPr>
                <w:b/>
                <w:bCs/>
                <w:sz w:val="22"/>
                <w:szCs w:val="22"/>
              </w:rPr>
            </w:pPr>
            <w:r w:rsidRPr="00F63796">
              <w:rPr>
                <w:b/>
                <w:bCs/>
                <w:sz w:val="22"/>
                <w:szCs w:val="22"/>
              </w:rPr>
              <w:t>Critères</w:t>
            </w:r>
          </w:p>
        </w:tc>
        <w:tc>
          <w:tcPr>
            <w:tcW w:w="5613" w:type="dxa"/>
            <w:gridSpan w:val="3"/>
            <w:tcBorders>
              <w:top w:val="double" w:sz="4" w:space="0" w:color="auto"/>
              <w:left w:val="nil"/>
              <w:bottom w:val="double" w:sz="4" w:space="0" w:color="auto"/>
              <w:right w:val="single" w:sz="4" w:space="0" w:color="auto"/>
            </w:tcBorders>
            <w:shd w:val="clear" w:color="auto" w:fill="auto"/>
          </w:tcPr>
          <w:p w14:paraId="6D01CD4A" w14:textId="77777777" w:rsidR="00000789" w:rsidRPr="00F63796" w:rsidRDefault="00000789" w:rsidP="00000789">
            <w:pPr>
              <w:autoSpaceDE w:val="0"/>
              <w:autoSpaceDN w:val="0"/>
              <w:adjustRightInd w:val="0"/>
              <w:jc w:val="center"/>
              <w:rPr>
                <w:b/>
                <w:bCs/>
                <w:sz w:val="22"/>
                <w:szCs w:val="22"/>
              </w:rPr>
            </w:pPr>
            <w:r>
              <w:rPr>
                <w:b/>
                <w:bCs/>
                <w:sz w:val="22"/>
                <w:szCs w:val="22"/>
              </w:rPr>
              <w:t>Effet sur le Prix de Base (PB)</w:t>
            </w:r>
          </w:p>
        </w:tc>
      </w:tr>
      <w:tr w:rsidR="00000789" w:rsidRPr="00A06CE8" w14:paraId="3B9547C1" w14:textId="77777777" w:rsidTr="007F59FD">
        <w:tc>
          <w:tcPr>
            <w:tcW w:w="1360" w:type="dxa"/>
            <w:vMerge/>
            <w:tcBorders>
              <w:left w:val="double" w:sz="4" w:space="0" w:color="auto"/>
              <w:right w:val="single" w:sz="4" w:space="0" w:color="auto"/>
            </w:tcBorders>
          </w:tcPr>
          <w:p w14:paraId="6B19BE26" w14:textId="77777777" w:rsidR="00000789" w:rsidRPr="00F63796" w:rsidRDefault="00000789" w:rsidP="00CC5D3C">
            <w:pPr>
              <w:autoSpaceDE w:val="0"/>
              <w:autoSpaceDN w:val="0"/>
              <w:adjustRightInd w:val="0"/>
              <w:rPr>
                <w:b/>
                <w:bCs/>
                <w:sz w:val="22"/>
                <w:szCs w:val="22"/>
              </w:rPr>
            </w:pPr>
          </w:p>
        </w:tc>
        <w:tc>
          <w:tcPr>
            <w:tcW w:w="1744" w:type="dxa"/>
            <w:tcBorders>
              <w:top w:val="double" w:sz="4" w:space="0" w:color="auto"/>
              <w:left w:val="single" w:sz="4" w:space="0" w:color="auto"/>
              <w:bottom w:val="single" w:sz="4" w:space="0" w:color="auto"/>
              <w:right w:val="single" w:sz="4" w:space="0" w:color="auto"/>
            </w:tcBorders>
            <w:shd w:val="clear" w:color="auto" w:fill="A8D08D" w:themeFill="accent6" w:themeFillTint="99"/>
            <w:vAlign w:val="center"/>
          </w:tcPr>
          <w:p w14:paraId="55A0B323" w14:textId="77777777" w:rsidR="00000789" w:rsidRPr="00000789" w:rsidRDefault="00000789" w:rsidP="00FE127E">
            <w:pPr>
              <w:autoSpaceDE w:val="0"/>
              <w:autoSpaceDN w:val="0"/>
              <w:adjustRightInd w:val="0"/>
              <w:jc w:val="center"/>
              <w:rPr>
                <w:b/>
                <w:bCs/>
                <w:sz w:val="22"/>
                <w:szCs w:val="22"/>
              </w:rPr>
            </w:pPr>
            <w:r w:rsidRPr="00000789">
              <w:rPr>
                <w:b/>
                <w:bCs/>
                <w:sz w:val="22"/>
                <w:szCs w:val="22"/>
              </w:rPr>
              <w:t>Taille du chantier</w:t>
            </w:r>
          </w:p>
        </w:tc>
        <w:tc>
          <w:tcPr>
            <w:tcW w:w="4111" w:type="dxa"/>
            <w:gridSpan w:val="2"/>
            <w:tcBorders>
              <w:top w:val="double" w:sz="4" w:space="0" w:color="auto"/>
              <w:left w:val="single" w:sz="4" w:space="0" w:color="auto"/>
              <w:bottom w:val="single" w:sz="4" w:space="0" w:color="auto"/>
              <w:right w:val="single" w:sz="4" w:space="0" w:color="auto"/>
            </w:tcBorders>
            <w:shd w:val="clear" w:color="auto" w:fill="E2EFD9" w:themeFill="accent6" w:themeFillTint="33"/>
            <w:vAlign w:val="center"/>
          </w:tcPr>
          <w:p w14:paraId="11051EF5" w14:textId="509665C3" w:rsidR="00000789" w:rsidRPr="00FE127E" w:rsidRDefault="00000789" w:rsidP="00000789">
            <w:pPr>
              <w:autoSpaceDE w:val="0"/>
              <w:autoSpaceDN w:val="0"/>
              <w:adjustRightInd w:val="0"/>
              <w:jc w:val="center"/>
              <w:rPr>
                <w:color w:val="3366FF"/>
                <w:sz w:val="22"/>
                <w:szCs w:val="22"/>
              </w:rPr>
            </w:pPr>
            <w:r w:rsidRPr="00FE127E">
              <w:rPr>
                <w:color w:val="000000" w:themeColor="text1"/>
                <w:sz w:val="22"/>
                <w:szCs w:val="22"/>
              </w:rPr>
              <w:t xml:space="preserve">Si moins de </w:t>
            </w:r>
            <w:r w:rsidR="00BB0F38">
              <w:rPr>
                <w:color w:val="000000" w:themeColor="text1"/>
                <w:sz w:val="22"/>
                <w:szCs w:val="22"/>
              </w:rPr>
              <w:t>3</w:t>
            </w:r>
            <w:r w:rsidRPr="00FE127E">
              <w:rPr>
                <w:color w:val="000000" w:themeColor="text1"/>
                <w:sz w:val="22"/>
                <w:szCs w:val="22"/>
              </w:rPr>
              <w:t>00 m3a</w:t>
            </w:r>
          </w:p>
        </w:tc>
        <w:tc>
          <w:tcPr>
            <w:tcW w:w="1502" w:type="dxa"/>
            <w:tcBorders>
              <w:top w:val="double" w:sz="4" w:space="0" w:color="auto"/>
              <w:left w:val="nil"/>
              <w:bottom w:val="single" w:sz="4" w:space="0" w:color="auto"/>
              <w:right w:val="single" w:sz="4" w:space="0" w:color="auto"/>
            </w:tcBorders>
            <w:vAlign w:val="center"/>
          </w:tcPr>
          <w:p w14:paraId="0C815D4C" w14:textId="15694A53" w:rsidR="00000789" w:rsidRPr="00FE127E" w:rsidRDefault="00000789" w:rsidP="00000789">
            <w:pPr>
              <w:autoSpaceDE w:val="0"/>
              <w:autoSpaceDN w:val="0"/>
              <w:adjustRightInd w:val="0"/>
              <w:jc w:val="center"/>
              <w:rPr>
                <w:b/>
                <w:bCs/>
                <w:sz w:val="22"/>
                <w:szCs w:val="22"/>
              </w:rPr>
            </w:pPr>
            <w:r w:rsidRPr="00FE127E">
              <w:rPr>
                <w:b/>
                <w:bCs/>
                <w:sz w:val="22"/>
                <w:szCs w:val="22"/>
              </w:rPr>
              <w:t>+ 1 €</w:t>
            </w:r>
          </w:p>
        </w:tc>
      </w:tr>
      <w:tr w:rsidR="00000789" w:rsidRPr="00A06CE8" w14:paraId="0D16A937" w14:textId="77777777" w:rsidTr="007F59FD">
        <w:tc>
          <w:tcPr>
            <w:tcW w:w="1360" w:type="dxa"/>
            <w:vMerge/>
            <w:tcBorders>
              <w:left w:val="double" w:sz="4" w:space="0" w:color="auto"/>
              <w:right w:val="single" w:sz="4" w:space="0" w:color="auto"/>
            </w:tcBorders>
          </w:tcPr>
          <w:p w14:paraId="68EE78AC" w14:textId="77777777" w:rsidR="00000789" w:rsidRPr="00A06CE8" w:rsidRDefault="00000789" w:rsidP="00CC5D3C">
            <w:pPr>
              <w:autoSpaceDE w:val="0"/>
              <w:autoSpaceDN w:val="0"/>
              <w:adjustRightInd w:val="0"/>
              <w:rPr>
                <w:sz w:val="22"/>
                <w:szCs w:val="22"/>
              </w:rPr>
            </w:pPr>
          </w:p>
        </w:tc>
        <w:tc>
          <w:tcPr>
            <w:tcW w:w="174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F985C37" w14:textId="3F1E8892" w:rsidR="00000789" w:rsidRPr="00000789" w:rsidRDefault="007F59FD" w:rsidP="00FE127E">
            <w:pPr>
              <w:autoSpaceDE w:val="0"/>
              <w:autoSpaceDN w:val="0"/>
              <w:adjustRightInd w:val="0"/>
              <w:jc w:val="center"/>
              <w:rPr>
                <w:b/>
                <w:bCs/>
                <w:sz w:val="22"/>
                <w:szCs w:val="22"/>
              </w:rPr>
            </w:pPr>
            <w:r>
              <w:rPr>
                <w:b/>
                <w:bCs/>
                <w:sz w:val="22"/>
                <w:szCs w:val="22"/>
              </w:rPr>
              <w:t xml:space="preserve">60% &gt; </w:t>
            </w:r>
            <w:r w:rsidR="00000789" w:rsidRPr="00000789">
              <w:rPr>
                <w:b/>
                <w:bCs/>
                <w:sz w:val="22"/>
                <w:szCs w:val="22"/>
              </w:rPr>
              <w:t>Pente &gt; 40 %</w:t>
            </w:r>
          </w:p>
        </w:tc>
        <w:tc>
          <w:tcPr>
            <w:tcW w:w="4111" w:type="dxa"/>
            <w:gridSpan w:val="2"/>
            <w:tcBorders>
              <w:top w:val="single" w:sz="4" w:space="0" w:color="auto"/>
              <w:left w:val="single" w:sz="4" w:space="0" w:color="auto"/>
              <w:bottom w:val="single" w:sz="4" w:space="0" w:color="auto"/>
              <w:right w:val="single" w:sz="4" w:space="0" w:color="auto"/>
            </w:tcBorders>
            <w:vAlign w:val="center"/>
          </w:tcPr>
          <w:p w14:paraId="33167BE1" w14:textId="77777777" w:rsidR="00000789" w:rsidRPr="00FE127E" w:rsidRDefault="00000789" w:rsidP="00000789">
            <w:pPr>
              <w:autoSpaceDE w:val="0"/>
              <w:autoSpaceDN w:val="0"/>
              <w:adjustRightInd w:val="0"/>
              <w:jc w:val="center"/>
              <w:rPr>
                <w:sz w:val="22"/>
                <w:szCs w:val="22"/>
              </w:rPr>
            </w:pPr>
          </w:p>
        </w:tc>
        <w:tc>
          <w:tcPr>
            <w:tcW w:w="1502" w:type="dxa"/>
            <w:tcBorders>
              <w:top w:val="single" w:sz="4" w:space="0" w:color="auto"/>
              <w:left w:val="nil"/>
              <w:bottom w:val="single" w:sz="4" w:space="0" w:color="auto"/>
              <w:right w:val="single" w:sz="4" w:space="0" w:color="auto"/>
            </w:tcBorders>
            <w:vAlign w:val="center"/>
          </w:tcPr>
          <w:p w14:paraId="009B2EAC" w14:textId="3D04CCF7" w:rsidR="00000789" w:rsidRPr="00FE127E" w:rsidRDefault="00000789" w:rsidP="00000789">
            <w:pPr>
              <w:autoSpaceDE w:val="0"/>
              <w:autoSpaceDN w:val="0"/>
              <w:adjustRightInd w:val="0"/>
              <w:jc w:val="center"/>
              <w:rPr>
                <w:b/>
                <w:bCs/>
                <w:sz w:val="22"/>
                <w:szCs w:val="22"/>
              </w:rPr>
            </w:pPr>
            <w:r w:rsidRPr="00FE127E">
              <w:rPr>
                <w:b/>
                <w:bCs/>
                <w:sz w:val="22"/>
                <w:szCs w:val="22"/>
              </w:rPr>
              <w:t>+ 1 €</w:t>
            </w:r>
          </w:p>
        </w:tc>
      </w:tr>
      <w:tr w:rsidR="00000789" w:rsidRPr="00A06CE8" w14:paraId="173F2F94" w14:textId="77777777" w:rsidTr="007F59FD">
        <w:tc>
          <w:tcPr>
            <w:tcW w:w="1360" w:type="dxa"/>
            <w:vMerge/>
            <w:tcBorders>
              <w:left w:val="double" w:sz="4" w:space="0" w:color="auto"/>
              <w:right w:val="single" w:sz="4" w:space="0" w:color="auto"/>
            </w:tcBorders>
          </w:tcPr>
          <w:p w14:paraId="3966497F" w14:textId="77777777" w:rsidR="00000789" w:rsidRPr="00A06CE8" w:rsidRDefault="00000789" w:rsidP="00CC5D3C">
            <w:pPr>
              <w:autoSpaceDE w:val="0"/>
              <w:autoSpaceDN w:val="0"/>
              <w:adjustRightInd w:val="0"/>
              <w:rPr>
                <w:sz w:val="22"/>
                <w:szCs w:val="22"/>
              </w:rPr>
            </w:pPr>
          </w:p>
        </w:tc>
        <w:tc>
          <w:tcPr>
            <w:tcW w:w="1744" w:type="dxa"/>
            <w:vMerge w:val="restart"/>
            <w:tcBorders>
              <w:top w:val="single" w:sz="4" w:space="0" w:color="auto"/>
              <w:left w:val="single" w:sz="4" w:space="0" w:color="auto"/>
              <w:right w:val="single" w:sz="4" w:space="0" w:color="auto"/>
            </w:tcBorders>
            <w:shd w:val="clear" w:color="auto" w:fill="A8D08D" w:themeFill="accent6" w:themeFillTint="99"/>
            <w:vAlign w:val="center"/>
          </w:tcPr>
          <w:p w14:paraId="39B840A7" w14:textId="4405C2A9" w:rsidR="00000789" w:rsidRPr="00000789" w:rsidRDefault="00000789" w:rsidP="00000789">
            <w:pPr>
              <w:autoSpaceDE w:val="0"/>
              <w:autoSpaceDN w:val="0"/>
              <w:adjustRightInd w:val="0"/>
              <w:jc w:val="center"/>
              <w:rPr>
                <w:b/>
                <w:bCs/>
                <w:sz w:val="22"/>
                <w:szCs w:val="22"/>
              </w:rPr>
            </w:pPr>
            <w:r w:rsidRPr="00000789">
              <w:rPr>
                <w:b/>
                <w:bCs/>
                <w:sz w:val="22"/>
                <w:szCs w:val="22"/>
              </w:rPr>
              <w:t>Densité de prélèvement</w:t>
            </w:r>
          </w:p>
          <w:p w14:paraId="6C9520CE" w14:textId="77777777" w:rsidR="00000789" w:rsidRPr="00000789" w:rsidRDefault="00000789" w:rsidP="00000789">
            <w:pPr>
              <w:autoSpaceDE w:val="0"/>
              <w:autoSpaceDN w:val="0"/>
              <w:adjustRightInd w:val="0"/>
              <w:jc w:val="center"/>
              <w:rPr>
                <w:b/>
                <w:bCs/>
                <w:sz w:val="22"/>
                <w:szCs w:val="22"/>
              </w:rPr>
            </w:pPr>
          </w:p>
          <w:p w14:paraId="30186C62" w14:textId="77777777" w:rsidR="00000789" w:rsidRPr="00000789" w:rsidRDefault="00000789" w:rsidP="00000789">
            <w:pPr>
              <w:autoSpaceDE w:val="0"/>
              <w:autoSpaceDN w:val="0"/>
              <w:adjustRightInd w:val="0"/>
              <w:jc w:val="center"/>
              <w:rPr>
                <w:b/>
                <w:bCs/>
                <w:sz w:val="22"/>
                <w:szCs w:val="22"/>
              </w:rPr>
            </w:pPr>
          </w:p>
        </w:tc>
        <w:tc>
          <w:tcPr>
            <w:tcW w:w="1984" w:type="dxa"/>
            <w:tcBorders>
              <w:top w:val="single" w:sz="4" w:space="0" w:color="auto"/>
              <w:left w:val="single" w:sz="4" w:space="0" w:color="auto"/>
              <w:right w:val="single" w:sz="4" w:space="0" w:color="auto"/>
            </w:tcBorders>
            <w:shd w:val="clear" w:color="auto" w:fill="E2EFD9" w:themeFill="accent6" w:themeFillTint="33"/>
            <w:vAlign w:val="center"/>
          </w:tcPr>
          <w:p w14:paraId="66D96EB1" w14:textId="65384FD1" w:rsidR="00000789" w:rsidRPr="00FE127E" w:rsidRDefault="007F59FD" w:rsidP="00000789">
            <w:pPr>
              <w:autoSpaceDE w:val="0"/>
              <w:autoSpaceDN w:val="0"/>
              <w:adjustRightInd w:val="0"/>
              <w:jc w:val="center"/>
              <w:rPr>
                <w:sz w:val="22"/>
                <w:szCs w:val="22"/>
              </w:rPr>
            </w:pPr>
            <w:r>
              <w:rPr>
                <w:sz w:val="22"/>
                <w:szCs w:val="22"/>
              </w:rPr>
              <w:t>De 25 à</w:t>
            </w:r>
            <w:r w:rsidR="00000789" w:rsidRPr="00FE127E">
              <w:rPr>
                <w:sz w:val="22"/>
                <w:szCs w:val="22"/>
              </w:rPr>
              <w:t xml:space="preserve"> 30 m3/ha</w:t>
            </w:r>
          </w:p>
        </w:tc>
        <w:tc>
          <w:tcPr>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785817" w14:textId="25CCA2DA" w:rsidR="00000789" w:rsidRPr="00FE127E" w:rsidRDefault="007F59FD" w:rsidP="00000789">
            <w:pPr>
              <w:autoSpaceDE w:val="0"/>
              <w:autoSpaceDN w:val="0"/>
              <w:adjustRightInd w:val="0"/>
              <w:jc w:val="center"/>
              <w:rPr>
                <w:sz w:val="22"/>
                <w:szCs w:val="22"/>
              </w:rPr>
            </w:pPr>
            <w:r>
              <w:rPr>
                <w:sz w:val="22"/>
                <w:szCs w:val="22"/>
              </w:rPr>
              <w:t>Compris entre</w:t>
            </w:r>
            <w:r w:rsidR="00000789" w:rsidRPr="00FE127E">
              <w:rPr>
                <w:sz w:val="22"/>
                <w:szCs w:val="22"/>
              </w:rPr>
              <w:t xml:space="preserve"> 30 </w:t>
            </w:r>
            <w:r>
              <w:rPr>
                <w:sz w:val="22"/>
                <w:szCs w:val="22"/>
              </w:rPr>
              <w:t>et</w:t>
            </w:r>
            <w:r w:rsidR="00000789" w:rsidRPr="00FE127E">
              <w:rPr>
                <w:sz w:val="22"/>
                <w:szCs w:val="22"/>
              </w:rPr>
              <w:t xml:space="preserve"> </w:t>
            </w:r>
            <w:r>
              <w:rPr>
                <w:sz w:val="22"/>
                <w:szCs w:val="22"/>
              </w:rPr>
              <w:t>6</w:t>
            </w:r>
            <w:r w:rsidR="00000789" w:rsidRPr="00FE127E">
              <w:rPr>
                <w:sz w:val="22"/>
                <w:szCs w:val="22"/>
              </w:rPr>
              <w:t>0 m3/ha</w:t>
            </w:r>
          </w:p>
        </w:tc>
        <w:tc>
          <w:tcPr>
            <w:tcW w:w="15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D83164" w14:textId="6DC8D677" w:rsidR="00000789" w:rsidRPr="00FE127E" w:rsidRDefault="007F59FD" w:rsidP="00000789">
            <w:pPr>
              <w:autoSpaceDE w:val="0"/>
              <w:autoSpaceDN w:val="0"/>
              <w:adjustRightInd w:val="0"/>
              <w:jc w:val="center"/>
              <w:rPr>
                <w:sz w:val="22"/>
                <w:szCs w:val="22"/>
              </w:rPr>
            </w:pPr>
            <w:r>
              <w:rPr>
                <w:sz w:val="22"/>
                <w:szCs w:val="22"/>
              </w:rPr>
              <w:t>De 60 à 80</w:t>
            </w:r>
            <w:r w:rsidR="00000789" w:rsidRPr="00FE127E">
              <w:rPr>
                <w:sz w:val="22"/>
                <w:szCs w:val="22"/>
              </w:rPr>
              <w:t xml:space="preserve"> m3/ha</w:t>
            </w:r>
          </w:p>
        </w:tc>
      </w:tr>
      <w:tr w:rsidR="00000789" w:rsidRPr="00A06CE8" w14:paraId="22031536" w14:textId="77777777" w:rsidTr="007F59FD">
        <w:tc>
          <w:tcPr>
            <w:tcW w:w="1360" w:type="dxa"/>
            <w:vMerge/>
            <w:tcBorders>
              <w:left w:val="double" w:sz="4" w:space="0" w:color="auto"/>
              <w:right w:val="single" w:sz="4" w:space="0" w:color="auto"/>
            </w:tcBorders>
          </w:tcPr>
          <w:p w14:paraId="6E10FDAE" w14:textId="77777777" w:rsidR="00000789" w:rsidRPr="00A06CE8" w:rsidRDefault="00000789" w:rsidP="00CC5D3C">
            <w:pPr>
              <w:autoSpaceDE w:val="0"/>
              <w:autoSpaceDN w:val="0"/>
              <w:adjustRightInd w:val="0"/>
              <w:rPr>
                <w:sz w:val="22"/>
                <w:szCs w:val="22"/>
              </w:rPr>
            </w:pPr>
          </w:p>
        </w:tc>
        <w:tc>
          <w:tcPr>
            <w:tcW w:w="1744" w:type="dxa"/>
            <w:vMerge/>
            <w:tcBorders>
              <w:left w:val="single" w:sz="4" w:space="0" w:color="auto"/>
              <w:bottom w:val="single" w:sz="4" w:space="0" w:color="auto"/>
              <w:right w:val="single" w:sz="4" w:space="0" w:color="auto"/>
            </w:tcBorders>
            <w:shd w:val="clear" w:color="auto" w:fill="A8D08D" w:themeFill="accent6" w:themeFillTint="99"/>
            <w:vAlign w:val="center"/>
          </w:tcPr>
          <w:p w14:paraId="1CE0EFE7" w14:textId="77777777" w:rsidR="00000789" w:rsidRPr="00000789" w:rsidRDefault="00000789" w:rsidP="00FE127E">
            <w:pPr>
              <w:autoSpaceDE w:val="0"/>
              <w:autoSpaceDN w:val="0"/>
              <w:adjustRightInd w:val="0"/>
              <w:jc w:val="center"/>
              <w:rPr>
                <w:b/>
                <w:bCs/>
                <w:sz w:val="22"/>
                <w:szCs w:val="22"/>
              </w:rPr>
            </w:pPr>
          </w:p>
        </w:tc>
        <w:tc>
          <w:tcPr>
            <w:tcW w:w="1984" w:type="dxa"/>
            <w:tcBorders>
              <w:left w:val="single" w:sz="4" w:space="0" w:color="auto"/>
              <w:bottom w:val="single" w:sz="4" w:space="0" w:color="auto"/>
              <w:right w:val="single" w:sz="4" w:space="0" w:color="auto"/>
            </w:tcBorders>
            <w:vAlign w:val="center"/>
          </w:tcPr>
          <w:p w14:paraId="11FBEA5D" w14:textId="760ACAA7" w:rsidR="00000789" w:rsidRPr="00FE127E" w:rsidRDefault="00000789" w:rsidP="00000789">
            <w:pPr>
              <w:autoSpaceDE w:val="0"/>
              <w:autoSpaceDN w:val="0"/>
              <w:adjustRightInd w:val="0"/>
              <w:jc w:val="center"/>
              <w:rPr>
                <w:b/>
                <w:bCs/>
                <w:sz w:val="22"/>
                <w:szCs w:val="22"/>
              </w:rPr>
            </w:pPr>
            <w:r w:rsidRPr="00FE127E">
              <w:rPr>
                <w:b/>
                <w:bCs/>
                <w:sz w:val="22"/>
                <w:szCs w:val="22"/>
              </w:rPr>
              <w:t>+ 0.5 €</w:t>
            </w:r>
          </w:p>
        </w:tc>
        <w:tc>
          <w:tcPr>
            <w:tcW w:w="2127" w:type="dxa"/>
            <w:tcBorders>
              <w:top w:val="single" w:sz="4" w:space="0" w:color="auto"/>
              <w:left w:val="single" w:sz="4" w:space="0" w:color="auto"/>
              <w:bottom w:val="single" w:sz="4" w:space="0" w:color="auto"/>
              <w:right w:val="single" w:sz="4" w:space="0" w:color="auto"/>
            </w:tcBorders>
            <w:shd w:val="clear" w:color="auto" w:fill="FFFF00"/>
            <w:vAlign w:val="center"/>
          </w:tcPr>
          <w:p w14:paraId="085AA7F6" w14:textId="77777777" w:rsidR="00000789" w:rsidRPr="00FE127E" w:rsidRDefault="00000789" w:rsidP="00000789">
            <w:pPr>
              <w:autoSpaceDE w:val="0"/>
              <w:autoSpaceDN w:val="0"/>
              <w:adjustRightInd w:val="0"/>
              <w:jc w:val="center"/>
              <w:rPr>
                <w:b/>
                <w:bCs/>
                <w:sz w:val="22"/>
                <w:szCs w:val="22"/>
              </w:rPr>
            </w:pPr>
            <w:r w:rsidRPr="00FE127E">
              <w:rPr>
                <w:b/>
                <w:bCs/>
                <w:sz w:val="22"/>
                <w:szCs w:val="22"/>
              </w:rPr>
              <w:t>Prix de base</w:t>
            </w:r>
          </w:p>
        </w:tc>
        <w:tc>
          <w:tcPr>
            <w:tcW w:w="1502" w:type="dxa"/>
            <w:tcBorders>
              <w:top w:val="single" w:sz="4" w:space="0" w:color="auto"/>
              <w:left w:val="single" w:sz="4" w:space="0" w:color="auto"/>
              <w:bottom w:val="single" w:sz="4" w:space="0" w:color="auto"/>
              <w:right w:val="single" w:sz="4" w:space="0" w:color="auto"/>
            </w:tcBorders>
            <w:vAlign w:val="center"/>
          </w:tcPr>
          <w:p w14:paraId="18EA485C" w14:textId="6451D7C2" w:rsidR="00000789" w:rsidRPr="00FE127E" w:rsidRDefault="00000789" w:rsidP="00000789">
            <w:pPr>
              <w:autoSpaceDE w:val="0"/>
              <w:autoSpaceDN w:val="0"/>
              <w:adjustRightInd w:val="0"/>
              <w:jc w:val="center"/>
              <w:rPr>
                <w:b/>
                <w:bCs/>
                <w:sz w:val="22"/>
                <w:szCs w:val="22"/>
              </w:rPr>
            </w:pPr>
            <w:r w:rsidRPr="00FE127E">
              <w:rPr>
                <w:b/>
                <w:bCs/>
                <w:sz w:val="22"/>
                <w:szCs w:val="22"/>
              </w:rPr>
              <w:t>- 0.5 €</w:t>
            </w:r>
          </w:p>
        </w:tc>
      </w:tr>
      <w:tr w:rsidR="00000789" w:rsidRPr="00A06CE8" w14:paraId="6D55DE28" w14:textId="77777777" w:rsidTr="007F59FD">
        <w:tc>
          <w:tcPr>
            <w:tcW w:w="1360" w:type="dxa"/>
            <w:vMerge/>
            <w:tcBorders>
              <w:left w:val="double" w:sz="4" w:space="0" w:color="auto"/>
              <w:right w:val="single" w:sz="4" w:space="0" w:color="auto"/>
            </w:tcBorders>
          </w:tcPr>
          <w:p w14:paraId="6B5178AE" w14:textId="77777777" w:rsidR="00000789" w:rsidRPr="00A06CE8" w:rsidRDefault="00000789" w:rsidP="00DF2A69">
            <w:pPr>
              <w:autoSpaceDE w:val="0"/>
              <w:autoSpaceDN w:val="0"/>
              <w:adjustRightInd w:val="0"/>
              <w:rPr>
                <w:sz w:val="22"/>
                <w:szCs w:val="22"/>
              </w:rPr>
            </w:pPr>
          </w:p>
        </w:tc>
        <w:tc>
          <w:tcPr>
            <w:tcW w:w="1744" w:type="dxa"/>
            <w:vMerge w:val="restart"/>
            <w:tcBorders>
              <w:top w:val="single" w:sz="4" w:space="0" w:color="auto"/>
              <w:left w:val="single" w:sz="4" w:space="0" w:color="auto"/>
              <w:right w:val="single" w:sz="4" w:space="0" w:color="auto"/>
            </w:tcBorders>
            <w:shd w:val="clear" w:color="auto" w:fill="A8D08D" w:themeFill="accent6" w:themeFillTint="99"/>
            <w:vAlign w:val="center"/>
          </w:tcPr>
          <w:p w14:paraId="2F8F90AA" w14:textId="77777777" w:rsidR="00000789" w:rsidRPr="00000789" w:rsidRDefault="00000789" w:rsidP="00FE127E">
            <w:pPr>
              <w:autoSpaceDE w:val="0"/>
              <w:autoSpaceDN w:val="0"/>
              <w:adjustRightInd w:val="0"/>
              <w:jc w:val="center"/>
              <w:rPr>
                <w:b/>
                <w:bCs/>
                <w:sz w:val="22"/>
                <w:szCs w:val="22"/>
              </w:rPr>
            </w:pPr>
            <w:r w:rsidRPr="00000789">
              <w:rPr>
                <w:b/>
                <w:bCs/>
                <w:sz w:val="22"/>
                <w:szCs w:val="22"/>
              </w:rPr>
              <w:t>VUM</w:t>
            </w:r>
          </w:p>
        </w:tc>
        <w:tc>
          <w:tcPr>
            <w:tcW w:w="19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1979DF" w14:textId="6533AD3B" w:rsidR="00000789" w:rsidRPr="00FE127E" w:rsidRDefault="007F59FD" w:rsidP="00000789">
            <w:pPr>
              <w:autoSpaceDE w:val="0"/>
              <w:autoSpaceDN w:val="0"/>
              <w:adjustRightInd w:val="0"/>
              <w:jc w:val="center"/>
              <w:rPr>
                <w:sz w:val="22"/>
                <w:szCs w:val="22"/>
              </w:rPr>
            </w:pPr>
            <w:r>
              <w:rPr>
                <w:sz w:val="22"/>
                <w:szCs w:val="22"/>
              </w:rPr>
              <w:t>De</w:t>
            </w:r>
            <w:r w:rsidR="00000789" w:rsidRPr="00FE127E">
              <w:rPr>
                <w:sz w:val="22"/>
                <w:szCs w:val="22"/>
              </w:rPr>
              <w:t xml:space="preserve"> 0</w:t>
            </w:r>
            <w:r>
              <w:rPr>
                <w:sz w:val="22"/>
                <w:szCs w:val="22"/>
              </w:rPr>
              <w:t>.</w:t>
            </w:r>
            <w:r w:rsidR="00000789" w:rsidRPr="00FE127E">
              <w:rPr>
                <w:sz w:val="22"/>
                <w:szCs w:val="22"/>
              </w:rPr>
              <w:t xml:space="preserve">3 </w:t>
            </w:r>
            <w:r>
              <w:rPr>
                <w:sz w:val="22"/>
                <w:szCs w:val="22"/>
              </w:rPr>
              <w:t>à 0.5 m3</w:t>
            </w:r>
          </w:p>
        </w:tc>
        <w:tc>
          <w:tcPr>
            <w:tcW w:w="212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5656011" w14:textId="56EBAEC0" w:rsidR="00000789" w:rsidRPr="00FE127E" w:rsidRDefault="007F59FD" w:rsidP="00000789">
            <w:pPr>
              <w:autoSpaceDE w:val="0"/>
              <w:autoSpaceDN w:val="0"/>
              <w:adjustRightInd w:val="0"/>
              <w:jc w:val="center"/>
              <w:rPr>
                <w:sz w:val="22"/>
                <w:szCs w:val="22"/>
              </w:rPr>
            </w:pPr>
            <w:r>
              <w:rPr>
                <w:sz w:val="22"/>
                <w:szCs w:val="22"/>
              </w:rPr>
              <w:t xml:space="preserve">Compris entre </w:t>
            </w:r>
            <w:r w:rsidR="00000789" w:rsidRPr="00FE127E">
              <w:rPr>
                <w:sz w:val="22"/>
                <w:szCs w:val="22"/>
              </w:rPr>
              <w:t>0.</w:t>
            </w:r>
            <w:r>
              <w:rPr>
                <w:sz w:val="22"/>
                <w:szCs w:val="22"/>
              </w:rPr>
              <w:t>5</w:t>
            </w:r>
            <w:r w:rsidR="00000789" w:rsidRPr="00FE127E">
              <w:rPr>
                <w:sz w:val="22"/>
                <w:szCs w:val="22"/>
              </w:rPr>
              <w:t xml:space="preserve"> </w:t>
            </w:r>
            <w:r>
              <w:rPr>
                <w:sz w:val="22"/>
                <w:szCs w:val="22"/>
              </w:rPr>
              <w:t xml:space="preserve">et </w:t>
            </w:r>
            <w:r w:rsidR="00000789" w:rsidRPr="00FE127E">
              <w:rPr>
                <w:sz w:val="22"/>
                <w:szCs w:val="22"/>
              </w:rPr>
              <w:t>0.7 m3</w:t>
            </w:r>
          </w:p>
        </w:tc>
        <w:tc>
          <w:tcPr>
            <w:tcW w:w="150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232FFD" w14:textId="762FA892" w:rsidR="00000789" w:rsidRPr="00FE127E" w:rsidRDefault="007F59FD" w:rsidP="00000789">
            <w:pPr>
              <w:autoSpaceDE w:val="0"/>
              <w:autoSpaceDN w:val="0"/>
              <w:adjustRightInd w:val="0"/>
              <w:jc w:val="center"/>
              <w:rPr>
                <w:sz w:val="22"/>
                <w:szCs w:val="22"/>
              </w:rPr>
            </w:pPr>
            <w:r>
              <w:rPr>
                <w:sz w:val="22"/>
                <w:szCs w:val="22"/>
              </w:rPr>
              <w:t xml:space="preserve">De </w:t>
            </w:r>
            <w:r w:rsidR="00000789" w:rsidRPr="00FE127E">
              <w:rPr>
                <w:sz w:val="22"/>
                <w:szCs w:val="22"/>
              </w:rPr>
              <w:t>0.</w:t>
            </w:r>
            <w:r>
              <w:rPr>
                <w:sz w:val="22"/>
                <w:szCs w:val="22"/>
              </w:rPr>
              <w:t>8</w:t>
            </w:r>
            <w:r w:rsidR="00000789" w:rsidRPr="00FE127E">
              <w:rPr>
                <w:sz w:val="22"/>
                <w:szCs w:val="22"/>
              </w:rPr>
              <w:t xml:space="preserve"> </w:t>
            </w:r>
            <w:r>
              <w:rPr>
                <w:sz w:val="22"/>
                <w:szCs w:val="22"/>
              </w:rPr>
              <w:t>à 1 m3</w:t>
            </w:r>
          </w:p>
        </w:tc>
      </w:tr>
      <w:tr w:rsidR="00000789" w:rsidRPr="00A06CE8" w14:paraId="2B2216FB" w14:textId="77777777" w:rsidTr="007F59FD">
        <w:tc>
          <w:tcPr>
            <w:tcW w:w="1360" w:type="dxa"/>
            <w:vMerge/>
            <w:tcBorders>
              <w:left w:val="double" w:sz="4" w:space="0" w:color="auto"/>
              <w:right w:val="single" w:sz="4" w:space="0" w:color="auto"/>
            </w:tcBorders>
          </w:tcPr>
          <w:p w14:paraId="12389E11" w14:textId="77777777" w:rsidR="00000789" w:rsidRPr="00A06CE8" w:rsidRDefault="00000789" w:rsidP="00DF2A69">
            <w:pPr>
              <w:autoSpaceDE w:val="0"/>
              <w:autoSpaceDN w:val="0"/>
              <w:adjustRightInd w:val="0"/>
              <w:rPr>
                <w:sz w:val="22"/>
                <w:szCs w:val="22"/>
              </w:rPr>
            </w:pPr>
          </w:p>
        </w:tc>
        <w:tc>
          <w:tcPr>
            <w:tcW w:w="1744" w:type="dxa"/>
            <w:vMerge/>
            <w:tcBorders>
              <w:left w:val="single" w:sz="4" w:space="0" w:color="auto"/>
              <w:right w:val="single" w:sz="4" w:space="0" w:color="auto"/>
            </w:tcBorders>
            <w:shd w:val="clear" w:color="auto" w:fill="A8D08D" w:themeFill="accent6" w:themeFillTint="99"/>
          </w:tcPr>
          <w:p w14:paraId="2114BDA1" w14:textId="77777777" w:rsidR="00000789" w:rsidRPr="00A06CE8" w:rsidRDefault="00000789" w:rsidP="00DF2A69">
            <w:pPr>
              <w:autoSpaceDE w:val="0"/>
              <w:autoSpaceDN w:val="0"/>
              <w:adjustRightInd w:val="0"/>
              <w:rPr>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3FF44502" w14:textId="64DA220E" w:rsidR="00000789" w:rsidRPr="00FE127E" w:rsidRDefault="00000789" w:rsidP="00000789">
            <w:pPr>
              <w:autoSpaceDE w:val="0"/>
              <w:autoSpaceDN w:val="0"/>
              <w:adjustRightInd w:val="0"/>
              <w:jc w:val="center"/>
              <w:rPr>
                <w:b/>
                <w:bCs/>
                <w:sz w:val="22"/>
                <w:szCs w:val="22"/>
              </w:rPr>
            </w:pPr>
            <w:r w:rsidRPr="00FE127E">
              <w:rPr>
                <w:b/>
                <w:bCs/>
                <w:sz w:val="22"/>
                <w:szCs w:val="22"/>
              </w:rPr>
              <w:t>+ 1 €</w:t>
            </w:r>
          </w:p>
        </w:tc>
        <w:tc>
          <w:tcPr>
            <w:tcW w:w="2127" w:type="dxa"/>
            <w:tcBorders>
              <w:top w:val="single" w:sz="4" w:space="0" w:color="auto"/>
              <w:left w:val="single" w:sz="4" w:space="0" w:color="auto"/>
              <w:bottom w:val="single" w:sz="4" w:space="0" w:color="auto"/>
              <w:right w:val="single" w:sz="4" w:space="0" w:color="auto"/>
            </w:tcBorders>
            <w:shd w:val="clear" w:color="auto" w:fill="FFFF00"/>
            <w:vAlign w:val="center"/>
          </w:tcPr>
          <w:p w14:paraId="190830C0" w14:textId="68EA948D" w:rsidR="00000789" w:rsidRPr="00FE127E" w:rsidRDefault="00000789" w:rsidP="00000789">
            <w:pPr>
              <w:autoSpaceDE w:val="0"/>
              <w:autoSpaceDN w:val="0"/>
              <w:adjustRightInd w:val="0"/>
              <w:jc w:val="center"/>
              <w:rPr>
                <w:b/>
                <w:bCs/>
                <w:sz w:val="22"/>
                <w:szCs w:val="22"/>
              </w:rPr>
            </w:pPr>
            <w:r w:rsidRPr="00FE127E">
              <w:rPr>
                <w:b/>
                <w:bCs/>
                <w:sz w:val="22"/>
                <w:szCs w:val="22"/>
              </w:rPr>
              <w:t>Prix de base</w:t>
            </w:r>
          </w:p>
        </w:tc>
        <w:tc>
          <w:tcPr>
            <w:tcW w:w="1502" w:type="dxa"/>
            <w:tcBorders>
              <w:top w:val="single" w:sz="4" w:space="0" w:color="auto"/>
              <w:left w:val="single" w:sz="4" w:space="0" w:color="auto"/>
              <w:bottom w:val="single" w:sz="4" w:space="0" w:color="auto"/>
              <w:right w:val="single" w:sz="4" w:space="0" w:color="auto"/>
            </w:tcBorders>
            <w:vAlign w:val="center"/>
          </w:tcPr>
          <w:p w14:paraId="6A42F31D" w14:textId="49E2CC02" w:rsidR="00000789" w:rsidRPr="00FE127E" w:rsidRDefault="00000789" w:rsidP="00000789">
            <w:pPr>
              <w:autoSpaceDE w:val="0"/>
              <w:autoSpaceDN w:val="0"/>
              <w:adjustRightInd w:val="0"/>
              <w:jc w:val="center"/>
              <w:rPr>
                <w:b/>
                <w:bCs/>
                <w:sz w:val="22"/>
                <w:szCs w:val="22"/>
              </w:rPr>
            </w:pPr>
            <w:r w:rsidRPr="00FE127E">
              <w:rPr>
                <w:b/>
                <w:bCs/>
                <w:sz w:val="22"/>
                <w:szCs w:val="22"/>
              </w:rPr>
              <w:t>- 1 €</w:t>
            </w:r>
          </w:p>
        </w:tc>
      </w:tr>
    </w:tbl>
    <w:p w14:paraId="3D08F26D" w14:textId="77777777" w:rsidR="00F452F1" w:rsidRPr="00A06CE8" w:rsidRDefault="00F452F1" w:rsidP="00F452F1">
      <w:pPr>
        <w:autoSpaceDE w:val="0"/>
        <w:autoSpaceDN w:val="0"/>
        <w:adjustRightInd w:val="0"/>
        <w:jc w:val="both"/>
        <w:rPr>
          <w:b/>
          <w:bCs/>
          <w:sz w:val="22"/>
          <w:szCs w:val="22"/>
        </w:rPr>
      </w:pPr>
    </w:p>
    <w:tbl>
      <w:tblPr>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672"/>
        <w:gridCol w:w="1985"/>
        <w:gridCol w:w="2268"/>
        <w:gridCol w:w="1445"/>
      </w:tblGrid>
      <w:tr w:rsidR="00000789" w:rsidRPr="00FA5E4D" w14:paraId="2EBBB50A" w14:textId="77777777" w:rsidTr="007F59FD">
        <w:trPr>
          <w:trHeight w:val="70"/>
        </w:trPr>
        <w:tc>
          <w:tcPr>
            <w:tcW w:w="1290" w:type="dxa"/>
            <w:vMerge w:val="restart"/>
            <w:tcBorders>
              <w:top w:val="double" w:sz="4" w:space="0" w:color="auto"/>
              <w:left w:val="double" w:sz="4" w:space="0" w:color="auto"/>
              <w:right w:val="single" w:sz="4" w:space="0" w:color="auto"/>
            </w:tcBorders>
            <w:vAlign w:val="center"/>
          </w:tcPr>
          <w:p w14:paraId="1B4910AC" w14:textId="77777777" w:rsidR="00000789" w:rsidRPr="00FA5E4D" w:rsidRDefault="00000789" w:rsidP="00000789">
            <w:pPr>
              <w:autoSpaceDE w:val="0"/>
              <w:autoSpaceDN w:val="0"/>
              <w:adjustRightInd w:val="0"/>
              <w:jc w:val="center"/>
              <w:rPr>
                <w:b/>
                <w:bCs/>
                <w:sz w:val="22"/>
                <w:szCs w:val="22"/>
              </w:rPr>
            </w:pPr>
            <w:r w:rsidRPr="00FA5E4D">
              <w:rPr>
                <w:b/>
                <w:bCs/>
                <w:sz w:val="22"/>
                <w:szCs w:val="22"/>
              </w:rPr>
              <w:lastRenderedPageBreak/>
              <w:t>Débardage</w:t>
            </w:r>
          </w:p>
        </w:tc>
        <w:tc>
          <w:tcPr>
            <w:tcW w:w="1672" w:type="dxa"/>
            <w:tcBorders>
              <w:top w:val="double" w:sz="4" w:space="0" w:color="auto"/>
              <w:left w:val="single" w:sz="4" w:space="0" w:color="auto"/>
              <w:bottom w:val="single" w:sz="4" w:space="0" w:color="auto"/>
              <w:right w:val="single" w:sz="4" w:space="0" w:color="auto"/>
            </w:tcBorders>
          </w:tcPr>
          <w:p w14:paraId="5D115E7D" w14:textId="77777777" w:rsidR="00000789" w:rsidRPr="00FA5E4D" w:rsidRDefault="00000789" w:rsidP="00CC5D3C">
            <w:pPr>
              <w:autoSpaceDE w:val="0"/>
              <w:autoSpaceDN w:val="0"/>
              <w:adjustRightInd w:val="0"/>
              <w:jc w:val="both"/>
              <w:rPr>
                <w:b/>
                <w:bCs/>
                <w:sz w:val="22"/>
                <w:szCs w:val="22"/>
              </w:rPr>
            </w:pPr>
            <w:r w:rsidRPr="00FA5E4D">
              <w:rPr>
                <w:b/>
                <w:bCs/>
                <w:sz w:val="22"/>
                <w:szCs w:val="22"/>
              </w:rPr>
              <w:t>Critères</w:t>
            </w:r>
          </w:p>
        </w:tc>
        <w:tc>
          <w:tcPr>
            <w:tcW w:w="5698" w:type="dxa"/>
            <w:gridSpan w:val="3"/>
            <w:tcBorders>
              <w:top w:val="double" w:sz="4" w:space="0" w:color="auto"/>
              <w:left w:val="single" w:sz="4" w:space="0" w:color="auto"/>
              <w:bottom w:val="single" w:sz="4" w:space="0" w:color="auto"/>
              <w:right w:val="single" w:sz="4" w:space="0" w:color="auto"/>
            </w:tcBorders>
          </w:tcPr>
          <w:p w14:paraId="7E62D09A" w14:textId="77777777" w:rsidR="00000789" w:rsidRPr="00FA5E4D" w:rsidRDefault="00000789" w:rsidP="00CC5D3C">
            <w:pPr>
              <w:autoSpaceDE w:val="0"/>
              <w:autoSpaceDN w:val="0"/>
              <w:adjustRightInd w:val="0"/>
              <w:jc w:val="center"/>
              <w:rPr>
                <w:b/>
                <w:bCs/>
                <w:sz w:val="22"/>
                <w:szCs w:val="22"/>
              </w:rPr>
            </w:pPr>
            <w:r w:rsidRPr="00FA5E4D">
              <w:rPr>
                <w:b/>
                <w:bCs/>
                <w:sz w:val="22"/>
                <w:szCs w:val="22"/>
              </w:rPr>
              <w:t>Effet sur le PB</w:t>
            </w:r>
          </w:p>
        </w:tc>
      </w:tr>
      <w:tr w:rsidR="00000789" w:rsidRPr="00FA5E4D" w14:paraId="2F2D836B" w14:textId="77777777" w:rsidTr="007F59FD">
        <w:trPr>
          <w:trHeight w:val="70"/>
        </w:trPr>
        <w:tc>
          <w:tcPr>
            <w:tcW w:w="1290" w:type="dxa"/>
            <w:vMerge/>
            <w:tcBorders>
              <w:left w:val="double" w:sz="4" w:space="0" w:color="auto"/>
              <w:right w:val="single" w:sz="4" w:space="0" w:color="auto"/>
            </w:tcBorders>
          </w:tcPr>
          <w:p w14:paraId="721D0D82" w14:textId="77777777" w:rsidR="00000789" w:rsidRPr="00FA5E4D" w:rsidRDefault="00000789" w:rsidP="007C0BEF">
            <w:pPr>
              <w:autoSpaceDE w:val="0"/>
              <w:autoSpaceDN w:val="0"/>
              <w:adjustRightInd w:val="0"/>
              <w:rPr>
                <w:b/>
                <w:bCs/>
                <w:sz w:val="22"/>
                <w:szCs w:val="22"/>
              </w:rPr>
            </w:pPr>
          </w:p>
        </w:tc>
        <w:tc>
          <w:tcPr>
            <w:tcW w:w="1672" w:type="dxa"/>
            <w:tcBorders>
              <w:top w:val="double" w:sz="4" w:space="0" w:color="auto"/>
              <w:left w:val="single" w:sz="4" w:space="0" w:color="auto"/>
              <w:bottom w:val="single" w:sz="4" w:space="0" w:color="auto"/>
              <w:right w:val="single" w:sz="4" w:space="0" w:color="auto"/>
            </w:tcBorders>
            <w:shd w:val="clear" w:color="auto" w:fill="A8D08D" w:themeFill="accent6" w:themeFillTint="99"/>
          </w:tcPr>
          <w:p w14:paraId="5F9C1C00" w14:textId="77777777" w:rsidR="00000789" w:rsidRPr="00000789" w:rsidRDefault="00000789" w:rsidP="007C0BEF">
            <w:pPr>
              <w:autoSpaceDE w:val="0"/>
              <w:autoSpaceDN w:val="0"/>
              <w:adjustRightInd w:val="0"/>
              <w:rPr>
                <w:b/>
                <w:bCs/>
                <w:sz w:val="22"/>
                <w:szCs w:val="22"/>
              </w:rPr>
            </w:pPr>
            <w:r w:rsidRPr="00000789">
              <w:rPr>
                <w:b/>
                <w:bCs/>
                <w:sz w:val="22"/>
                <w:szCs w:val="22"/>
              </w:rPr>
              <w:t>Taille du chantier</w:t>
            </w:r>
          </w:p>
        </w:tc>
        <w:tc>
          <w:tcPr>
            <w:tcW w:w="4253" w:type="dxa"/>
            <w:gridSpan w:val="2"/>
            <w:tcBorders>
              <w:top w:val="double" w:sz="4" w:space="0" w:color="auto"/>
              <w:left w:val="single" w:sz="4" w:space="0" w:color="auto"/>
              <w:bottom w:val="single" w:sz="4" w:space="0" w:color="auto"/>
              <w:right w:val="single" w:sz="4" w:space="0" w:color="auto"/>
            </w:tcBorders>
            <w:shd w:val="clear" w:color="auto" w:fill="E2EFD9" w:themeFill="accent6" w:themeFillTint="33"/>
            <w:vAlign w:val="center"/>
          </w:tcPr>
          <w:p w14:paraId="02EB1BDF" w14:textId="61741F5F" w:rsidR="00000789" w:rsidRPr="00FA5E4D" w:rsidRDefault="00000789" w:rsidP="00000789">
            <w:pPr>
              <w:autoSpaceDE w:val="0"/>
              <w:autoSpaceDN w:val="0"/>
              <w:adjustRightInd w:val="0"/>
              <w:jc w:val="center"/>
              <w:rPr>
                <w:sz w:val="22"/>
                <w:szCs w:val="22"/>
              </w:rPr>
            </w:pPr>
            <w:r w:rsidRPr="00FE127E">
              <w:rPr>
                <w:color w:val="000000" w:themeColor="text1"/>
                <w:sz w:val="22"/>
                <w:szCs w:val="22"/>
              </w:rPr>
              <w:t xml:space="preserve">Si moins de </w:t>
            </w:r>
            <w:r w:rsidR="00BB0F38">
              <w:rPr>
                <w:color w:val="000000" w:themeColor="text1"/>
                <w:sz w:val="22"/>
                <w:szCs w:val="22"/>
              </w:rPr>
              <w:t>3</w:t>
            </w:r>
            <w:r w:rsidRPr="00FE127E">
              <w:rPr>
                <w:color w:val="000000" w:themeColor="text1"/>
                <w:sz w:val="22"/>
                <w:szCs w:val="22"/>
              </w:rPr>
              <w:t>00 m3a</w:t>
            </w:r>
          </w:p>
        </w:tc>
        <w:tc>
          <w:tcPr>
            <w:tcW w:w="1445" w:type="dxa"/>
            <w:tcBorders>
              <w:top w:val="double" w:sz="4" w:space="0" w:color="auto"/>
              <w:left w:val="single" w:sz="4" w:space="0" w:color="auto"/>
              <w:bottom w:val="single" w:sz="4" w:space="0" w:color="auto"/>
              <w:right w:val="single" w:sz="4" w:space="0" w:color="auto"/>
            </w:tcBorders>
          </w:tcPr>
          <w:p w14:paraId="1098F4C2" w14:textId="077CDA74" w:rsidR="00000789" w:rsidRPr="00000789" w:rsidRDefault="00000789" w:rsidP="007C0BEF">
            <w:pPr>
              <w:autoSpaceDE w:val="0"/>
              <w:autoSpaceDN w:val="0"/>
              <w:adjustRightInd w:val="0"/>
              <w:rPr>
                <w:b/>
                <w:bCs/>
                <w:sz w:val="22"/>
                <w:szCs w:val="22"/>
              </w:rPr>
            </w:pPr>
            <w:r w:rsidRPr="00000789">
              <w:rPr>
                <w:b/>
                <w:bCs/>
                <w:sz w:val="22"/>
                <w:szCs w:val="22"/>
              </w:rPr>
              <w:t>+ 1 €</w:t>
            </w:r>
          </w:p>
        </w:tc>
      </w:tr>
      <w:tr w:rsidR="00000789" w:rsidRPr="00FA5E4D" w14:paraId="553361F2" w14:textId="77777777" w:rsidTr="007F59FD">
        <w:tc>
          <w:tcPr>
            <w:tcW w:w="1290" w:type="dxa"/>
            <w:vMerge/>
            <w:tcBorders>
              <w:left w:val="double" w:sz="4" w:space="0" w:color="auto"/>
              <w:right w:val="single" w:sz="4" w:space="0" w:color="auto"/>
            </w:tcBorders>
          </w:tcPr>
          <w:p w14:paraId="00176303" w14:textId="77777777" w:rsidR="00000789" w:rsidRPr="00FA5E4D" w:rsidRDefault="00000789" w:rsidP="007C0BEF">
            <w:pPr>
              <w:autoSpaceDE w:val="0"/>
              <w:autoSpaceDN w:val="0"/>
              <w:adjustRightInd w:val="0"/>
              <w:rPr>
                <w:sz w:val="22"/>
                <w:szCs w:val="22"/>
              </w:rPr>
            </w:pPr>
          </w:p>
        </w:tc>
        <w:tc>
          <w:tcPr>
            <w:tcW w:w="1672"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C3E13FA" w14:textId="7F07383A" w:rsidR="00000789" w:rsidRPr="00000789" w:rsidRDefault="007F59FD" w:rsidP="007C0BEF">
            <w:pPr>
              <w:autoSpaceDE w:val="0"/>
              <w:autoSpaceDN w:val="0"/>
              <w:adjustRightInd w:val="0"/>
              <w:rPr>
                <w:b/>
                <w:bCs/>
                <w:sz w:val="22"/>
                <w:szCs w:val="22"/>
              </w:rPr>
            </w:pPr>
            <w:r>
              <w:rPr>
                <w:b/>
                <w:bCs/>
                <w:sz w:val="22"/>
                <w:szCs w:val="22"/>
              </w:rPr>
              <w:t>60% &gt;</w:t>
            </w:r>
            <w:r w:rsidR="00000789" w:rsidRPr="00000789">
              <w:rPr>
                <w:b/>
                <w:bCs/>
                <w:sz w:val="22"/>
                <w:szCs w:val="22"/>
              </w:rPr>
              <w:t xml:space="preserve">Pente </w:t>
            </w:r>
            <w:proofErr w:type="gramStart"/>
            <w:r>
              <w:rPr>
                <w:b/>
                <w:bCs/>
                <w:sz w:val="20"/>
                <w:szCs w:val="20"/>
              </w:rPr>
              <w:t>&gt;</w:t>
            </w:r>
            <w:r>
              <w:rPr>
                <w:b/>
                <w:bCs/>
                <w:sz w:val="22"/>
                <w:szCs w:val="22"/>
              </w:rPr>
              <w:t xml:space="preserve">  </w:t>
            </w:r>
            <w:r w:rsidR="00000789" w:rsidRPr="00000789">
              <w:rPr>
                <w:b/>
                <w:bCs/>
                <w:sz w:val="22"/>
                <w:szCs w:val="22"/>
              </w:rPr>
              <w:t>40</w:t>
            </w:r>
            <w:proofErr w:type="gramEnd"/>
            <w:r w:rsidR="00000789" w:rsidRPr="00000789">
              <w:rPr>
                <w:b/>
                <w:bCs/>
                <w:sz w:val="22"/>
                <w:szCs w:val="22"/>
              </w:rPr>
              <w:t xml:space="preserve"> %</w:t>
            </w:r>
          </w:p>
        </w:tc>
        <w:tc>
          <w:tcPr>
            <w:tcW w:w="4253" w:type="dxa"/>
            <w:gridSpan w:val="2"/>
            <w:tcBorders>
              <w:top w:val="single" w:sz="4" w:space="0" w:color="auto"/>
              <w:left w:val="single" w:sz="4" w:space="0" w:color="auto"/>
              <w:bottom w:val="single" w:sz="4" w:space="0" w:color="auto"/>
              <w:right w:val="single" w:sz="4" w:space="0" w:color="auto"/>
            </w:tcBorders>
          </w:tcPr>
          <w:p w14:paraId="149125E8" w14:textId="77777777" w:rsidR="00000789" w:rsidRPr="00FA5E4D" w:rsidRDefault="00000789" w:rsidP="007C0BEF">
            <w:pPr>
              <w:autoSpaceDE w:val="0"/>
              <w:autoSpaceDN w:val="0"/>
              <w:adjustRightInd w:val="0"/>
              <w:rPr>
                <w:sz w:val="22"/>
                <w:szCs w:val="22"/>
              </w:rPr>
            </w:pPr>
          </w:p>
        </w:tc>
        <w:tc>
          <w:tcPr>
            <w:tcW w:w="1445" w:type="dxa"/>
            <w:tcBorders>
              <w:top w:val="single" w:sz="4" w:space="0" w:color="auto"/>
              <w:left w:val="single" w:sz="4" w:space="0" w:color="auto"/>
              <w:bottom w:val="single" w:sz="4" w:space="0" w:color="auto"/>
              <w:right w:val="single" w:sz="4" w:space="0" w:color="auto"/>
            </w:tcBorders>
          </w:tcPr>
          <w:p w14:paraId="1F67EC5B" w14:textId="1F771217" w:rsidR="00000789" w:rsidRPr="00000789" w:rsidRDefault="00000789" w:rsidP="007C0BEF">
            <w:pPr>
              <w:autoSpaceDE w:val="0"/>
              <w:autoSpaceDN w:val="0"/>
              <w:adjustRightInd w:val="0"/>
              <w:rPr>
                <w:b/>
                <w:bCs/>
                <w:sz w:val="22"/>
                <w:szCs w:val="22"/>
              </w:rPr>
            </w:pPr>
            <w:r w:rsidRPr="00000789">
              <w:rPr>
                <w:b/>
                <w:bCs/>
                <w:sz w:val="22"/>
                <w:szCs w:val="22"/>
              </w:rPr>
              <w:t>+ 1 €</w:t>
            </w:r>
          </w:p>
        </w:tc>
      </w:tr>
      <w:tr w:rsidR="00000789" w:rsidRPr="00FA5E4D" w14:paraId="2E6C2553" w14:textId="77777777" w:rsidTr="007F59FD">
        <w:tc>
          <w:tcPr>
            <w:tcW w:w="1290" w:type="dxa"/>
            <w:vMerge/>
            <w:tcBorders>
              <w:left w:val="double" w:sz="4" w:space="0" w:color="auto"/>
              <w:right w:val="single" w:sz="4" w:space="0" w:color="auto"/>
            </w:tcBorders>
          </w:tcPr>
          <w:p w14:paraId="2F416133" w14:textId="77777777" w:rsidR="00000789" w:rsidRPr="00FA5E4D" w:rsidRDefault="00000789" w:rsidP="007C0BEF">
            <w:pPr>
              <w:autoSpaceDE w:val="0"/>
              <w:autoSpaceDN w:val="0"/>
              <w:adjustRightInd w:val="0"/>
              <w:rPr>
                <w:sz w:val="22"/>
                <w:szCs w:val="22"/>
              </w:rPr>
            </w:pPr>
          </w:p>
        </w:tc>
        <w:tc>
          <w:tcPr>
            <w:tcW w:w="1672" w:type="dxa"/>
            <w:vMerge w:val="restart"/>
            <w:tcBorders>
              <w:top w:val="single" w:sz="4" w:space="0" w:color="auto"/>
              <w:left w:val="single" w:sz="4" w:space="0" w:color="auto"/>
              <w:right w:val="single" w:sz="4" w:space="0" w:color="auto"/>
            </w:tcBorders>
            <w:shd w:val="clear" w:color="auto" w:fill="A8D08D" w:themeFill="accent6" w:themeFillTint="99"/>
          </w:tcPr>
          <w:p w14:paraId="7A3AA4A9" w14:textId="77777777" w:rsidR="00000789" w:rsidRPr="00000789" w:rsidRDefault="00000789" w:rsidP="007C0BEF">
            <w:pPr>
              <w:autoSpaceDE w:val="0"/>
              <w:autoSpaceDN w:val="0"/>
              <w:adjustRightInd w:val="0"/>
              <w:rPr>
                <w:b/>
                <w:bCs/>
                <w:sz w:val="22"/>
                <w:szCs w:val="22"/>
              </w:rPr>
            </w:pPr>
            <w:r w:rsidRPr="00000789">
              <w:rPr>
                <w:b/>
                <w:bCs/>
                <w:sz w:val="22"/>
                <w:szCs w:val="22"/>
              </w:rPr>
              <w:t>Distance de débardage</w:t>
            </w:r>
          </w:p>
          <w:p w14:paraId="36CBDE02" w14:textId="77777777" w:rsidR="00000789" w:rsidRPr="00000789" w:rsidRDefault="00000789" w:rsidP="007C0BEF">
            <w:pPr>
              <w:autoSpaceDE w:val="0"/>
              <w:autoSpaceDN w:val="0"/>
              <w:adjustRightInd w:val="0"/>
              <w:rPr>
                <w:b/>
                <w:bCs/>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ADE46DF" w14:textId="74E8B4B8" w:rsidR="00000789" w:rsidRPr="00FA5E4D" w:rsidRDefault="007F59FD" w:rsidP="00000789">
            <w:pPr>
              <w:autoSpaceDE w:val="0"/>
              <w:autoSpaceDN w:val="0"/>
              <w:adjustRightInd w:val="0"/>
              <w:jc w:val="center"/>
              <w:rPr>
                <w:sz w:val="22"/>
                <w:szCs w:val="22"/>
              </w:rPr>
            </w:pPr>
            <w:r>
              <w:rPr>
                <w:sz w:val="22"/>
                <w:szCs w:val="22"/>
              </w:rPr>
              <w:t>De</w:t>
            </w:r>
            <w:r w:rsidR="00000789">
              <w:rPr>
                <w:sz w:val="22"/>
                <w:szCs w:val="22"/>
              </w:rPr>
              <w:t xml:space="preserve"> </w:t>
            </w:r>
            <w:r w:rsidR="00000789" w:rsidRPr="00FA5E4D">
              <w:rPr>
                <w:sz w:val="22"/>
                <w:szCs w:val="22"/>
              </w:rPr>
              <w:t>200</w:t>
            </w:r>
            <w:r w:rsidR="00000789">
              <w:rPr>
                <w:sz w:val="22"/>
                <w:szCs w:val="22"/>
              </w:rPr>
              <w:t xml:space="preserve"> à </w:t>
            </w:r>
            <w:r w:rsidR="00000789" w:rsidRPr="00FA5E4D">
              <w:rPr>
                <w:sz w:val="22"/>
                <w:szCs w:val="22"/>
              </w:rPr>
              <w:t>500 m</w:t>
            </w: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C519987" w14:textId="394AD813" w:rsidR="00000789" w:rsidRPr="00FA5E4D" w:rsidRDefault="00000789" w:rsidP="00000789">
            <w:pPr>
              <w:autoSpaceDE w:val="0"/>
              <w:autoSpaceDN w:val="0"/>
              <w:adjustRightInd w:val="0"/>
              <w:jc w:val="center"/>
              <w:rPr>
                <w:sz w:val="22"/>
                <w:szCs w:val="22"/>
              </w:rPr>
            </w:pPr>
            <w:r>
              <w:rPr>
                <w:sz w:val="22"/>
                <w:szCs w:val="22"/>
              </w:rPr>
              <w:t xml:space="preserve">Compris entre </w:t>
            </w:r>
            <w:r w:rsidRPr="00FA5E4D">
              <w:rPr>
                <w:sz w:val="22"/>
                <w:szCs w:val="22"/>
              </w:rPr>
              <w:t>500</w:t>
            </w:r>
            <w:r>
              <w:rPr>
                <w:sz w:val="22"/>
                <w:szCs w:val="22"/>
              </w:rPr>
              <w:t xml:space="preserve"> et </w:t>
            </w:r>
            <w:r w:rsidRPr="00FA5E4D">
              <w:rPr>
                <w:sz w:val="22"/>
                <w:szCs w:val="22"/>
              </w:rPr>
              <w:t>1000 m</w:t>
            </w:r>
          </w:p>
        </w:tc>
        <w:tc>
          <w:tcPr>
            <w:tcW w:w="1445"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17B9295" w14:textId="3A12945C" w:rsidR="00000789" w:rsidRPr="00000789" w:rsidRDefault="007F59FD" w:rsidP="00000789">
            <w:pPr>
              <w:autoSpaceDE w:val="0"/>
              <w:autoSpaceDN w:val="0"/>
              <w:adjustRightInd w:val="0"/>
              <w:jc w:val="center"/>
              <w:rPr>
                <w:sz w:val="22"/>
                <w:szCs w:val="22"/>
              </w:rPr>
            </w:pPr>
            <w:r w:rsidRPr="00000789">
              <w:rPr>
                <w:sz w:val="22"/>
                <w:szCs w:val="22"/>
              </w:rPr>
              <w:t>De</w:t>
            </w:r>
            <w:r w:rsidR="00000789" w:rsidRPr="00000789">
              <w:rPr>
                <w:sz w:val="22"/>
                <w:szCs w:val="22"/>
              </w:rPr>
              <w:t xml:space="preserve"> 1000 à 1500 m</w:t>
            </w:r>
          </w:p>
        </w:tc>
      </w:tr>
      <w:tr w:rsidR="00000789" w:rsidRPr="00FA5E4D" w14:paraId="6D8BB777" w14:textId="77777777" w:rsidTr="007F59FD">
        <w:tc>
          <w:tcPr>
            <w:tcW w:w="1290" w:type="dxa"/>
            <w:vMerge/>
            <w:tcBorders>
              <w:left w:val="double" w:sz="4" w:space="0" w:color="auto"/>
              <w:right w:val="single" w:sz="4" w:space="0" w:color="auto"/>
            </w:tcBorders>
          </w:tcPr>
          <w:p w14:paraId="05E0AE1C" w14:textId="77777777" w:rsidR="00000789" w:rsidRPr="00FA5E4D" w:rsidRDefault="00000789" w:rsidP="007C0BEF">
            <w:pPr>
              <w:autoSpaceDE w:val="0"/>
              <w:autoSpaceDN w:val="0"/>
              <w:adjustRightInd w:val="0"/>
              <w:rPr>
                <w:sz w:val="22"/>
                <w:szCs w:val="22"/>
              </w:rPr>
            </w:pPr>
          </w:p>
        </w:tc>
        <w:tc>
          <w:tcPr>
            <w:tcW w:w="1672" w:type="dxa"/>
            <w:vMerge/>
            <w:tcBorders>
              <w:left w:val="single" w:sz="4" w:space="0" w:color="auto"/>
              <w:right w:val="single" w:sz="4" w:space="0" w:color="auto"/>
            </w:tcBorders>
            <w:shd w:val="clear" w:color="auto" w:fill="A8D08D" w:themeFill="accent6" w:themeFillTint="99"/>
          </w:tcPr>
          <w:p w14:paraId="17840A31" w14:textId="77777777" w:rsidR="00000789" w:rsidRPr="00000789" w:rsidRDefault="00000789" w:rsidP="007C0BEF">
            <w:pPr>
              <w:autoSpaceDE w:val="0"/>
              <w:autoSpaceDN w:val="0"/>
              <w:adjustRightInd w:val="0"/>
              <w:rPr>
                <w:b/>
                <w:bCs/>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55BB6FAF" w14:textId="7A1A9FCC" w:rsidR="00000789" w:rsidRPr="00000789" w:rsidRDefault="00000789" w:rsidP="00000789">
            <w:pPr>
              <w:autoSpaceDE w:val="0"/>
              <w:autoSpaceDN w:val="0"/>
              <w:adjustRightInd w:val="0"/>
              <w:jc w:val="center"/>
              <w:rPr>
                <w:b/>
                <w:bCs/>
                <w:sz w:val="22"/>
                <w:szCs w:val="22"/>
              </w:rPr>
            </w:pPr>
            <w:r w:rsidRPr="00000789">
              <w:rPr>
                <w:b/>
                <w:bCs/>
                <w:sz w:val="22"/>
                <w:szCs w:val="22"/>
              </w:rPr>
              <w:t xml:space="preserve">- </w:t>
            </w:r>
            <w:r w:rsidR="00BB0F38">
              <w:rPr>
                <w:b/>
                <w:bCs/>
                <w:sz w:val="22"/>
                <w:szCs w:val="22"/>
              </w:rPr>
              <w:t>0.5</w:t>
            </w:r>
            <w:r w:rsidRPr="00000789">
              <w:rPr>
                <w:b/>
                <w:bCs/>
                <w:sz w:val="22"/>
                <w:szCs w:val="22"/>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FFFF00"/>
            <w:vAlign w:val="center"/>
          </w:tcPr>
          <w:p w14:paraId="12B8769A" w14:textId="5A556574" w:rsidR="00000789" w:rsidRPr="00000789" w:rsidRDefault="00000789" w:rsidP="00000789">
            <w:pPr>
              <w:autoSpaceDE w:val="0"/>
              <w:autoSpaceDN w:val="0"/>
              <w:adjustRightInd w:val="0"/>
              <w:jc w:val="center"/>
              <w:rPr>
                <w:b/>
                <w:bCs/>
                <w:sz w:val="22"/>
                <w:szCs w:val="22"/>
              </w:rPr>
            </w:pPr>
            <w:r w:rsidRPr="00000789">
              <w:rPr>
                <w:b/>
                <w:bCs/>
                <w:sz w:val="22"/>
                <w:szCs w:val="22"/>
              </w:rPr>
              <w:t>Prix de base</w:t>
            </w:r>
          </w:p>
        </w:tc>
        <w:tc>
          <w:tcPr>
            <w:tcW w:w="1445" w:type="dxa"/>
            <w:tcBorders>
              <w:top w:val="single" w:sz="4" w:space="0" w:color="auto"/>
              <w:left w:val="single" w:sz="4" w:space="0" w:color="auto"/>
              <w:bottom w:val="single" w:sz="4" w:space="0" w:color="auto"/>
              <w:right w:val="single" w:sz="4" w:space="0" w:color="auto"/>
            </w:tcBorders>
            <w:vAlign w:val="center"/>
          </w:tcPr>
          <w:p w14:paraId="49AAA63F" w14:textId="18B1D216" w:rsidR="00000789" w:rsidRPr="00000789" w:rsidRDefault="00000789" w:rsidP="00000789">
            <w:pPr>
              <w:autoSpaceDE w:val="0"/>
              <w:autoSpaceDN w:val="0"/>
              <w:adjustRightInd w:val="0"/>
              <w:jc w:val="center"/>
              <w:rPr>
                <w:b/>
                <w:bCs/>
                <w:sz w:val="22"/>
                <w:szCs w:val="22"/>
              </w:rPr>
            </w:pPr>
            <w:r w:rsidRPr="00000789">
              <w:rPr>
                <w:b/>
                <w:bCs/>
                <w:sz w:val="22"/>
                <w:szCs w:val="22"/>
              </w:rPr>
              <w:t xml:space="preserve">+ </w:t>
            </w:r>
            <w:r w:rsidR="00BB0F38">
              <w:rPr>
                <w:b/>
                <w:bCs/>
                <w:sz w:val="22"/>
                <w:szCs w:val="22"/>
              </w:rPr>
              <w:t>1</w:t>
            </w:r>
            <w:r w:rsidRPr="00000789">
              <w:rPr>
                <w:b/>
                <w:bCs/>
                <w:sz w:val="22"/>
                <w:szCs w:val="22"/>
              </w:rPr>
              <w:t xml:space="preserve"> €</w:t>
            </w:r>
          </w:p>
        </w:tc>
      </w:tr>
      <w:tr w:rsidR="00000789" w:rsidRPr="00FA5E4D" w14:paraId="5BC1359E" w14:textId="77777777" w:rsidTr="007F59FD">
        <w:tc>
          <w:tcPr>
            <w:tcW w:w="1290" w:type="dxa"/>
            <w:vMerge/>
            <w:tcBorders>
              <w:left w:val="double" w:sz="4" w:space="0" w:color="auto"/>
              <w:bottom w:val="single" w:sz="4" w:space="0" w:color="auto"/>
              <w:right w:val="single" w:sz="4" w:space="0" w:color="auto"/>
            </w:tcBorders>
          </w:tcPr>
          <w:p w14:paraId="671AA47D" w14:textId="77777777" w:rsidR="00000789" w:rsidRPr="00FA5E4D" w:rsidRDefault="00000789" w:rsidP="00CC5D3C">
            <w:pPr>
              <w:autoSpaceDE w:val="0"/>
              <w:autoSpaceDN w:val="0"/>
              <w:adjustRightInd w:val="0"/>
              <w:rPr>
                <w:sz w:val="22"/>
                <w:szCs w:val="22"/>
              </w:rPr>
            </w:pPr>
          </w:p>
        </w:tc>
        <w:tc>
          <w:tcPr>
            <w:tcW w:w="1672"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425468D" w14:textId="77777777" w:rsidR="00000789" w:rsidRPr="00000789" w:rsidRDefault="00000789" w:rsidP="00CC5D3C">
            <w:pPr>
              <w:autoSpaceDE w:val="0"/>
              <w:autoSpaceDN w:val="0"/>
              <w:adjustRightInd w:val="0"/>
              <w:rPr>
                <w:b/>
                <w:bCs/>
                <w:sz w:val="22"/>
                <w:szCs w:val="22"/>
              </w:rPr>
            </w:pPr>
            <w:r w:rsidRPr="00000789">
              <w:rPr>
                <w:b/>
                <w:bCs/>
                <w:sz w:val="22"/>
                <w:szCs w:val="22"/>
              </w:rPr>
              <w:t xml:space="preserve">Produit supplémentaire </w:t>
            </w:r>
          </w:p>
          <w:p w14:paraId="25103B5B" w14:textId="77777777" w:rsidR="00000789" w:rsidRPr="00000789" w:rsidRDefault="00000789" w:rsidP="00CC5D3C">
            <w:pPr>
              <w:autoSpaceDE w:val="0"/>
              <w:autoSpaceDN w:val="0"/>
              <w:adjustRightInd w:val="0"/>
              <w:rPr>
                <w:b/>
                <w:bCs/>
                <w:sz w:val="22"/>
                <w:szCs w:val="22"/>
              </w:rPr>
            </w:pPr>
            <w:r w:rsidRPr="00000789">
              <w:rPr>
                <w:b/>
                <w:bCs/>
                <w:sz w:val="22"/>
                <w:szCs w:val="22"/>
              </w:rPr>
              <w:t>(</w:t>
            </w:r>
            <w:proofErr w:type="gramStart"/>
            <w:r w:rsidRPr="00000789">
              <w:rPr>
                <w:b/>
                <w:bCs/>
                <w:sz w:val="22"/>
                <w:szCs w:val="22"/>
              </w:rPr>
              <w:t>si</w:t>
            </w:r>
            <w:proofErr w:type="gramEnd"/>
            <w:r w:rsidRPr="00000789">
              <w:rPr>
                <w:b/>
                <w:bCs/>
                <w:sz w:val="22"/>
                <w:szCs w:val="22"/>
              </w:rPr>
              <w:t xml:space="preserve"> &gt; 4)</w:t>
            </w:r>
          </w:p>
        </w:tc>
        <w:tc>
          <w:tcPr>
            <w:tcW w:w="4253" w:type="dxa"/>
            <w:gridSpan w:val="2"/>
            <w:tcBorders>
              <w:top w:val="single" w:sz="4" w:space="0" w:color="auto"/>
              <w:left w:val="single" w:sz="4" w:space="0" w:color="auto"/>
              <w:bottom w:val="single" w:sz="4" w:space="0" w:color="auto"/>
              <w:right w:val="single" w:sz="4" w:space="0" w:color="auto"/>
            </w:tcBorders>
            <w:vAlign w:val="center"/>
          </w:tcPr>
          <w:p w14:paraId="7AC1EB5F" w14:textId="77777777" w:rsidR="00000789" w:rsidRPr="00000789" w:rsidRDefault="00000789" w:rsidP="00000789">
            <w:pPr>
              <w:autoSpaceDE w:val="0"/>
              <w:autoSpaceDN w:val="0"/>
              <w:adjustRightInd w:val="0"/>
              <w:jc w:val="center"/>
              <w:rPr>
                <w:sz w:val="22"/>
                <w:szCs w:val="22"/>
              </w:rPr>
            </w:pPr>
          </w:p>
        </w:tc>
        <w:tc>
          <w:tcPr>
            <w:tcW w:w="1445" w:type="dxa"/>
            <w:tcBorders>
              <w:top w:val="single" w:sz="4" w:space="0" w:color="auto"/>
              <w:left w:val="single" w:sz="4" w:space="0" w:color="auto"/>
              <w:bottom w:val="single" w:sz="4" w:space="0" w:color="auto"/>
              <w:right w:val="single" w:sz="4" w:space="0" w:color="auto"/>
            </w:tcBorders>
            <w:vAlign w:val="center"/>
          </w:tcPr>
          <w:p w14:paraId="7C6F8921" w14:textId="038ED591" w:rsidR="00000789" w:rsidRPr="00000789" w:rsidRDefault="00000789" w:rsidP="00000789">
            <w:pPr>
              <w:autoSpaceDE w:val="0"/>
              <w:autoSpaceDN w:val="0"/>
              <w:adjustRightInd w:val="0"/>
              <w:jc w:val="center"/>
              <w:rPr>
                <w:b/>
                <w:bCs/>
                <w:sz w:val="22"/>
                <w:szCs w:val="22"/>
              </w:rPr>
            </w:pPr>
            <w:r w:rsidRPr="00000789">
              <w:rPr>
                <w:b/>
                <w:bCs/>
                <w:sz w:val="22"/>
                <w:szCs w:val="22"/>
              </w:rPr>
              <w:t>+ 0.5 €</w:t>
            </w:r>
          </w:p>
        </w:tc>
      </w:tr>
    </w:tbl>
    <w:p w14:paraId="68A71BA5" w14:textId="77777777" w:rsidR="009E593D" w:rsidRDefault="009E593D"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xml:space="preserve">- </w:t>
      </w:r>
      <w:r w:rsidR="007A6A18" w:rsidRPr="007F59FD">
        <w:rPr>
          <w:b/>
          <w:bCs/>
          <w:color w:val="006600"/>
          <w:sz w:val="22"/>
          <w:szCs w:val="22"/>
        </w:rPr>
        <w:t>Prix</w:t>
      </w:r>
      <w:r w:rsidR="00F452F1" w:rsidRPr="007F59FD">
        <w:rPr>
          <w:b/>
          <w:bCs/>
          <w:color w:val="006600"/>
          <w:sz w:val="22"/>
          <w:szCs w:val="22"/>
        </w:rPr>
        <w:t xml:space="preserve"> des prestations complémentaires</w:t>
      </w:r>
      <w:r w:rsidR="00717AD4" w:rsidRPr="007F59FD">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A7247E">
        <w:trPr>
          <w:trHeight w:val="194"/>
        </w:trPr>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rsidP="00A7247E">
            <w:pPr>
              <w:autoSpaceDE w:val="0"/>
              <w:autoSpaceDN w:val="0"/>
              <w:adjustRightInd w:val="0"/>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FA4AA1" w14:paraId="5148CBB6"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AB05196" w14:textId="3A1E6B91" w:rsidR="00FA4AA1" w:rsidRDefault="00000789">
            <w:pPr>
              <w:autoSpaceDE w:val="0"/>
              <w:autoSpaceDN w:val="0"/>
              <w:adjustRightInd w:val="0"/>
              <w:jc w:val="both"/>
              <w:rPr>
                <w:b/>
                <w:bCs/>
                <w:sz w:val="22"/>
                <w:szCs w:val="22"/>
              </w:rPr>
            </w:pPr>
            <w:r>
              <w:rPr>
                <w:sz w:val="22"/>
                <w:szCs w:val="22"/>
              </w:rPr>
              <w:fldChar w:fldCharType="begin">
                <w:ffData>
                  <w:name w:val="CaseACocher53"/>
                  <w:enabled/>
                  <w:calcOnExit w:val="0"/>
                  <w:checkBox>
                    <w:sizeAuto/>
                    <w:default w:val="1"/>
                  </w:checkBox>
                </w:ffData>
              </w:fldChar>
            </w:r>
            <w:bookmarkStart w:id="32"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2"/>
            <w:r w:rsidR="00FA4AA1">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tcPr>
          <w:p w14:paraId="2936AE14" w14:textId="77777777" w:rsidR="00FA4AA1" w:rsidRDefault="00FA4AA1">
            <w:pPr>
              <w:autoSpaceDE w:val="0"/>
              <w:autoSpaceDN w:val="0"/>
              <w:adjustRightInd w:val="0"/>
              <w:jc w:val="both"/>
              <w:rPr>
                <w:b/>
                <w:bCs/>
                <w:sz w:val="22"/>
                <w:szCs w:val="22"/>
              </w:rPr>
            </w:pPr>
          </w:p>
        </w:tc>
        <w:tc>
          <w:tcPr>
            <w:tcW w:w="1740" w:type="dxa"/>
            <w:tcBorders>
              <w:top w:val="single" w:sz="4" w:space="0" w:color="auto"/>
              <w:left w:val="single" w:sz="4" w:space="0" w:color="auto"/>
              <w:bottom w:val="single" w:sz="4" w:space="0" w:color="auto"/>
              <w:right w:val="single" w:sz="4" w:space="0" w:color="auto"/>
            </w:tcBorders>
            <w:hideMark/>
          </w:tcPr>
          <w:p w14:paraId="31C0ECCA" w14:textId="18FDA8A7" w:rsidR="00FA4AA1" w:rsidRDefault="00FA4AA1">
            <w:pPr>
              <w:autoSpaceDE w:val="0"/>
              <w:autoSpaceDN w:val="0"/>
              <w:adjustRightInd w:val="0"/>
              <w:jc w:val="center"/>
              <w:rPr>
                <w:b/>
                <w:iCs/>
                <w:sz w:val="22"/>
                <w:szCs w:val="22"/>
              </w:rPr>
            </w:pPr>
            <w:r>
              <w:rPr>
                <w:bCs/>
                <w:iCs/>
                <w:color w:val="3366FF"/>
                <w:sz w:val="22"/>
                <w:szCs w:val="22"/>
              </w:rPr>
              <w:t xml:space="preserve"> </w:t>
            </w:r>
            <w:r w:rsidR="00FB56B1" w:rsidRPr="00000789">
              <w:rPr>
                <w:bCs/>
                <w:iCs/>
                <w:color w:val="000000" w:themeColor="text1"/>
                <w:sz w:val="22"/>
                <w:szCs w:val="22"/>
              </w:rPr>
              <w:t>H</w:t>
            </w:r>
            <w:r w:rsidR="00000789" w:rsidRPr="00000789">
              <w:rPr>
                <w:bCs/>
                <w:iCs/>
                <w:color w:val="000000" w:themeColor="text1"/>
                <w:sz w:val="22"/>
                <w:szCs w:val="22"/>
              </w:rPr>
              <w:t>eure</w:t>
            </w:r>
          </w:p>
        </w:tc>
      </w:tr>
      <w:tr w:rsidR="00FB56B1" w14:paraId="5C433716" w14:textId="77777777" w:rsidTr="00FA4AA1">
        <w:tc>
          <w:tcPr>
            <w:tcW w:w="4930" w:type="dxa"/>
            <w:tcBorders>
              <w:top w:val="single" w:sz="4" w:space="0" w:color="auto"/>
              <w:left w:val="single" w:sz="4" w:space="0" w:color="auto"/>
              <w:bottom w:val="single" w:sz="4" w:space="0" w:color="auto"/>
              <w:right w:val="single" w:sz="4" w:space="0" w:color="auto"/>
            </w:tcBorders>
          </w:tcPr>
          <w:p w14:paraId="6D13EFA8" w14:textId="7C4E5C7B" w:rsidR="00FB56B1" w:rsidRPr="007F59FD" w:rsidRDefault="00FB56B1">
            <w:pPr>
              <w:autoSpaceDE w:val="0"/>
              <w:autoSpaceDN w:val="0"/>
              <w:adjustRightInd w:val="0"/>
              <w:jc w:val="both"/>
              <w:rPr>
                <w:sz w:val="22"/>
                <w:szCs w:val="22"/>
              </w:rPr>
            </w:pPr>
            <w:r w:rsidRPr="007F59FD">
              <w:rPr>
                <w:sz w:val="22"/>
                <w:szCs w:val="22"/>
              </w:rPr>
              <w:fldChar w:fldCharType="begin">
                <w:ffData>
                  <w:name w:val="CaseACocher53"/>
                  <w:enabled/>
                  <w:calcOnExit w:val="0"/>
                  <w:checkBox>
                    <w:sizeAuto/>
                    <w:default w:val="1"/>
                  </w:checkBox>
                </w:ffData>
              </w:fldChar>
            </w:r>
            <w:r w:rsidRPr="007F59FD">
              <w:rPr>
                <w:sz w:val="22"/>
                <w:szCs w:val="22"/>
              </w:rPr>
              <w:instrText xml:space="preserve"> FORMCHECKBOX </w:instrText>
            </w:r>
            <w:r w:rsidRPr="007F59FD">
              <w:rPr>
                <w:sz w:val="22"/>
                <w:szCs w:val="22"/>
              </w:rPr>
            </w:r>
            <w:r w:rsidRPr="007F59FD">
              <w:rPr>
                <w:sz w:val="22"/>
                <w:szCs w:val="22"/>
              </w:rPr>
              <w:fldChar w:fldCharType="separate"/>
            </w:r>
            <w:r w:rsidRPr="007F59FD">
              <w:rPr>
                <w:sz w:val="22"/>
                <w:szCs w:val="22"/>
              </w:rPr>
              <w:fldChar w:fldCharType="end"/>
            </w:r>
            <w:r w:rsidRPr="007F59FD">
              <w:rPr>
                <w:sz w:val="22"/>
                <w:szCs w:val="22"/>
              </w:rPr>
              <w:t xml:space="preserve"> </w:t>
            </w:r>
            <w:r w:rsidR="008A5AC8" w:rsidRPr="007F59FD">
              <w:rPr>
                <w:sz w:val="22"/>
                <w:szCs w:val="22"/>
              </w:rPr>
              <w:t xml:space="preserve">Traitement </w:t>
            </w:r>
            <w:proofErr w:type="spellStart"/>
            <w:r w:rsidR="008A5AC8" w:rsidRPr="007F59FD">
              <w:rPr>
                <w:sz w:val="22"/>
                <w:szCs w:val="22"/>
              </w:rPr>
              <w:t>f</w:t>
            </w:r>
            <w:r w:rsidRPr="007F59FD">
              <w:rPr>
                <w:sz w:val="22"/>
                <w:szCs w:val="22"/>
              </w:rPr>
              <w:t>omès</w:t>
            </w:r>
            <w:proofErr w:type="spellEnd"/>
            <w:r w:rsidRPr="007F59FD">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tcPr>
          <w:p w14:paraId="30DDDFDE" w14:textId="77777777" w:rsidR="00FB56B1" w:rsidRPr="00DC595F" w:rsidRDefault="00FB56B1">
            <w:pPr>
              <w:autoSpaceDE w:val="0"/>
              <w:autoSpaceDN w:val="0"/>
              <w:adjustRightInd w:val="0"/>
              <w:jc w:val="both"/>
              <w:rPr>
                <w:b/>
                <w:bCs/>
                <w:sz w:val="22"/>
                <w:szCs w:val="22"/>
                <w:highlight w:val="yellow"/>
              </w:rPr>
            </w:pPr>
          </w:p>
        </w:tc>
        <w:tc>
          <w:tcPr>
            <w:tcW w:w="1740" w:type="dxa"/>
            <w:tcBorders>
              <w:top w:val="single" w:sz="4" w:space="0" w:color="auto"/>
              <w:left w:val="single" w:sz="4" w:space="0" w:color="auto"/>
              <w:bottom w:val="single" w:sz="4" w:space="0" w:color="auto"/>
              <w:right w:val="single" w:sz="4" w:space="0" w:color="auto"/>
            </w:tcBorders>
          </w:tcPr>
          <w:p w14:paraId="4AE20769" w14:textId="0AD7E31D" w:rsidR="00FB56B1" w:rsidRPr="007F59FD" w:rsidRDefault="007F59FD">
            <w:pPr>
              <w:autoSpaceDE w:val="0"/>
              <w:autoSpaceDN w:val="0"/>
              <w:adjustRightInd w:val="0"/>
              <w:jc w:val="center"/>
              <w:rPr>
                <w:bCs/>
                <w:iCs/>
                <w:color w:val="3366FF"/>
                <w:sz w:val="22"/>
                <w:szCs w:val="22"/>
              </w:rPr>
            </w:pPr>
            <w:r w:rsidRPr="007F59FD">
              <w:rPr>
                <w:bCs/>
                <w:iCs/>
                <w:color w:val="000000" w:themeColor="text1"/>
                <w:sz w:val="22"/>
                <w:szCs w:val="22"/>
              </w:rPr>
              <w:t>M3</w:t>
            </w:r>
          </w:p>
        </w:tc>
      </w:tr>
      <w:tr w:rsidR="007F59FD" w14:paraId="58649815" w14:textId="77777777" w:rsidTr="00FA4AA1">
        <w:tc>
          <w:tcPr>
            <w:tcW w:w="4930" w:type="dxa"/>
            <w:tcBorders>
              <w:top w:val="single" w:sz="4" w:space="0" w:color="auto"/>
              <w:left w:val="single" w:sz="4" w:space="0" w:color="auto"/>
              <w:bottom w:val="single" w:sz="4" w:space="0" w:color="auto"/>
              <w:right w:val="single" w:sz="4" w:space="0" w:color="auto"/>
            </w:tcBorders>
          </w:tcPr>
          <w:p w14:paraId="17381A68" w14:textId="41D58C25" w:rsidR="007F59FD" w:rsidRPr="007F59FD" w:rsidRDefault="007F59FD" w:rsidP="007F59FD">
            <w:pPr>
              <w:autoSpaceDE w:val="0"/>
              <w:autoSpaceDN w:val="0"/>
              <w:adjustRightInd w:val="0"/>
              <w:jc w:val="both"/>
              <w:rPr>
                <w:sz w:val="22"/>
                <w:szCs w:val="22"/>
              </w:rPr>
            </w:pPr>
            <w:r w:rsidRPr="007F59FD">
              <w:rPr>
                <w:sz w:val="22"/>
                <w:szCs w:val="22"/>
              </w:rPr>
              <w:fldChar w:fldCharType="begin">
                <w:ffData>
                  <w:name w:val="CaseACocher53"/>
                  <w:enabled/>
                  <w:calcOnExit w:val="0"/>
                  <w:checkBox>
                    <w:sizeAuto/>
                    <w:default w:val="1"/>
                  </w:checkBox>
                </w:ffData>
              </w:fldChar>
            </w:r>
            <w:r w:rsidRPr="007F59FD">
              <w:rPr>
                <w:sz w:val="22"/>
                <w:szCs w:val="22"/>
              </w:rPr>
              <w:instrText xml:space="preserve"> FORMCHECKBOX </w:instrText>
            </w:r>
            <w:r w:rsidRPr="007F59FD">
              <w:rPr>
                <w:sz w:val="22"/>
                <w:szCs w:val="22"/>
              </w:rPr>
            </w:r>
            <w:r w:rsidRPr="007F59FD">
              <w:rPr>
                <w:sz w:val="22"/>
                <w:szCs w:val="22"/>
              </w:rPr>
              <w:fldChar w:fldCharType="separate"/>
            </w:r>
            <w:r w:rsidRPr="007F59FD">
              <w:rPr>
                <w:sz w:val="22"/>
                <w:szCs w:val="22"/>
              </w:rPr>
              <w:fldChar w:fldCharType="end"/>
            </w:r>
            <w:r w:rsidRPr="007F59FD">
              <w:rPr>
                <w:sz w:val="22"/>
                <w:szCs w:val="22"/>
              </w:rPr>
              <w:t xml:space="preserve"> Traitement </w:t>
            </w:r>
            <w:proofErr w:type="spellStart"/>
            <w:r w:rsidRPr="007F59FD">
              <w:rPr>
                <w:sz w:val="22"/>
                <w:szCs w:val="22"/>
              </w:rPr>
              <w:t>fomès</w:t>
            </w:r>
            <w:proofErr w:type="spellEnd"/>
            <w:r w:rsidRPr="007F59FD">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tcPr>
          <w:p w14:paraId="5E59D508" w14:textId="77777777" w:rsidR="007F59FD" w:rsidRPr="00DC595F" w:rsidRDefault="007F59FD" w:rsidP="007F59FD">
            <w:pPr>
              <w:autoSpaceDE w:val="0"/>
              <w:autoSpaceDN w:val="0"/>
              <w:adjustRightInd w:val="0"/>
              <w:jc w:val="both"/>
              <w:rPr>
                <w:b/>
                <w:bCs/>
                <w:sz w:val="22"/>
                <w:szCs w:val="22"/>
                <w:highlight w:val="yellow"/>
              </w:rPr>
            </w:pPr>
          </w:p>
        </w:tc>
        <w:tc>
          <w:tcPr>
            <w:tcW w:w="1740" w:type="dxa"/>
            <w:tcBorders>
              <w:top w:val="single" w:sz="4" w:space="0" w:color="auto"/>
              <w:left w:val="single" w:sz="4" w:space="0" w:color="auto"/>
              <w:bottom w:val="single" w:sz="4" w:space="0" w:color="auto"/>
              <w:right w:val="single" w:sz="4" w:space="0" w:color="auto"/>
            </w:tcBorders>
          </w:tcPr>
          <w:p w14:paraId="374E7829" w14:textId="5BEAF4E7" w:rsidR="007F59FD" w:rsidRPr="007F59FD" w:rsidRDefault="007F59FD" w:rsidP="007F59FD">
            <w:pPr>
              <w:autoSpaceDE w:val="0"/>
              <w:autoSpaceDN w:val="0"/>
              <w:adjustRightInd w:val="0"/>
              <w:jc w:val="center"/>
              <w:rPr>
                <w:bCs/>
                <w:iCs/>
                <w:color w:val="000000" w:themeColor="text1"/>
                <w:sz w:val="22"/>
                <w:szCs w:val="22"/>
              </w:rPr>
            </w:pPr>
            <w:r w:rsidRPr="007F59FD">
              <w:rPr>
                <w:bCs/>
                <w:iCs/>
                <w:color w:val="000000" w:themeColor="text1"/>
                <w:sz w:val="22"/>
                <w:szCs w:val="22"/>
              </w:rPr>
              <w:t>M3</w:t>
            </w:r>
            <w:r>
              <w:rPr>
                <w:bCs/>
                <w:iCs/>
                <w:color w:val="000000" w:themeColor="text1"/>
                <w:sz w:val="22"/>
                <w:szCs w:val="22"/>
              </w:rPr>
              <w:t>a</w:t>
            </w:r>
          </w:p>
        </w:tc>
      </w:tr>
    </w:tbl>
    <w:p w14:paraId="7A9F5FF2" w14:textId="77777777" w:rsidR="006A14A5" w:rsidRDefault="006A14A5"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7F77430" w14:textId="77777777" w:rsidR="00172E00" w:rsidRPr="00E26C53" w:rsidRDefault="00172E00" w:rsidP="00172E00">
      <w:pPr>
        <w:pStyle w:val="Corpsdetexte3"/>
        <w:jc w:val="both"/>
        <w:rPr>
          <w:rFonts w:ascii="Arial" w:hAnsi="Arial" w:cs="Arial"/>
          <w:sz w:val="20"/>
          <w:szCs w:val="20"/>
        </w:rPr>
      </w:pPr>
      <w:r w:rsidRPr="00E26C53">
        <w:rPr>
          <w:rFonts w:ascii="Arial" w:hAnsi="Arial" w:cs="Arial"/>
          <w:sz w:val="20"/>
          <w:szCs w:val="20"/>
        </w:rPr>
        <w:t>Sans objet.</w:t>
      </w:r>
    </w:p>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77719D5C" w:rsidR="007E3FC6" w:rsidRPr="00873536" w:rsidRDefault="007E3FC6" w:rsidP="00873536">
      <w:pPr>
        <w:jc w:val="both"/>
        <w:rPr>
          <w:rFonts w:ascii="Arial" w:hAnsi="Arial" w:cs="Arial"/>
          <w:bCs/>
          <w:sz w:val="20"/>
        </w:rPr>
      </w:pPr>
      <w:r w:rsidRPr="00873536">
        <w:rPr>
          <w:rFonts w:ascii="Arial" w:hAnsi="Arial" w:cs="Arial"/>
          <w:bCs/>
          <w:sz w:val="20"/>
        </w:rPr>
        <w:t xml:space="preserve">La durée du présent marché est de douze (12) mois à compter de sa date de notification. </w:t>
      </w:r>
    </w:p>
    <w:p w14:paraId="1C0CE54E" w14:textId="77777777" w:rsidR="00873536" w:rsidRPr="00873536" w:rsidRDefault="00873536" w:rsidP="00873536">
      <w:pPr>
        <w:jc w:val="both"/>
        <w:rPr>
          <w:rFonts w:ascii="Arial" w:hAnsi="Arial" w:cs="Arial"/>
          <w:bCs/>
          <w:sz w:val="20"/>
        </w:rPr>
      </w:pPr>
    </w:p>
    <w:p w14:paraId="64AC176F" w14:textId="61C12E71" w:rsidR="007E3FC6" w:rsidRDefault="007E3FC6" w:rsidP="00873536">
      <w:pPr>
        <w:jc w:val="both"/>
        <w:rPr>
          <w:rFonts w:ascii="Arial" w:hAnsi="Arial"/>
          <w:sz w:val="20"/>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Dans ce cas, leur durée d’exécution est fixée à deux mois maximum.</w:t>
      </w:r>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lastRenderedPageBreak/>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326BEB" w14:textId="4DF03AA5" w:rsidR="005C04C0" w:rsidRDefault="00F10E94" w:rsidP="001772E2">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D124A3D" w14:textId="77777777" w:rsidR="006A14A5" w:rsidRPr="001772E2" w:rsidRDefault="006A14A5" w:rsidP="001772E2">
      <w:pPr>
        <w:jc w:val="both"/>
        <w:rPr>
          <w:rFonts w:ascii="Arial" w:hAnsi="Arial" w:cs="Arial"/>
          <w:sz w:val="20"/>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lastRenderedPageBreak/>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6DCA9AEA" w14:textId="73F5ADE5" w:rsidR="005D4E9C" w:rsidRPr="00A7247E" w:rsidRDefault="005D4E9C" w:rsidP="005D4E9C">
      <w:pPr>
        <w:jc w:val="both"/>
        <w:rPr>
          <w:rFonts w:ascii="Arial" w:hAnsi="Arial" w:cs="Arial"/>
          <w:sz w:val="20"/>
        </w:rPr>
      </w:pPr>
      <w:r>
        <w:rPr>
          <w:rFonts w:ascii="Arial" w:hAnsi="Arial" w:cs="Arial"/>
          <w:sz w:val="20"/>
        </w:rPr>
        <w:t xml:space="preserve">Pour valoir acte d’engagement, la présente offre est acceptée </w:t>
      </w:r>
      <w:r w:rsidRPr="00A7247E">
        <w:rPr>
          <w:rFonts w:ascii="Arial" w:hAnsi="Arial" w:cs="Arial"/>
          <w:sz w:val="20"/>
        </w:rPr>
        <w:t>pour le</w:t>
      </w:r>
      <w:r w:rsidR="009A5A31" w:rsidRPr="00A7247E">
        <w:rPr>
          <w:rFonts w:ascii="Arial" w:hAnsi="Arial" w:cs="Arial"/>
          <w:sz w:val="20"/>
        </w:rPr>
        <w:t>(s)</w:t>
      </w:r>
      <w:r w:rsidRPr="00A7247E">
        <w:rPr>
          <w:rFonts w:ascii="Arial" w:hAnsi="Arial" w:cs="Arial"/>
          <w:sz w:val="20"/>
        </w:rPr>
        <w:t xml:space="preserve"> lot</w:t>
      </w:r>
      <w:r w:rsidR="009A5A31" w:rsidRPr="00A7247E">
        <w:rPr>
          <w:rFonts w:ascii="Arial" w:hAnsi="Arial" w:cs="Arial"/>
          <w:sz w:val="20"/>
        </w:rPr>
        <w:t>(s)</w:t>
      </w:r>
      <w:r w:rsidRPr="00A7247E">
        <w:rPr>
          <w:rFonts w:ascii="Arial" w:hAnsi="Arial" w:cs="Arial"/>
          <w:sz w:val="20"/>
        </w:rPr>
        <w:t xml:space="preserve"> n° </w:t>
      </w:r>
      <w:r w:rsidR="00A7247E">
        <w:rPr>
          <w:rFonts w:ascii="Arial" w:hAnsi="Arial" w:cs="Arial"/>
          <w:sz w:val="20"/>
        </w:rPr>
        <w:t>1</w:t>
      </w:r>
    </w:p>
    <w:p w14:paraId="10A5E398" w14:textId="14CB45C3" w:rsidR="005D4E9C" w:rsidRPr="00A7247E" w:rsidRDefault="009A5A31" w:rsidP="005D4E9C">
      <w:pPr>
        <w:jc w:val="both"/>
        <w:rPr>
          <w:rFonts w:ascii="Arial" w:hAnsi="Arial" w:cs="Arial"/>
          <w:sz w:val="18"/>
          <w:szCs w:val="22"/>
        </w:rPr>
      </w:pPr>
      <w:r w:rsidRPr="00A7247E">
        <w:rPr>
          <w:rFonts w:ascii="Arial" w:hAnsi="Arial" w:cs="Arial"/>
          <w:sz w:val="20"/>
        </w:rPr>
        <w:t>Pour le lot n° XX l</w:t>
      </w:r>
      <w:r w:rsidR="005D4E9C" w:rsidRPr="00A7247E">
        <w:rPr>
          <w:rFonts w:ascii="Arial" w:hAnsi="Arial" w:cs="Arial"/>
          <w:sz w:val="20"/>
        </w:rPr>
        <w:t xml:space="preserve">e candidat est classé en </w:t>
      </w:r>
      <w:r w:rsidR="00A7247E">
        <w:rPr>
          <w:rFonts w:ascii="Arial" w:hAnsi="Arial" w:cs="Arial"/>
          <w:sz w:val="20"/>
        </w:rPr>
        <w:t xml:space="preserve">        </w:t>
      </w:r>
      <w:r w:rsidR="005D4E9C" w:rsidRPr="00A7247E">
        <w:rPr>
          <w:rFonts w:ascii="Arial" w:hAnsi="Arial" w:cs="Arial"/>
          <w:sz w:val="20"/>
          <w:vertAlign w:val="superscript"/>
        </w:rPr>
        <w:t>me</w:t>
      </w:r>
      <w:r w:rsidR="005D4E9C" w:rsidRPr="00A7247E">
        <w:rPr>
          <w:rFonts w:ascii="Arial" w:hAnsi="Arial" w:cs="Arial"/>
          <w:sz w:val="20"/>
        </w:rPr>
        <w:t xml:space="preserve"> position il aura donc </w:t>
      </w:r>
      <w:r w:rsidR="00A7247E">
        <w:rPr>
          <w:rFonts w:ascii="Arial" w:hAnsi="Arial" w:cs="Arial"/>
          <w:sz w:val="20"/>
        </w:rPr>
        <w:t xml:space="preserve">      </w:t>
      </w:r>
      <w:r w:rsidR="005D4E9C" w:rsidRPr="00A7247E">
        <w:rPr>
          <w:rFonts w:ascii="Arial" w:hAnsi="Arial" w:cs="Arial"/>
          <w:sz w:val="20"/>
        </w:rPr>
        <w:t>% de la quantité totale des commandes de l’accord-cadre.</w:t>
      </w: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75A28945"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3"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3"/>
          <w:p w14:paraId="7B0544FE" w14:textId="77777777"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75E2F46E" w14:textId="786D016D" w:rsidR="005D4E9C" w:rsidRDefault="00E05C84" w:rsidP="005D4E9C">
            <w:pPr>
              <w:jc w:val="center"/>
              <w:rPr>
                <w:rFonts w:ascii="Arial" w:hAnsi="Arial" w:cs="Arial"/>
                <w:sz w:val="20"/>
              </w:rPr>
            </w:pPr>
            <w:r>
              <w:t> </w:t>
            </w:r>
            <w:r w:rsidR="005D4E9C">
              <w:rPr>
                <w:rFonts w:ascii="Arial" w:hAnsi="Arial" w:cs="Arial"/>
                <w:sz w:val="20"/>
              </w:rPr>
              <w:t xml:space="preserve"> Fonction</w:t>
            </w:r>
          </w:p>
          <w:p w14:paraId="1EC8196C" w14:textId="77777777" w:rsidR="005D4E9C" w:rsidRDefault="005D4E9C" w:rsidP="005D4E9C">
            <w:pPr>
              <w:jc w:val="center"/>
              <w:rPr>
                <w:rFonts w:ascii="Arial" w:hAnsi="Arial" w:cs="Arial"/>
                <w:sz w:val="20"/>
              </w:rPr>
            </w:pPr>
          </w:p>
          <w:p w14:paraId="7D8408A4" w14:textId="77777777" w:rsidR="005D4E9C" w:rsidRDefault="005D4E9C" w:rsidP="005D4E9C">
            <w:pPr>
              <w:jc w:val="center"/>
              <w:rPr>
                <w:rFonts w:ascii="Arial" w:hAnsi="Arial" w:cs="Arial"/>
                <w:sz w:val="20"/>
              </w:rPr>
            </w:pPr>
          </w:p>
          <w:p w14:paraId="0946E411" w14:textId="77777777" w:rsidR="005D4E9C" w:rsidRPr="00F31C48" w:rsidRDefault="005D4E9C" w:rsidP="005D4E9C">
            <w:pPr>
              <w:jc w:val="center"/>
              <w:rPr>
                <w:rFonts w:ascii="Arial" w:hAnsi="Arial" w:cs="Arial"/>
                <w:sz w:val="20"/>
              </w:rPr>
            </w:pPr>
          </w:p>
          <w:p w14:paraId="7FA80FFA" w14:textId="77777777" w:rsidR="005D4E9C" w:rsidRPr="00F31C48" w:rsidRDefault="005D4E9C" w:rsidP="005D4E9C">
            <w:pPr>
              <w:jc w:val="center"/>
              <w:rPr>
                <w:rFonts w:ascii="Arial" w:hAnsi="Arial" w:cs="Arial"/>
                <w:sz w:val="20"/>
              </w:rPr>
            </w:pPr>
            <w:r>
              <w:t> </w:t>
            </w:r>
            <w:r>
              <w:rPr>
                <w:rFonts w:ascii="Arial" w:hAnsi="Arial" w:cs="Arial"/>
                <w:sz w:val="20"/>
              </w:rPr>
              <w:t>Prénom NOM</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1"/>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543681E6"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DD503F">
            <w:rPr>
              <w:rFonts w:ascii="Arial" w:hAnsi="Arial" w:cs="Arial"/>
              <w:b/>
              <w:bCs/>
              <w:sz w:val="20"/>
            </w:rPr>
            <w:t>°</w:t>
          </w:r>
          <w:r w:rsidR="00DD503F">
            <w:rPr>
              <w:rFonts w:ascii="Arial" w:hAnsi="Arial" w:cs="Arial"/>
              <w:b/>
              <w:bCs/>
              <w:sz w:val="20"/>
            </w:rPr>
            <w:t>2025-8790-002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343157">
    <w:abstractNumId w:val="14"/>
  </w:num>
  <w:num w:numId="2" w16cid:durableId="942684695">
    <w:abstractNumId w:val="4"/>
  </w:num>
  <w:num w:numId="3" w16cid:durableId="135726449">
    <w:abstractNumId w:val="5"/>
  </w:num>
  <w:num w:numId="4" w16cid:durableId="16279699">
    <w:abstractNumId w:val="3"/>
  </w:num>
  <w:num w:numId="5" w16cid:durableId="1905410697">
    <w:abstractNumId w:val="12"/>
  </w:num>
  <w:num w:numId="6" w16cid:durableId="614137867">
    <w:abstractNumId w:val="17"/>
  </w:num>
  <w:num w:numId="7" w16cid:durableId="1057125517">
    <w:abstractNumId w:val="8"/>
  </w:num>
  <w:num w:numId="8" w16cid:durableId="836649162">
    <w:abstractNumId w:val="11"/>
  </w:num>
  <w:num w:numId="9" w16cid:durableId="855118340">
    <w:abstractNumId w:val="18"/>
  </w:num>
  <w:num w:numId="10" w16cid:durableId="280306007">
    <w:abstractNumId w:val="16"/>
  </w:num>
  <w:num w:numId="11" w16cid:durableId="1797328185">
    <w:abstractNumId w:val="2"/>
  </w:num>
  <w:num w:numId="12" w16cid:durableId="5481554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042171072">
    <w:abstractNumId w:val="9"/>
  </w:num>
  <w:num w:numId="14" w16cid:durableId="2019842268">
    <w:abstractNumId w:val="19"/>
  </w:num>
  <w:num w:numId="15" w16cid:durableId="465204749">
    <w:abstractNumId w:val="10"/>
  </w:num>
  <w:num w:numId="16" w16cid:durableId="413943560">
    <w:abstractNumId w:val="7"/>
  </w:num>
  <w:num w:numId="17" w16cid:durableId="236328996">
    <w:abstractNumId w:val="13"/>
  </w:num>
  <w:num w:numId="18" w16cid:durableId="2033722899">
    <w:abstractNumId w:val="6"/>
  </w:num>
  <w:num w:numId="19" w16cid:durableId="1315912253">
    <w:abstractNumId w:val="1"/>
  </w:num>
  <w:num w:numId="20" w16cid:durableId="681514948">
    <w:abstractNumId w:val="7"/>
  </w:num>
  <w:num w:numId="21" w16cid:durableId="9833107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0789"/>
    <w:rsid w:val="00002D6A"/>
    <w:rsid w:val="00011127"/>
    <w:rsid w:val="000119E3"/>
    <w:rsid w:val="000141A8"/>
    <w:rsid w:val="00015513"/>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6778"/>
    <w:rsid w:val="00117460"/>
    <w:rsid w:val="001232D4"/>
    <w:rsid w:val="00125F86"/>
    <w:rsid w:val="00130E8B"/>
    <w:rsid w:val="00134409"/>
    <w:rsid w:val="00134B63"/>
    <w:rsid w:val="00142250"/>
    <w:rsid w:val="001425D4"/>
    <w:rsid w:val="00142889"/>
    <w:rsid w:val="001445C6"/>
    <w:rsid w:val="00150380"/>
    <w:rsid w:val="001534CD"/>
    <w:rsid w:val="00157272"/>
    <w:rsid w:val="001579DE"/>
    <w:rsid w:val="00160AAF"/>
    <w:rsid w:val="00160DA3"/>
    <w:rsid w:val="00161198"/>
    <w:rsid w:val="0016162F"/>
    <w:rsid w:val="00165631"/>
    <w:rsid w:val="00165E8D"/>
    <w:rsid w:val="00172BC9"/>
    <w:rsid w:val="00172E00"/>
    <w:rsid w:val="00173197"/>
    <w:rsid w:val="00174E14"/>
    <w:rsid w:val="00175FB2"/>
    <w:rsid w:val="001772E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A5D"/>
    <w:rsid w:val="001C3D2D"/>
    <w:rsid w:val="001C5B93"/>
    <w:rsid w:val="001C6970"/>
    <w:rsid w:val="001C6A04"/>
    <w:rsid w:val="001C6FFE"/>
    <w:rsid w:val="001D38E3"/>
    <w:rsid w:val="001D7E7E"/>
    <w:rsid w:val="001E070B"/>
    <w:rsid w:val="001E1640"/>
    <w:rsid w:val="001E224A"/>
    <w:rsid w:val="001E2B82"/>
    <w:rsid w:val="001E5F4A"/>
    <w:rsid w:val="001E5FE3"/>
    <w:rsid w:val="001E790D"/>
    <w:rsid w:val="001E7FD9"/>
    <w:rsid w:val="001F0608"/>
    <w:rsid w:val="001F1944"/>
    <w:rsid w:val="001F3919"/>
    <w:rsid w:val="001F45F9"/>
    <w:rsid w:val="001F47C9"/>
    <w:rsid w:val="001F6548"/>
    <w:rsid w:val="001F6561"/>
    <w:rsid w:val="001F6B95"/>
    <w:rsid w:val="001F6C5E"/>
    <w:rsid w:val="002004C1"/>
    <w:rsid w:val="00200666"/>
    <w:rsid w:val="002076B9"/>
    <w:rsid w:val="00210175"/>
    <w:rsid w:val="00216C06"/>
    <w:rsid w:val="00217228"/>
    <w:rsid w:val="0022051F"/>
    <w:rsid w:val="00221191"/>
    <w:rsid w:val="00226760"/>
    <w:rsid w:val="0022776D"/>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1946"/>
    <w:rsid w:val="002C21FB"/>
    <w:rsid w:val="002C61D6"/>
    <w:rsid w:val="002C67F1"/>
    <w:rsid w:val="002C76B0"/>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88E"/>
    <w:rsid w:val="00380BA2"/>
    <w:rsid w:val="00380FD6"/>
    <w:rsid w:val="00384572"/>
    <w:rsid w:val="00384704"/>
    <w:rsid w:val="00385131"/>
    <w:rsid w:val="00392643"/>
    <w:rsid w:val="0039413C"/>
    <w:rsid w:val="00396D54"/>
    <w:rsid w:val="00397975"/>
    <w:rsid w:val="003A1639"/>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3CA9"/>
    <w:rsid w:val="004C6C0C"/>
    <w:rsid w:val="004D12E2"/>
    <w:rsid w:val="004D134F"/>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C04C0"/>
    <w:rsid w:val="005C1D39"/>
    <w:rsid w:val="005C236E"/>
    <w:rsid w:val="005C3851"/>
    <w:rsid w:val="005C437E"/>
    <w:rsid w:val="005C5BD2"/>
    <w:rsid w:val="005C6090"/>
    <w:rsid w:val="005C7E1E"/>
    <w:rsid w:val="005D2021"/>
    <w:rsid w:val="005D4E9C"/>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14A5"/>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5AF7"/>
    <w:rsid w:val="007263F1"/>
    <w:rsid w:val="00730A6E"/>
    <w:rsid w:val="00731CEE"/>
    <w:rsid w:val="0073323F"/>
    <w:rsid w:val="00733FE7"/>
    <w:rsid w:val="00736420"/>
    <w:rsid w:val="00740BBE"/>
    <w:rsid w:val="00741805"/>
    <w:rsid w:val="00741911"/>
    <w:rsid w:val="007438D6"/>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0BEF"/>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7F59FD"/>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77495"/>
    <w:rsid w:val="0088316A"/>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B4E"/>
    <w:rsid w:val="008A5AC8"/>
    <w:rsid w:val="008A71D6"/>
    <w:rsid w:val="008B0566"/>
    <w:rsid w:val="008B19EA"/>
    <w:rsid w:val="008B1B38"/>
    <w:rsid w:val="008B43FC"/>
    <w:rsid w:val="008B47EC"/>
    <w:rsid w:val="008B4A1C"/>
    <w:rsid w:val="008B5B48"/>
    <w:rsid w:val="008B5E3E"/>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2BFA"/>
    <w:rsid w:val="0095472C"/>
    <w:rsid w:val="009566CF"/>
    <w:rsid w:val="00961136"/>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1F8D"/>
    <w:rsid w:val="009D246C"/>
    <w:rsid w:val="009D66A3"/>
    <w:rsid w:val="009D7EA1"/>
    <w:rsid w:val="009E36CC"/>
    <w:rsid w:val="009E4110"/>
    <w:rsid w:val="009E593D"/>
    <w:rsid w:val="009F04DB"/>
    <w:rsid w:val="009F08F0"/>
    <w:rsid w:val="009F15F3"/>
    <w:rsid w:val="009F1806"/>
    <w:rsid w:val="009F1C29"/>
    <w:rsid w:val="009F371D"/>
    <w:rsid w:val="009F447B"/>
    <w:rsid w:val="009F4C1F"/>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233E"/>
    <w:rsid w:val="00A64C8D"/>
    <w:rsid w:val="00A65D9C"/>
    <w:rsid w:val="00A67082"/>
    <w:rsid w:val="00A67239"/>
    <w:rsid w:val="00A6741F"/>
    <w:rsid w:val="00A706E8"/>
    <w:rsid w:val="00A712B9"/>
    <w:rsid w:val="00A71A98"/>
    <w:rsid w:val="00A7247E"/>
    <w:rsid w:val="00A72BE9"/>
    <w:rsid w:val="00A7596C"/>
    <w:rsid w:val="00A8019C"/>
    <w:rsid w:val="00A81D26"/>
    <w:rsid w:val="00A87836"/>
    <w:rsid w:val="00A878AA"/>
    <w:rsid w:val="00A94594"/>
    <w:rsid w:val="00A949CC"/>
    <w:rsid w:val="00A94ADA"/>
    <w:rsid w:val="00A95F4B"/>
    <w:rsid w:val="00AA0239"/>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2168"/>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6C6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0F38"/>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E702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10AF"/>
    <w:rsid w:val="00CB54A3"/>
    <w:rsid w:val="00CB73EE"/>
    <w:rsid w:val="00CB7FC9"/>
    <w:rsid w:val="00CC0B11"/>
    <w:rsid w:val="00CC2473"/>
    <w:rsid w:val="00CC29E3"/>
    <w:rsid w:val="00CC3D8D"/>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6B37"/>
    <w:rsid w:val="00D47690"/>
    <w:rsid w:val="00D47E96"/>
    <w:rsid w:val="00D510A7"/>
    <w:rsid w:val="00D51251"/>
    <w:rsid w:val="00D534D7"/>
    <w:rsid w:val="00D5508C"/>
    <w:rsid w:val="00D556C4"/>
    <w:rsid w:val="00D565D6"/>
    <w:rsid w:val="00D60710"/>
    <w:rsid w:val="00D64215"/>
    <w:rsid w:val="00D6584B"/>
    <w:rsid w:val="00D71D6F"/>
    <w:rsid w:val="00D74DF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5F"/>
    <w:rsid w:val="00DC59B7"/>
    <w:rsid w:val="00DC5CE9"/>
    <w:rsid w:val="00DD02A1"/>
    <w:rsid w:val="00DD041A"/>
    <w:rsid w:val="00DD2566"/>
    <w:rsid w:val="00DD503F"/>
    <w:rsid w:val="00DD5D07"/>
    <w:rsid w:val="00DD5FFC"/>
    <w:rsid w:val="00DE020C"/>
    <w:rsid w:val="00DF11CE"/>
    <w:rsid w:val="00DF2A69"/>
    <w:rsid w:val="00DF3E9D"/>
    <w:rsid w:val="00DF458D"/>
    <w:rsid w:val="00DF50C8"/>
    <w:rsid w:val="00E02D36"/>
    <w:rsid w:val="00E0579B"/>
    <w:rsid w:val="00E05C84"/>
    <w:rsid w:val="00E1022B"/>
    <w:rsid w:val="00E11A7B"/>
    <w:rsid w:val="00E1220C"/>
    <w:rsid w:val="00E1264E"/>
    <w:rsid w:val="00E1407B"/>
    <w:rsid w:val="00E15BA0"/>
    <w:rsid w:val="00E15F6B"/>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2FB7"/>
    <w:rsid w:val="00F9520A"/>
    <w:rsid w:val="00F95790"/>
    <w:rsid w:val="00F95D2D"/>
    <w:rsid w:val="00FA16E4"/>
    <w:rsid w:val="00FA184A"/>
    <w:rsid w:val="00FA33E1"/>
    <w:rsid w:val="00FA3A20"/>
    <w:rsid w:val="00FA4AA1"/>
    <w:rsid w:val="00FA5E4D"/>
    <w:rsid w:val="00FA6142"/>
    <w:rsid w:val="00FB0EFF"/>
    <w:rsid w:val="00FB5461"/>
    <w:rsid w:val="00FB56B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127E"/>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lev">
    <w:name w:val="Strong"/>
    <w:basedOn w:val="Policepardfaut"/>
    <w:uiPriority w:val="22"/>
    <w:qFormat/>
    <w:rsid w:val="00F92F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774717061">
      <w:bodyDiv w:val="1"/>
      <w:marLeft w:val="0"/>
      <w:marRight w:val="0"/>
      <w:marTop w:val="0"/>
      <w:marBottom w:val="0"/>
      <w:divBdr>
        <w:top w:val="none" w:sz="0" w:space="0" w:color="auto"/>
        <w:left w:val="none" w:sz="0" w:space="0" w:color="auto"/>
        <w:bottom w:val="none" w:sz="0" w:space="0" w:color="auto"/>
        <w:right w:val="none" w:sz="0" w:space="0" w:color="auto"/>
      </w:divBdr>
    </w:div>
    <w:div w:id="910502088">
      <w:bodyDiv w:val="1"/>
      <w:marLeft w:val="0"/>
      <w:marRight w:val="0"/>
      <w:marTop w:val="0"/>
      <w:marBottom w:val="0"/>
      <w:divBdr>
        <w:top w:val="none" w:sz="0" w:space="0" w:color="auto"/>
        <w:left w:val="none" w:sz="0" w:space="0" w:color="auto"/>
        <w:bottom w:val="none" w:sz="0" w:space="0" w:color="auto"/>
        <w:right w:val="none" w:sz="0" w:space="0" w:color="auto"/>
      </w:divBdr>
    </w:div>
    <w:div w:id="1061320583">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39520251">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thilde.cahen@onf.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catherine.lepetit@onf.fr" TargetMode="External"/><Relationship Id="rId4" Type="http://schemas.openxmlformats.org/officeDocument/2006/relationships/webSettings" Target="webSettings.xml"/><Relationship Id="rId9" Type="http://schemas.openxmlformats.org/officeDocument/2006/relationships/hyperlink" Target="mailto:catherine.lepeti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2383</Words>
  <Characters>15554</Characters>
  <Application>Microsoft Office Word</Application>
  <DocSecurity>0</DocSecurity>
  <Lines>129</Lines>
  <Paragraphs>35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VIALARET Florence</cp:lastModifiedBy>
  <cp:revision>2</cp:revision>
  <cp:lastPrinted>2025-05-06T09:20:00Z</cp:lastPrinted>
  <dcterms:created xsi:type="dcterms:W3CDTF">2025-05-15T13:38:00Z</dcterms:created>
  <dcterms:modified xsi:type="dcterms:W3CDTF">2025-05-15T13:38:00Z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