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7777777" w:rsidR="00E05D7E" w:rsidRPr="00332ABA" w:rsidRDefault="00E05D7E" w:rsidP="00E05D7E">
      <w:pPr>
        <w:jc w:val="center"/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inline distT="0" distB="0" distL="0" distR="0" wp14:anchorId="4914B710" wp14:editId="3ABFB495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167A" w14:textId="77777777" w:rsidR="00E05D7E" w:rsidRDefault="00E05D7E" w:rsidP="00E05D7E">
      <w:pPr>
        <w:rPr>
          <w:rFonts w:cs="Arial"/>
          <w:szCs w:val="24"/>
        </w:rPr>
      </w:pP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614384FA" w14:textId="65B52FEF" w:rsidR="00E05D7E" w:rsidRPr="00EE283B" w:rsidRDefault="00613CC4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77777777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>
        <w:rPr>
          <w:rFonts w:cs="Arial"/>
          <w:b/>
          <w:smallCaps/>
          <w:sz w:val="36"/>
          <w:szCs w:val="36"/>
        </w:rPr>
        <w:t>01R/2025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32D09142" w14:textId="77777777" w:rsidR="00E05D7E" w:rsidRDefault="00E05D7E" w:rsidP="00E05D7E">
      <w:pPr>
        <w:jc w:val="center"/>
        <w:rPr>
          <w:rFonts w:cs="Arial"/>
          <w:b/>
          <w:smallCaps/>
          <w:sz w:val="32"/>
          <w:szCs w:val="32"/>
        </w:rPr>
      </w:pPr>
    </w:p>
    <w:p w14:paraId="06615551" w14:textId="77777777" w:rsidR="00E05D7E" w:rsidRPr="000D2A39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0D2A39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5F12AAB6" w14:textId="77777777" w:rsidR="00E05D7E" w:rsidRPr="000D2A39" w:rsidRDefault="00E05D7E" w:rsidP="00E05D7E">
      <w:pPr>
        <w:jc w:val="center"/>
        <w:rPr>
          <w:rFonts w:cs="Arial"/>
          <w:color w:val="00B050"/>
          <w:sz w:val="36"/>
          <w:szCs w:val="36"/>
        </w:rPr>
      </w:pPr>
    </w:p>
    <w:p w14:paraId="6A2C0159" w14:textId="77777777" w:rsidR="00E05D7E" w:rsidRPr="000D2A39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0D2A39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353CAF7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7425276C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0071DA6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2AD4727E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BDDC850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665A8D9F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3AF80C2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90279B5" w14:textId="77777777" w:rsidR="00E05D7E" w:rsidRPr="00332ABA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71E6BBAC" w14:textId="77777777" w:rsidR="00613CC4" w:rsidRDefault="00422112" w:rsidP="00E05D7E">
      <w:pPr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(</w:t>
      </w:r>
      <w:r w:rsidR="00613CC4">
        <w:rPr>
          <w:rFonts w:cs="Arial"/>
          <w:b/>
          <w:i/>
          <w:szCs w:val="24"/>
        </w:rPr>
        <w:t>A</w:t>
      </w:r>
      <w:r>
        <w:rPr>
          <w:rFonts w:cs="Arial"/>
          <w:b/>
          <w:i/>
          <w:szCs w:val="24"/>
        </w:rPr>
        <w:t>rticles L2124-2, R2124-1 et R2124-2 1°, R2161-2 à R</w:t>
      </w:r>
      <w:r w:rsidR="00E05D7E" w:rsidRPr="00332ABA">
        <w:rPr>
          <w:rFonts w:cs="Arial"/>
          <w:b/>
          <w:i/>
          <w:szCs w:val="24"/>
        </w:rPr>
        <w:t>2161-5</w:t>
      </w:r>
    </w:p>
    <w:p w14:paraId="3F03BAAB" w14:textId="7B150ED3" w:rsidR="00E05D7E" w:rsidRPr="00332ABA" w:rsidRDefault="00E05D7E" w:rsidP="00E05D7E">
      <w:pPr>
        <w:jc w:val="center"/>
        <w:rPr>
          <w:rFonts w:cs="Arial"/>
          <w:b/>
          <w:i/>
          <w:szCs w:val="24"/>
        </w:rPr>
      </w:pPr>
      <w:r w:rsidRPr="00332ABA">
        <w:rPr>
          <w:rFonts w:cs="Arial"/>
          <w:b/>
          <w:i/>
          <w:szCs w:val="24"/>
        </w:rPr>
        <w:t>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7D3CBD" w:rsidRPr="00332ABA" w14:paraId="4E801E0B" w14:textId="77777777" w:rsidTr="00121EF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689743F3" w:rsidR="007D3CBD" w:rsidRPr="00280B92" w:rsidRDefault="007D3CBD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0B015FF3" w14:textId="1626CA1B" w:rsidR="007D3CBD" w:rsidRPr="00280B92" w:rsidRDefault="007D3CBD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4ECAA09A" w14:textId="2B03B4D9" w:rsidR="007D3CBD" w:rsidRPr="00280B92" w:rsidRDefault="007D3CBD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 xml:space="preserve">Désignation des membres </w:t>
            </w: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br/>
              <w:t xml:space="preserve">du groupement </w:t>
            </w:r>
          </w:p>
        </w:tc>
      </w:tr>
      <w:tr w:rsidR="007D3CBD" w:rsidRPr="00332ABA" w14:paraId="5061FDDE" w14:textId="77777777" w:rsidTr="00121EFA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00E6FA40" w:rsidR="007D3CBD" w:rsidRPr="00280B92" w:rsidRDefault="007D3CBD" w:rsidP="007D3CBD">
            <w:pPr>
              <w:jc w:val="center"/>
              <w:rPr>
                <w:rFonts w:cs="Arial"/>
                <w:szCs w:val="24"/>
              </w:rPr>
            </w:pPr>
            <w:r w:rsidRPr="00335244">
              <w:rPr>
                <w:rFonts w:cs="Arial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386F7" w14:textId="04D34A1B" w:rsidR="007D3CBD" w:rsidRPr="00280B92" w:rsidRDefault="007D3CBD" w:rsidP="007D3CBD">
            <w:pPr>
              <w:jc w:val="center"/>
              <w:rPr>
                <w:rFonts w:cs="Arial"/>
                <w:szCs w:val="24"/>
              </w:rPr>
            </w:pPr>
            <w:r w:rsidRPr="00335244">
              <w:rPr>
                <w:rFonts w:cs="Arial"/>
                <w:szCs w:val="24"/>
              </w:rPr>
              <w:t>Hainaut</w:t>
            </w:r>
          </w:p>
        </w:tc>
        <w:tc>
          <w:tcPr>
            <w:tcW w:w="5916" w:type="dxa"/>
            <w:vAlign w:val="center"/>
          </w:tcPr>
          <w:p w14:paraId="7DCD8486" w14:textId="6C4A4574" w:rsidR="007D3CBD" w:rsidRPr="00280B92" w:rsidRDefault="007D3CBD" w:rsidP="007D3CBD">
            <w:pPr>
              <w:jc w:val="center"/>
              <w:rPr>
                <w:rFonts w:cs="Arial"/>
                <w:szCs w:val="24"/>
              </w:rPr>
            </w:pPr>
            <w:r w:rsidRPr="00335244">
              <w:rPr>
                <w:rFonts w:cs="Arial"/>
                <w:szCs w:val="24"/>
              </w:rPr>
              <w:t xml:space="preserve">CPAM du HAINAUT </w:t>
            </w:r>
            <w:r w:rsidRPr="00335244">
              <w:rPr>
                <w:rFonts w:cs="Arial"/>
                <w:szCs w:val="24"/>
              </w:rPr>
              <w:br/>
            </w:r>
            <w:r w:rsidRPr="00335244">
              <w:rPr>
                <w:rFonts w:cs="Arial"/>
                <w:i/>
                <w:iCs/>
                <w:szCs w:val="24"/>
              </w:rPr>
              <w:t>(Coordonnateur du groupement de commandes)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2E0D5741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E05D7E" w:rsidRPr="00833CD2">
        <w:rPr>
          <w:rFonts w:cs="Tahoma,Bold"/>
          <w:bCs/>
          <w:szCs w:val="24"/>
        </w:rPr>
        <w:t xml:space="preserve">expérience. 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60086BEF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7D3CBD">
        <w:rPr>
          <w:rFonts w:cs="Verdana"/>
          <w:b/>
          <w:color w:val="92D050"/>
          <w:szCs w:val="24"/>
        </w:rPr>
        <w:t>01-AE-Lot4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1C84B9CD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B00902">
        <w:rPr>
          <w:rFonts w:eastAsia="Calibri"/>
          <w:i/>
        </w:rPr>
        <w:t>2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296CE1A4" w14:textId="41A0B948" w:rsidR="00D82626" w:rsidRDefault="007D708A" w:rsidP="007D708A">
      <w:pPr>
        <w:autoSpaceDE w:val="0"/>
        <w:autoSpaceDN w:val="0"/>
        <w:adjustRightInd w:val="0"/>
        <w:ind w:left="-709" w:right="-567"/>
        <w:jc w:val="both"/>
      </w:pPr>
      <w:r>
        <w:t>Le candidat fournira, ci-dessous ou en pièce jointe, le détail des opérations prévues dans le plan de maintenance préventive pour chaque type d’installation.</w:t>
      </w:r>
    </w:p>
    <w:p w14:paraId="4DF0DE9D" w14:textId="77777777" w:rsidR="007D708A" w:rsidRPr="00BF5B10" w:rsidRDefault="007D708A" w:rsidP="007D708A">
      <w:pPr>
        <w:autoSpaceDE w:val="0"/>
        <w:autoSpaceDN w:val="0"/>
        <w:adjustRightInd w:val="0"/>
        <w:ind w:left="-709" w:right="-567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1814"/>
        <w:gridCol w:w="9385"/>
      </w:tblGrid>
      <w:tr w:rsidR="00D82626" w:rsidRPr="00BF5B10" w14:paraId="5B49B879" w14:textId="77777777" w:rsidTr="00ED6755">
        <w:trPr>
          <w:trHeight w:val="1848"/>
        </w:trPr>
        <w:tc>
          <w:tcPr>
            <w:tcW w:w="173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1918CF" w14:textId="77777777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>Type d’installation</w:t>
            </w:r>
          </w:p>
        </w:tc>
        <w:tc>
          <w:tcPr>
            <w:tcW w:w="9469" w:type="dxa"/>
            <w:shd w:val="clear" w:color="auto" w:fill="002060"/>
            <w:vAlign w:val="center"/>
          </w:tcPr>
          <w:p w14:paraId="4AD99AEF" w14:textId="7D60795B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Le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,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doit préciser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  <w:p w14:paraId="1919A595" w14:textId="555271C0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opérations/actions à réaliser</w:t>
            </w:r>
          </w:p>
          <w:p w14:paraId="07F2080B" w14:textId="5334754F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 objectifs et les moyens à atteindre</w:t>
            </w:r>
          </w:p>
          <w:p w14:paraId="6B2B4956" w14:textId="55B803EE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 xml:space="preserve">Les méthodes 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mise en œuvre pour mener à bien le </w:t>
            </w:r>
            <w:r w:rsidRPr="00A04488">
              <w:rPr>
                <w:rFonts w:cs="Arial"/>
                <w:i/>
                <w:sz w:val="22"/>
                <w:szCs w:val="22"/>
              </w:rPr>
              <w:t>plan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d’entretien et de maintenance</w:t>
            </w:r>
          </w:p>
          <w:p w14:paraId="76A9630C" w14:textId="77777777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  <w:u w:val="single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Ainsi que les normes qui précisent les conditions techniques de bonne exécution des ouvrages qui s’y rattachent.</w:t>
            </w:r>
          </w:p>
        </w:tc>
      </w:tr>
      <w:tr w:rsidR="00D82626" w:rsidRPr="00BF5B10" w14:paraId="353E994B" w14:textId="77777777" w:rsidTr="00ED6755">
        <w:trPr>
          <w:trHeight w:val="2344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636D033" w14:textId="45C40A9E" w:rsidR="00D82626" w:rsidRPr="00A04488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mallCaps/>
                <w:szCs w:val="24"/>
                <w:highlight w:val="red"/>
                <w:u w:val="single"/>
              </w:rPr>
            </w:pPr>
            <w:r>
              <w:rPr>
                <w:rFonts w:cs="Arial"/>
                <w:smallCaps/>
                <w:szCs w:val="24"/>
              </w:rPr>
              <w:t>Porte sectionnelle</w:t>
            </w:r>
          </w:p>
        </w:tc>
        <w:tc>
          <w:tcPr>
            <w:tcW w:w="9469" w:type="dxa"/>
            <w:vAlign w:val="center"/>
          </w:tcPr>
          <w:p w14:paraId="6FDE10FC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6D69B73E" w14:textId="77777777" w:rsidTr="00ED6755">
        <w:trPr>
          <w:trHeight w:val="2531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D8BB4ED" w14:textId="3F675EE4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rideau métallique</w:t>
            </w:r>
          </w:p>
        </w:tc>
        <w:tc>
          <w:tcPr>
            <w:tcW w:w="9469" w:type="dxa"/>
            <w:vAlign w:val="center"/>
          </w:tcPr>
          <w:p w14:paraId="33A8CA68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56270412" w14:textId="77777777" w:rsidTr="00ED6755">
        <w:trPr>
          <w:trHeight w:val="253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0BA7BFF6" w14:textId="2015227B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portail</w:t>
            </w:r>
          </w:p>
        </w:tc>
        <w:tc>
          <w:tcPr>
            <w:tcW w:w="9469" w:type="dxa"/>
            <w:vAlign w:val="center"/>
          </w:tcPr>
          <w:p w14:paraId="3D7BEC5A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ED6755">
        <w:trPr>
          <w:trHeight w:val="252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68710265" w14:textId="75FE0C2A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barrière levante</w:t>
            </w:r>
          </w:p>
        </w:tc>
        <w:tc>
          <w:tcPr>
            <w:tcW w:w="9469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A612420" w14:textId="77777777" w:rsidTr="00ED6755">
        <w:trPr>
          <w:trHeight w:val="2405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4F2A7328" w14:textId="50263FE2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porte piétonne</w:t>
            </w:r>
          </w:p>
        </w:tc>
        <w:tc>
          <w:tcPr>
            <w:tcW w:w="9469" w:type="dxa"/>
            <w:vAlign w:val="center"/>
          </w:tcPr>
          <w:p w14:paraId="2A90A6F1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0D51F825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13.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04CCF3F8" w14:textId="77777777" w:rsidR="00E05D7E" w:rsidRPr="00CC09AF" w:rsidRDefault="00E05D7E" w:rsidP="00E05D7E">
      <w:pPr>
        <w:autoSpaceDE w:val="0"/>
        <w:autoSpaceDN w:val="0"/>
        <w:adjustRightInd w:val="0"/>
        <w:ind w:left="930"/>
        <w:contextualSpacing/>
        <w:rPr>
          <w:rFonts w:cs="Arial"/>
          <w:b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2410"/>
      </w:tblGrid>
      <w:tr w:rsidR="00E05D7E" w:rsidRPr="009157AA" w14:paraId="32015512" w14:textId="77777777" w:rsidTr="00952867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5B81FA0" w14:textId="391871D6" w:rsidR="00E05D7E" w:rsidRPr="009157AA" w:rsidRDefault="00E05D7E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9157A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Délai  d’intervention</w:t>
            </w: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 xml:space="preserve"> </w:t>
            </w:r>
            <w:r w:rsidR="00B00902" w:rsidRPr="00B00902">
              <w:rPr>
                <w:rFonts w:cs="Arial"/>
                <w:b/>
                <w:bCs/>
                <w:iCs/>
                <w:color w:val="FF0000"/>
                <w:szCs w:val="24"/>
              </w:rPr>
              <w:t xml:space="preserve"> URGENT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20F3F" w14:textId="77777777" w:rsidR="00E05D7E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A préciser</w:t>
            </w:r>
          </w:p>
          <w:p w14:paraId="3B2FC0B9" w14:textId="6652CD62" w:rsidR="00E05D7E" w:rsidRPr="00F71C6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F71C60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En heure ouvrées</w:t>
            </w:r>
            <w:r w:rsidR="0033422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*</w:t>
            </w:r>
          </w:p>
        </w:tc>
      </w:tr>
      <w:tr w:rsidR="00B00902" w:rsidRPr="009157AA" w14:paraId="3505B04F" w14:textId="77777777" w:rsidTr="00DA72A5">
        <w:trPr>
          <w:trHeight w:val="3488"/>
        </w:trPr>
        <w:tc>
          <w:tcPr>
            <w:tcW w:w="8648" w:type="dxa"/>
            <w:vAlign w:val="center"/>
          </w:tcPr>
          <w:p w14:paraId="1B9F4C52" w14:textId="77777777" w:rsidR="001C15FE" w:rsidRDefault="001C15FE" w:rsidP="001C15FE">
            <w:pPr>
              <w:rPr>
                <w:b/>
                <w:sz w:val="22"/>
                <w:szCs w:val="22"/>
              </w:rPr>
            </w:pPr>
            <w:r w:rsidRPr="00921955">
              <w:rPr>
                <w:b/>
                <w:sz w:val="22"/>
                <w:szCs w:val="22"/>
              </w:rPr>
              <w:t>Panne complète ou défauts impactant la sécurité</w:t>
            </w:r>
            <w:r>
              <w:rPr>
                <w:b/>
                <w:sz w:val="22"/>
                <w:szCs w:val="22"/>
              </w:rPr>
              <w:t> :</w:t>
            </w:r>
          </w:p>
          <w:p w14:paraId="493F9658" w14:textId="77777777" w:rsidR="001C15FE" w:rsidRPr="00D85FA4" w:rsidRDefault="001C15FE" w:rsidP="001C15FE">
            <w:pPr>
              <w:rPr>
                <w:sz w:val="10"/>
                <w:szCs w:val="10"/>
              </w:rPr>
            </w:pPr>
          </w:p>
          <w:p w14:paraId="27777C6C" w14:textId="77777777" w:rsidR="001C15FE" w:rsidRPr="00921955" w:rsidRDefault="001C15FE" w:rsidP="001C15FE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Risque pour la sécurité des personnes et des biens, </w:t>
            </w:r>
            <w:r w:rsidRPr="00B23ABB">
              <w:rPr>
                <w:sz w:val="22"/>
                <w:szCs w:val="22"/>
              </w:rPr>
              <w:t xml:space="preserve">notamment en cas de danger lié à l’installation </w:t>
            </w:r>
            <w:r w:rsidRPr="00D85FA4">
              <w:rPr>
                <w:i/>
                <w:sz w:val="22"/>
                <w:szCs w:val="22"/>
              </w:rPr>
              <w:t xml:space="preserve">(chute, électrocution, etc.). </w:t>
            </w:r>
          </w:p>
          <w:p w14:paraId="2DECF588" w14:textId="77777777" w:rsidR="001C15FE" w:rsidRPr="00921955" w:rsidRDefault="001C15FE" w:rsidP="001C15FE">
            <w:pPr>
              <w:pStyle w:val="Paragraphedeliste"/>
              <w:ind w:left="312"/>
              <w:rPr>
                <w:sz w:val="10"/>
                <w:szCs w:val="10"/>
              </w:rPr>
            </w:pPr>
          </w:p>
          <w:p w14:paraId="76942204" w14:textId="77777777" w:rsidR="001C15FE" w:rsidRDefault="001C15FE" w:rsidP="001C15FE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Nécessité de fermeture et de sécurisation des sites </w:t>
            </w:r>
            <w:r w:rsidRPr="00921955">
              <w:rPr>
                <w:sz w:val="22"/>
                <w:szCs w:val="22"/>
              </w:rPr>
              <w:t>dans des conditions acceptables.</w:t>
            </w:r>
          </w:p>
          <w:p w14:paraId="2BE9FBD3" w14:textId="77777777" w:rsidR="001C15FE" w:rsidRPr="00921955" w:rsidRDefault="001C15FE" w:rsidP="001C15FE">
            <w:pPr>
              <w:pStyle w:val="Paragraphedeliste"/>
              <w:rPr>
                <w:sz w:val="22"/>
                <w:szCs w:val="22"/>
              </w:rPr>
            </w:pPr>
          </w:p>
          <w:p w14:paraId="78296189" w14:textId="4A6E979B" w:rsidR="00B00902" w:rsidRPr="00B00902" w:rsidRDefault="001C15FE" w:rsidP="001C15FE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>Sinistre nécessitant une action rapide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FC857" w14:textId="77777777" w:rsidR="00B00902" w:rsidRPr="009157AA" w:rsidRDefault="00B00902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highlight w:val="green"/>
                <w:u w:val="single"/>
              </w:rPr>
            </w:pPr>
          </w:p>
        </w:tc>
      </w:tr>
    </w:tbl>
    <w:p w14:paraId="1E6FB7BA" w14:textId="77777777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>en heures ouvrées</w:t>
      </w:r>
      <w:r w:rsidRPr="00CC09AF">
        <w:rPr>
          <w:i/>
          <w:sz w:val="22"/>
          <w:szCs w:val="22"/>
        </w:rPr>
        <w:t>.</w:t>
      </w:r>
    </w:p>
    <w:p w14:paraId="3649A675" w14:textId="2F4252D0" w:rsidR="00E05D7E" w:rsidRPr="00CC09AF" w:rsidRDefault="00066A8C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b/>
          <w:i/>
          <w:sz w:val="22"/>
          <w:szCs w:val="22"/>
          <w:u w:val="single"/>
        </w:rPr>
        <w:t>Précision</w:t>
      </w:r>
      <w:r w:rsidRPr="00CC09AF">
        <w:rPr>
          <w:i/>
          <w:sz w:val="22"/>
          <w:szCs w:val="22"/>
        </w:rPr>
        <w:t xml:space="preserve"> : </w:t>
      </w:r>
      <w:r w:rsidR="00B00902" w:rsidRPr="00CC09AF">
        <w:rPr>
          <w:i/>
          <w:sz w:val="22"/>
          <w:szCs w:val="22"/>
        </w:rPr>
        <w:t xml:space="preserve">En dehors des heures ouvrées, un délai d’intervention de </w:t>
      </w:r>
      <w:r w:rsidR="00DA72A5" w:rsidRPr="00CC09AF">
        <w:rPr>
          <w:i/>
          <w:sz w:val="22"/>
          <w:szCs w:val="22"/>
        </w:rPr>
        <w:t>2 heures maximum à compter de la demande d’intervention est exigé par l’Acheteur à l’article 13.2 du CCP.</w:t>
      </w:r>
      <w:r w:rsidR="00B00902" w:rsidRPr="00CC09AF">
        <w:rPr>
          <w:i/>
          <w:sz w:val="22"/>
          <w:szCs w:val="22"/>
        </w:rPr>
        <w:t xml:space="preserve"> </w:t>
      </w:r>
    </w:p>
    <w:p w14:paraId="79547D5B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45FAD4D" w:rsidR="00E05D7E" w:rsidRPr="00DA72A5" w:rsidRDefault="00E05D7E" w:rsidP="00CE5011">
      <w:pPr>
        <w:pStyle w:val="Titre1"/>
        <w:numPr>
          <w:ilvl w:val="0"/>
          <w:numId w:val="14"/>
        </w:numPr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13.3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7239374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>i, que le délai de 5 jours ouvrés à compter de la réception du bon de commande prévu à l’article 13.3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CB34E58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01B071E8" w:rsidR="00CC09AF" w:rsidRDefault="00E30670" w:rsidP="00CC09AF">
      <w:pPr>
        <w:pStyle w:val="Titre"/>
        <w:numPr>
          <w:ilvl w:val="0"/>
          <w:numId w:val="14"/>
        </w:numPr>
        <w:ind w:left="-567" w:right="-993"/>
      </w:pPr>
      <w:r>
        <w:t>Audit technique (Article 14.1.4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0240E1">
        <w:trPr>
          <w:trHeight w:val="3951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77777777" w:rsidR="00E30670" w:rsidRDefault="00E30670" w:rsidP="00E30670">
      <w:pPr>
        <w:spacing w:after="160" w:line="259" w:lineRule="auto"/>
      </w:pPr>
    </w:p>
    <w:p w14:paraId="41FEAFD2" w14:textId="7F4954AD" w:rsidR="00952867" w:rsidRPr="00E30670" w:rsidRDefault="00952867" w:rsidP="00CE5011">
      <w:pPr>
        <w:pStyle w:val="Titre1"/>
        <w:numPr>
          <w:ilvl w:val="0"/>
          <w:numId w:val="14"/>
        </w:numPr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14.5.1 du CCP)</w:t>
      </w:r>
    </w:p>
    <w:p w14:paraId="62ABF204" w14:textId="77777777" w:rsidR="00952867" w:rsidRDefault="00952867" w:rsidP="00952867">
      <w:pPr>
        <w:ind w:left="-993"/>
      </w:pPr>
    </w:p>
    <w:p w14:paraId="59B360CB" w14:textId="0ED159F1" w:rsidR="00952867" w:rsidRDefault="007D708A" w:rsidP="00952867">
      <w:pPr>
        <w:ind w:left="-851" w:right="-993"/>
        <w:jc w:val="both"/>
      </w:pPr>
      <w:r w:rsidRPr="007D708A">
        <w:t xml:space="preserve">Le candidat, </w:t>
      </w:r>
      <w:r w:rsidRPr="007D708A">
        <w:rPr>
          <w:b/>
        </w:rPr>
        <w:t>S'IL EN DISPOSE</w:t>
      </w:r>
      <w:r w:rsidRPr="007D708A">
        <w:t>, présente l’outil de traçabilité, de type GMAO ou site extranet, qu’il mettra à disposition de l’Acheteur pendant l’exécution du marché. Cet outil devra, au minimum, répondre aux exigences définies à l’article 14.5.1 A) du document CCP.</w:t>
      </w:r>
      <w:r w:rsidR="00952867" w:rsidRPr="000C0DB6">
        <w:t xml:space="preserve"> </w:t>
      </w:r>
    </w:p>
    <w:p w14:paraId="10743AEF" w14:textId="77777777" w:rsidR="007D708A" w:rsidRDefault="007D708A" w:rsidP="00952867">
      <w:pPr>
        <w:ind w:left="-851" w:right="-993"/>
        <w:jc w:val="both"/>
      </w:pP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72DE86A0" w:rsidR="00DA72A5" w:rsidRPr="00111BCC" w:rsidRDefault="00DA72A5" w:rsidP="00E30670">
      <w:pPr>
        <w:pStyle w:val="Titre"/>
        <w:numPr>
          <w:ilvl w:val="0"/>
          <w:numId w:val="14"/>
        </w:numPr>
        <w:ind w:left="-426" w:right="-993"/>
      </w:pPr>
      <w:r w:rsidRPr="00111BCC">
        <w:t>Pièces détachées et approvisionnement</w:t>
      </w:r>
      <w:r w:rsidR="00E30670">
        <w:t xml:space="preserve"> (Article 14.4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1ECC2ECB" w14:textId="4D532FDD" w:rsidR="00DA72A5" w:rsidRDefault="007D708A" w:rsidP="007D708A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0B600E46" w14:textId="77777777" w:rsidR="007D708A" w:rsidRPr="00CA545C" w:rsidRDefault="007D708A" w:rsidP="007D708A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73FEF94" w14:textId="6F639EBC" w:rsidR="00E05D7E" w:rsidRPr="00111BCC" w:rsidRDefault="00E30670" w:rsidP="00E30670">
      <w:pPr>
        <w:pStyle w:val="Titre"/>
        <w:numPr>
          <w:ilvl w:val="0"/>
          <w:numId w:val="14"/>
        </w:numPr>
        <w:ind w:left="-426" w:right="-1134"/>
      </w:pPr>
      <w:r>
        <w:lastRenderedPageBreak/>
        <w:t>Développement durable (Article 19.2 du CCP)</w:t>
      </w:r>
    </w:p>
    <w:p w14:paraId="7AD6ED55" w14:textId="77777777" w:rsidR="00E05D7E" w:rsidRPr="009157AA" w:rsidRDefault="00E05D7E" w:rsidP="00E05D7E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30648057" w14:textId="2E3F4322" w:rsidR="00D1574A" w:rsidRDefault="007D708A" w:rsidP="007D708A">
      <w:pPr>
        <w:autoSpaceDE w:val="0"/>
        <w:autoSpaceDN w:val="0"/>
        <w:adjustRightInd w:val="0"/>
        <w:ind w:left="-709" w:right="-851"/>
        <w:jc w:val="both"/>
      </w:pPr>
      <w:r>
        <w:t>Le candidat précise, pour les points suivants, les engagements et objectifs qu’il s’engage à respecter dans le cadre de l’exécution de l’accord-cadre.</w:t>
      </w:r>
    </w:p>
    <w:p w14:paraId="4BFF46F1" w14:textId="77777777" w:rsidR="007D708A" w:rsidRDefault="007D708A" w:rsidP="00D1574A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7D708A" w:rsidRPr="009157AA" w14:paraId="2DFA96A9" w14:textId="77777777" w:rsidTr="00DD620F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F790934" w14:textId="77777777" w:rsidR="007D708A" w:rsidRPr="00BA6159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6162FFC2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7D708A" w:rsidRPr="00165046" w14:paraId="2B03040E" w14:textId="77777777" w:rsidTr="00DD620F">
        <w:trPr>
          <w:trHeight w:val="493"/>
        </w:trPr>
        <w:tc>
          <w:tcPr>
            <w:tcW w:w="2552" w:type="dxa"/>
            <w:vMerge w:val="restart"/>
            <w:vAlign w:val="center"/>
          </w:tcPr>
          <w:p w14:paraId="01729B6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4C169C2" w14:textId="77777777" w:rsidR="007D708A" w:rsidRPr="00165046" w:rsidRDefault="007D708A" w:rsidP="00DD620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b/>
              </w:rPr>
              <w:t>Captures d’écran ou exportations du logiciel utilisé</w:t>
            </w:r>
          </w:p>
        </w:tc>
      </w:tr>
      <w:tr w:rsidR="007D708A" w:rsidRPr="009157AA" w14:paraId="7BFBE482" w14:textId="77777777" w:rsidTr="004B75CF">
        <w:trPr>
          <w:trHeight w:val="2048"/>
        </w:trPr>
        <w:tc>
          <w:tcPr>
            <w:tcW w:w="2552" w:type="dxa"/>
            <w:vMerge/>
            <w:vAlign w:val="center"/>
          </w:tcPr>
          <w:p w14:paraId="2DBF647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227EF7FA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38403BE4" w14:textId="77777777" w:rsidTr="00DD620F">
        <w:trPr>
          <w:trHeight w:val="736"/>
        </w:trPr>
        <w:tc>
          <w:tcPr>
            <w:tcW w:w="2552" w:type="dxa"/>
            <w:vMerge w:val="restart"/>
            <w:vAlign w:val="center"/>
          </w:tcPr>
          <w:p w14:paraId="097A37A5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30B559BC" w14:textId="77777777" w:rsidR="007D708A" w:rsidRPr="00165046" w:rsidRDefault="007D708A" w:rsidP="007D708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7D708A" w:rsidRPr="009157AA" w14:paraId="192CB6BC" w14:textId="77777777" w:rsidTr="004B75CF">
        <w:trPr>
          <w:trHeight w:val="2224"/>
        </w:trPr>
        <w:tc>
          <w:tcPr>
            <w:tcW w:w="2552" w:type="dxa"/>
            <w:vMerge/>
            <w:vAlign w:val="center"/>
          </w:tcPr>
          <w:p w14:paraId="13467552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10F75F3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3B4EC758" w14:textId="77777777" w:rsidTr="00DD620F">
        <w:trPr>
          <w:trHeight w:val="810"/>
        </w:trPr>
        <w:tc>
          <w:tcPr>
            <w:tcW w:w="2552" w:type="dxa"/>
            <w:vMerge w:val="restart"/>
            <w:vAlign w:val="center"/>
          </w:tcPr>
          <w:p w14:paraId="636AFA66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50C6D" w14:textId="77777777" w:rsidR="007D708A" w:rsidRPr="00165046" w:rsidRDefault="007D708A" w:rsidP="007D708A">
            <w:pPr>
              <w:pStyle w:val="Paragraphedeliste"/>
              <w:numPr>
                <w:ilvl w:val="0"/>
                <w:numId w:val="21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Certificats de recyclage ou valorisation des déchets</w:t>
            </w:r>
          </w:p>
          <w:p w14:paraId="348A5E42" w14:textId="77777777" w:rsidR="007D708A" w:rsidRPr="00165046" w:rsidRDefault="007D708A" w:rsidP="007D708A">
            <w:pPr>
              <w:pStyle w:val="Paragraphedeliste"/>
              <w:numPr>
                <w:ilvl w:val="0"/>
                <w:numId w:val="21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Registres de traçabilité des déchets</w:t>
            </w:r>
          </w:p>
        </w:tc>
      </w:tr>
      <w:tr w:rsidR="007D708A" w:rsidRPr="009157AA" w14:paraId="4CAEE9A1" w14:textId="77777777" w:rsidTr="004B75CF">
        <w:trPr>
          <w:trHeight w:val="2302"/>
        </w:trPr>
        <w:tc>
          <w:tcPr>
            <w:tcW w:w="2552" w:type="dxa"/>
            <w:vMerge/>
            <w:vAlign w:val="center"/>
          </w:tcPr>
          <w:p w14:paraId="58424BB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08A86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44658A13" w14:textId="77777777" w:rsidTr="00DD620F">
        <w:trPr>
          <w:trHeight w:val="645"/>
        </w:trPr>
        <w:tc>
          <w:tcPr>
            <w:tcW w:w="2552" w:type="dxa"/>
            <w:vMerge w:val="restart"/>
            <w:vAlign w:val="center"/>
          </w:tcPr>
          <w:p w14:paraId="6D45B31C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5F5200D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formation ou certificats spécifiques</w:t>
            </w:r>
          </w:p>
          <w:p w14:paraId="47DB5555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</w:pPr>
            <w:r w:rsidRPr="00165046">
              <w:rPr>
                <w:b/>
              </w:rPr>
              <w:t>Registre interne mentionnant les sessions suivies</w:t>
            </w:r>
          </w:p>
        </w:tc>
      </w:tr>
      <w:tr w:rsidR="007D708A" w:rsidRPr="009157AA" w14:paraId="666113DF" w14:textId="77777777" w:rsidTr="004B75CF">
        <w:trPr>
          <w:trHeight w:val="2018"/>
        </w:trPr>
        <w:tc>
          <w:tcPr>
            <w:tcW w:w="2552" w:type="dxa"/>
            <w:vMerge/>
            <w:vAlign w:val="center"/>
          </w:tcPr>
          <w:p w14:paraId="066EDFD6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668DBB8E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703545A8" w14:textId="77777777" w:rsidTr="00DD620F">
        <w:trPr>
          <w:trHeight w:val="693"/>
        </w:trPr>
        <w:tc>
          <w:tcPr>
            <w:tcW w:w="2552" w:type="dxa"/>
            <w:vMerge w:val="restart"/>
            <w:vAlign w:val="center"/>
          </w:tcPr>
          <w:p w14:paraId="35443152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424F26E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participation à des sessions de sensibilisation</w:t>
            </w:r>
          </w:p>
          <w:p w14:paraId="68751F0E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</w:pPr>
            <w:r w:rsidRPr="00165046">
              <w:rPr>
                <w:b/>
              </w:rPr>
              <w:t>Charte environnementale signée par les intervenants</w:t>
            </w:r>
          </w:p>
        </w:tc>
      </w:tr>
      <w:tr w:rsidR="007D708A" w:rsidRPr="009157AA" w14:paraId="5C493BCF" w14:textId="77777777" w:rsidTr="004B75CF">
        <w:trPr>
          <w:trHeight w:val="1845"/>
        </w:trPr>
        <w:tc>
          <w:tcPr>
            <w:tcW w:w="2552" w:type="dxa"/>
            <w:vMerge/>
            <w:vAlign w:val="center"/>
          </w:tcPr>
          <w:p w14:paraId="46BE3B9C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0B01BA00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7B8BDE8C" w14:textId="5451E865" w:rsidR="00D1574A" w:rsidRDefault="00D1574A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54D4C65" w14:textId="329C97F5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1FAA87F8" w14:textId="7D90660A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42FA7D35" w14:textId="47EA4CCE" w:rsidR="008C5D11" w:rsidRPr="00111BCC" w:rsidRDefault="008C5D11" w:rsidP="00CE5011">
      <w:pPr>
        <w:pStyle w:val="Titre1"/>
        <w:numPr>
          <w:ilvl w:val="0"/>
          <w:numId w:val="14"/>
        </w:numPr>
        <w:ind w:left="-284" w:right="-1134"/>
      </w:pPr>
      <w:r w:rsidRPr="008C5D11">
        <w:t xml:space="preserve">« Réunion annuelle + Plan de Progrès » </w:t>
      </w:r>
      <w:r w:rsidR="0086164F">
        <w:t>(Article 14.2</w:t>
      </w:r>
      <w:r>
        <w:t xml:space="preserve">.1 </w:t>
      </w:r>
      <w:r w:rsidR="0086164F">
        <w:t xml:space="preserve">B) </w:t>
      </w:r>
      <w:r>
        <w:t>du CCP)</w:t>
      </w:r>
    </w:p>
    <w:p w14:paraId="0E4BAC6B" w14:textId="1F8E9E96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8C5D11" w14:paraId="0873D7A0" w14:textId="77777777" w:rsidTr="008C5D11">
        <w:trPr>
          <w:trHeight w:val="11124"/>
        </w:trPr>
        <w:tc>
          <w:tcPr>
            <w:tcW w:w="10910" w:type="dxa"/>
          </w:tcPr>
          <w:p w14:paraId="6D7595C0" w14:textId="2AB9B971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6164F">
              <w:rPr>
                <w:b/>
                <w:szCs w:val="24"/>
              </w:rPr>
              <w:t xml:space="preserve">Le </w:t>
            </w:r>
            <w:r w:rsidR="0086164F">
              <w:rPr>
                <w:b/>
                <w:szCs w:val="24"/>
              </w:rPr>
              <w:t xml:space="preserve">candidat / </w:t>
            </w:r>
            <w:r w:rsidRPr="0086164F">
              <w:rPr>
                <w:b/>
                <w:szCs w:val="24"/>
              </w:rPr>
              <w:t xml:space="preserve">futur Titulaire </w:t>
            </w:r>
            <w:r w:rsidRPr="0086164F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86164F">
              <w:rPr>
                <w:b/>
                <w:szCs w:val="24"/>
              </w:rPr>
              <w:t xml:space="preserve"> à préparer et transmettre</w:t>
            </w:r>
            <w:r w:rsidRPr="008C5D11">
              <w:rPr>
                <w:szCs w:val="24"/>
              </w:rPr>
              <w:t>, au plus tard lors de la réunion annuelle organisée par le représentant de l’Acheteur conformément à l’article 14.2.1 B du CCP, les éléments suivants :</w:t>
            </w:r>
          </w:p>
          <w:p w14:paraId="52FED4AB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5318FF2" w14:textId="1CB41AD5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d’exécution de l’année écoulée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70144EAF" w14:textId="77777777" w:rsid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Évolution des indicateurs d’intervention (volume, typologie, délais)</w:t>
            </w:r>
          </w:p>
          <w:p w14:paraId="5FB07DE2" w14:textId="77777777" w:rsid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qualitative des prestations (points forts, anomalies, recommandations)</w:t>
            </w:r>
          </w:p>
          <w:p w14:paraId="47C0F34B" w14:textId="7E034D11" w:rsidR="008C5D11" w:rsidRP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Synthèse des difficultés rencontrées et des améliorations apportées</w:t>
            </w:r>
          </w:p>
          <w:p w14:paraId="50425A57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C908A22" w14:textId="778EDF8E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Inventaire technique actualisé des installations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55DC6736" w14:textId="51355434" w:rsidR="008C5D11" w:rsidRDefault="00CE5011" w:rsidP="008C5D11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>
              <w:rPr>
                <w:szCs w:val="24"/>
              </w:rPr>
              <w:t>fichier « </w:t>
            </w:r>
            <w:r w:rsidRPr="00AE4C70">
              <w:rPr>
                <w:szCs w:val="24"/>
              </w:rPr>
              <w:t>01-AE-Lot</w:t>
            </w:r>
            <w:r>
              <w:rPr>
                <w:szCs w:val="24"/>
              </w:rPr>
              <w:t>4</w:t>
            </w:r>
            <w:r w:rsidRPr="00AE4C70">
              <w:rPr>
                <w:szCs w:val="24"/>
              </w:rPr>
              <w:t>-Annexe1-DQE.xlsx</w:t>
            </w:r>
            <w:r>
              <w:rPr>
                <w:szCs w:val="24"/>
              </w:rPr>
              <w:t xml:space="preserve"> » qui identifie le </w:t>
            </w:r>
            <w:r w:rsidR="008C5D11" w:rsidRPr="008C5D11">
              <w:rPr>
                <w:szCs w:val="24"/>
              </w:rPr>
              <w:t>nombre d’installations suivis par type et par site</w:t>
            </w:r>
          </w:p>
          <w:p w14:paraId="6CB3E85B" w14:textId="10D1A610" w:rsidR="008C5D11" w:rsidRPr="008C5D11" w:rsidRDefault="008C5D11" w:rsidP="008C5D11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Identification des évolutions (ajout/suppression d’installations)</w:t>
            </w:r>
          </w:p>
          <w:p w14:paraId="4CE5E5C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AAD649B" w14:textId="7884A765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financier annuel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082E8210" w14:textId="77777777" w:rsidR="008C5D11" w:rsidRDefault="008C5D11" w:rsidP="008C5D11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récapitulatif des coûts par typologie de prestation (préventive, corrective, audit)</w:t>
            </w:r>
          </w:p>
          <w:p w14:paraId="5E4C8BDD" w14:textId="0BDBBEAC" w:rsidR="008C5D11" w:rsidRPr="008C5D11" w:rsidRDefault="008C5D11" w:rsidP="008C5D11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Format requis : .xlsx</w:t>
            </w:r>
          </w:p>
          <w:p w14:paraId="399E909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31E2C54" w14:textId="419E4740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Mise à jour des gammes de maintenance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6BB598A8" w14:textId="77777777" w:rsidR="008C5D11" w:rsidRDefault="008C5D11" w:rsidP="008C5D11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Proposition d’ajustement des fréquences ou méthodes selon usage constaté</w:t>
            </w:r>
          </w:p>
          <w:p w14:paraId="2E3F7948" w14:textId="56BB54EB" w:rsidR="008C5D11" w:rsidRPr="008C5D11" w:rsidRDefault="008C5D11" w:rsidP="008C5D11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Justifications techniques et réglementaires</w:t>
            </w:r>
          </w:p>
          <w:p w14:paraId="451CE471" w14:textId="77777777" w:rsid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365A731E" w14:textId="77777777" w:rsid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Plan de propositions techniques</w:t>
            </w:r>
            <w:r w:rsidRPr="00DC7A69">
              <w:rPr>
                <w:color w:val="92D050"/>
                <w:szCs w:val="24"/>
              </w:rPr>
              <w:t> </w:t>
            </w:r>
            <w:r>
              <w:rPr>
                <w:szCs w:val="24"/>
              </w:rPr>
              <w:t>:</w:t>
            </w:r>
          </w:p>
          <w:p w14:paraId="5B847CE2" w14:textId="700CCE7D" w:rsidR="008C5D11" w:rsidRPr="008C5D11" w:rsidRDefault="008C5D11" w:rsidP="008C5D1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des actions d’amélioration ou de mise à niveau classées par urgence :</w:t>
            </w:r>
          </w:p>
          <w:p w14:paraId="45F4E519" w14:textId="77777777" w:rsid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1 : Travaux à réaliser dans les 6 mois</w:t>
            </w:r>
          </w:p>
          <w:p w14:paraId="229AA50B" w14:textId="77777777" w:rsid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2 : Travaux à réaliser entre 6 mois et 2 ans</w:t>
            </w:r>
          </w:p>
          <w:p w14:paraId="12C30493" w14:textId="4BCD6B4F" w:rsidR="008C5D11" w:rsidRP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3 : Travaux à réaliser entre 2 ans et 5 ans</w:t>
            </w:r>
          </w:p>
          <w:p w14:paraId="5E933A6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5134EB7E" w14:textId="77777777" w:rsidR="008C5D11" w:rsidRPr="008C5D11" w:rsidRDefault="008C5D11" w:rsidP="008C5D1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Pour chaque action :</w:t>
            </w:r>
          </w:p>
          <w:p w14:paraId="1FB1BC2A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Description technique</w:t>
            </w:r>
          </w:p>
          <w:p w14:paraId="29E442EF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Objectifs recherchés</w:t>
            </w:r>
          </w:p>
          <w:p w14:paraId="2AF51084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Coût estimé (hors remplacement complet d’installation)</w:t>
            </w:r>
          </w:p>
          <w:p w14:paraId="56652525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commentée</w:t>
            </w:r>
          </w:p>
          <w:p w14:paraId="26F48764" w14:textId="482F3731" w:rsidR="008C5D11" w:rsidRP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Impacts réglementaires ou environnementaux</w:t>
            </w:r>
          </w:p>
          <w:p w14:paraId="0DFACD8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9ABE22D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0210B749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26CF159" w14:textId="12B9D75C" w:rsidR="008C5D11" w:rsidRDefault="008C5D11" w:rsidP="00AB3348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Le Représentant de l’Acheteur demeure libre de valider, prioriser ou écar</w:t>
            </w:r>
            <w:r w:rsidR="00AB3348">
              <w:rPr>
                <w:szCs w:val="24"/>
              </w:rPr>
              <w:t>ter les propositions transmises</w:t>
            </w:r>
            <w:r w:rsidRPr="008C5D11">
              <w:rPr>
                <w:szCs w:val="24"/>
              </w:rPr>
              <w:t>.</w:t>
            </w:r>
          </w:p>
        </w:tc>
      </w:tr>
    </w:tbl>
    <w:p w14:paraId="3D669D1C" w14:textId="06604112" w:rsidR="008C5D11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35ACF108" w14:textId="78FE1D57" w:rsidR="008C5D11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1475A47E" w14:textId="0E50C902" w:rsidR="004B75CF" w:rsidRPr="00111BCC" w:rsidRDefault="004B75CF" w:rsidP="00CE5011">
      <w:pPr>
        <w:pStyle w:val="Titre1"/>
        <w:numPr>
          <w:ilvl w:val="0"/>
          <w:numId w:val="14"/>
        </w:numPr>
        <w:ind w:left="-284" w:right="-993"/>
      </w:pPr>
      <w:r>
        <w:t>Clause sociale (Article 19.1 du CCP)</w:t>
      </w:r>
    </w:p>
    <w:p w14:paraId="003442BB" w14:textId="77777777" w:rsidR="004B75CF" w:rsidRDefault="004B75CF" w:rsidP="004B75CF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FF0A1F3" w14:textId="77777777" w:rsidR="004B75CF" w:rsidRDefault="004B75CF" w:rsidP="004B75CF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4B75CF" w14:paraId="789911D1" w14:textId="77777777" w:rsidTr="00D03DFB">
        <w:trPr>
          <w:trHeight w:val="2539"/>
        </w:trPr>
        <w:tc>
          <w:tcPr>
            <w:tcW w:w="10910" w:type="dxa"/>
            <w:vAlign w:val="center"/>
          </w:tcPr>
          <w:p w14:paraId="3B3D0580" w14:textId="12962027" w:rsidR="00E74DBD" w:rsidRPr="00E74DBD" w:rsidRDefault="00E74DBD" w:rsidP="00E74DBD">
            <w:pPr>
              <w:jc w:val="both"/>
              <w:rPr>
                <w:b/>
                <w:u w:val="single"/>
              </w:rPr>
            </w:pPr>
            <w:r w:rsidRPr="00E74DBD">
              <w:rPr>
                <w:b/>
                <w:u w:val="single"/>
              </w:rPr>
              <w:t xml:space="preserve">Le candidat / futur titulaire : </w:t>
            </w:r>
          </w:p>
          <w:p w14:paraId="0E689DEE" w14:textId="77777777" w:rsidR="00E74DBD" w:rsidRDefault="00E74DBD" w:rsidP="00E74DBD">
            <w:pPr>
              <w:jc w:val="both"/>
            </w:pPr>
          </w:p>
          <w:p w14:paraId="5F4B8C85" w14:textId="4C56DBDA" w:rsidR="004B75CF" w:rsidRDefault="004B75CF" w:rsidP="00396871">
            <w:pPr>
              <w:pStyle w:val="Paragraphedeliste"/>
              <w:numPr>
                <w:ilvl w:val="0"/>
                <w:numId w:val="5"/>
              </w:numPr>
              <w:ind w:left="461"/>
              <w:jc w:val="both"/>
            </w:pPr>
            <w:r w:rsidRPr="00A8610E">
              <w:t xml:space="preserve">Déclare avoir pris connaissance de la clause d’exécution sociale stipulée à l’article 19.1 du CCP et s’engage à mettre en œuvre, au minimum, l’une des deux actions sociales mentionnées dans le même article, visant à favoriser l’accès à </w:t>
            </w:r>
            <w:bookmarkStart w:id="0" w:name="_GoBack"/>
            <w:bookmarkEnd w:id="0"/>
            <w:r w:rsidRPr="00A8610E">
              <w:t>l’emploi des personnes en parcours d’insertion professionnelle rencontrant des difficultés particulières.</w:t>
            </w:r>
          </w:p>
          <w:p w14:paraId="705AB649" w14:textId="77777777" w:rsidR="004B75CF" w:rsidRDefault="004B75CF" w:rsidP="00396871">
            <w:pPr>
              <w:pStyle w:val="Paragraphedeliste"/>
              <w:ind w:left="461"/>
              <w:jc w:val="both"/>
            </w:pPr>
          </w:p>
          <w:p w14:paraId="631004E8" w14:textId="77777777" w:rsidR="004B75CF" w:rsidRDefault="004B75CF" w:rsidP="00396871">
            <w:pPr>
              <w:pStyle w:val="Paragraphedeliste"/>
              <w:numPr>
                <w:ilvl w:val="0"/>
                <w:numId w:val="5"/>
              </w:numPr>
              <w:ind w:left="461"/>
              <w:jc w:val="both"/>
            </w:pPr>
            <w:r w:rsidRPr="007D708A">
              <w:t>S’engage, pendant la phase d’exécution du marché, à fournir, à la demande du facilitateur, tous les justificatifs nécessaires relatifs à la mise en œuvre de l’action.</w:t>
            </w:r>
          </w:p>
        </w:tc>
      </w:tr>
    </w:tbl>
    <w:p w14:paraId="47B882A0" w14:textId="77777777" w:rsidR="004B75CF" w:rsidRDefault="004B75CF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F0669A9" w14:textId="77777777" w:rsidR="008C5D11" w:rsidRPr="00D1574A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4A03F8D9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601D59">
        <w:rPr>
          <w:rFonts w:cs="Arial"/>
          <w:bCs/>
          <w:i/>
          <w:szCs w:val="24"/>
          <w:u w:val="single"/>
        </w:rPr>
        <w:lastRenderedPageBreak/>
        <w:t>Légende :</w:t>
      </w:r>
      <w:r w:rsidRPr="00601D59">
        <w:rPr>
          <w:rFonts w:cs="Arial"/>
          <w:bCs/>
          <w:szCs w:val="24"/>
          <w:u w:val="single"/>
        </w:rPr>
        <w:t xml:space="preserve"> </w:t>
      </w:r>
    </w:p>
    <w:p w14:paraId="156E81EA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111BCC" w:rsidRPr="00601D59" w14:paraId="5C86EB60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4B7AA2C2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3AC2C18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111BCC" w:rsidRPr="00601D59" w14:paraId="598CF636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F009678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499563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601D59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601D59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0FCE4FFC" w14:textId="77777777" w:rsidR="00111BCC" w:rsidRDefault="00111BCC" w:rsidP="00111BCC">
      <w:pPr>
        <w:rPr>
          <w:sz w:val="20"/>
        </w:rPr>
      </w:pPr>
    </w:p>
    <w:p w14:paraId="594123CD" w14:textId="77777777" w:rsidR="00111BCC" w:rsidRDefault="00111BCC" w:rsidP="00111BCC">
      <w:pPr>
        <w:tabs>
          <w:tab w:val="left" w:pos="1985"/>
          <w:tab w:val="left" w:pos="4536"/>
        </w:tabs>
      </w:pPr>
    </w:p>
    <w:p w14:paraId="330744AB" w14:textId="77777777" w:rsidR="00111BCC" w:rsidRDefault="00111BCC" w:rsidP="00111BCC">
      <w:pPr>
        <w:tabs>
          <w:tab w:val="left" w:pos="1985"/>
          <w:tab w:val="left" w:pos="4536"/>
        </w:tabs>
      </w:pPr>
      <w:r>
        <w:t xml:space="preserve">à                  </w:t>
      </w:r>
      <w:r>
        <w:tab/>
        <w:t>, Le</w:t>
      </w:r>
      <w:r>
        <w:tab/>
      </w:r>
    </w:p>
    <w:p w14:paraId="38E21BC1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554F8777" w14:textId="77777777" w:rsidR="00111BCC" w:rsidRDefault="00111BCC" w:rsidP="00111BCC">
      <w:pPr>
        <w:tabs>
          <w:tab w:val="left" w:pos="4536"/>
        </w:tabs>
      </w:pPr>
      <w:r>
        <w:t xml:space="preserve">La société : </w:t>
      </w:r>
    </w:p>
    <w:p w14:paraId="670CBD97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6ED23021" w14:textId="77777777" w:rsidR="00111BCC" w:rsidRDefault="00111BCC" w:rsidP="00111BCC">
      <w:pPr>
        <w:tabs>
          <w:tab w:val="left" w:pos="4536"/>
        </w:tabs>
      </w:pPr>
      <w:r>
        <w:t>Représentée par,</w:t>
      </w:r>
    </w:p>
    <w:p w14:paraId="108D5FDF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1AA3A77C" w14:textId="77777777" w:rsidR="00111BCC" w:rsidRDefault="00111BCC" w:rsidP="00111BCC">
      <w:pPr>
        <w:tabs>
          <w:tab w:val="left" w:pos="4536"/>
        </w:tabs>
      </w:pPr>
      <w:r>
        <w:t>M. / Mme</w:t>
      </w:r>
    </w:p>
    <w:p w14:paraId="135CFFBD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772192F1" w14:textId="56899E78" w:rsidR="00120A89" w:rsidRDefault="00111BCC" w:rsidP="00ED6755">
      <w:pPr>
        <w:tabs>
          <w:tab w:val="left" w:pos="4536"/>
        </w:tabs>
        <w:ind w:right="-1276"/>
      </w:pPr>
      <w:r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3B2CEE38" w:rsidR="00ED6755" w:rsidRDefault="007D3CBD">
            <w:pPr>
              <w:pStyle w:val="Pieddepage"/>
              <w:jc w:val="right"/>
            </w:pPr>
            <w:r>
              <w:t>599/01R/2025 - Lot n°4</w:t>
            </w:r>
            <w:r w:rsidR="00ED6755" w:rsidRPr="00ED6755">
              <w:tab/>
              <w:t>Annexe3-AE</w:t>
            </w:r>
            <w:r w:rsidR="00ED6755" w:rsidRPr="00ED6755">
              <w:tab/>
            </w:r>
            <w:r w:rsidR="00ED6755">
              <w:t xml:space="preserve">Page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PAGE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182B0B">
              <w:rPr>
                <w:b/>
                <w:bCs/>
                <w:noProof/>
              </w:rPr>
              <w:t>9</w:t>
            </w:r>
            <w:r w:rsidR="00ED6755">
              <w:rPr>
                <w:b/>
                <w:bCs/>
                <w:szCs w:val="24"/>
              </w:rPr>
              <w:fldChar w:fldCharType="end"/>
            </w:r>
            <w:r w:rsidR="00ED6755">
              <w:t xml:space="preserve"> sur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NUMPAGES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182B0B">
              <w:rPr>
                <w:b/>
                <w:bCs/>
                <w:noProof/>
              </w:rPr>
              <w:t>9</w:t>
            </w:r>
            <w:r w:rsidR="00ED675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43EAC940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1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4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74790"/>
    <w:multiLevelType w:val="hybridMultilevel"/>
    <w:tmpl w:val="3D429B1E"/>
    <w:lvl w:ilvl="0" w:tplc="77BCD662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9"/>
  </w:num>
  <w:num w:numId="2">
    <w:abstractNumId w:val="5"/>
  </w:num>
  <w:num w:numId="3">
    <w:abstractNumId w:val="8"/>
  </w:num>
  <w:num w:numId="4">
    <w:abstractNumId w:val="16"/>
  </w:num>
  <w:num w:numId="5">
    <w:abstractNumId w:val="0"/>
  </w:num>
  <w:num w:numId="6">
    <w:abstractNumId w:val="27"/>
  </w:num>
  <w:num w:numId="7">
    <w:abstractNumId w:val="17"/>
  </w:num>
  <w:num w:numId="8">
    <w:abstractNumId w:val="20"/>
  </w:num>
  <w:num w:numId="9">
    <w:abstractNumId w:val="14"/>
  </w:num>
  <w:num w:numId="10">
    <w:abstractNumId w:val="25"/>
  </w:num>
  <w:num w:numId="11">
    <w:abstractNumId w:val="6"/>
  </w:num>
  <w:num w:numId="12">
    <w:abstractNumId w:val="1"/>
  </w:num>
  <w:num w:numId="13">
    <w:abstractNumId w:val="9"/>
  </w:num>
  <w:num w:numId="14">
    <w:abstractNumId w:val="26"/>
  </w:num>
  <w:num w:numId="15">
    <w:abstractNumId w:val="22"/>
  </w:num>
  <w:num w:numId="16">
    <w:abstractNumId w:val="13"/>
  </w:num>
  <w:num w:numId="17">
    <w:abstractNumId w:val="3"/>
  </w:num>
  <w:num w:numId="18">
    <w:abstractNumId w:val="12"/>
  </w:num>
  <w:num w:numId="19">
    <w:abstractNumId w:val="4"/>
  </w:num>
  <w:num w:numId="20">
    <w:abstractNumId w:val="18"/>
  </w:num>
  <w:num w:numId="21">
    <w:abstractNumId w:val="21"/>
  </w:num>
  <w:num w:numId="22">
    <w:abstractNumId w:val="15"/>
  </w:num>
  <w:num w:numId="23">
    <w:abstractNumId w:val="28"/>
  </w:num>
  <w:num w:numId="24">
    <w:abstractNumId w:val="2"/>
  </w:num>
  <w:num w:numId="25">
    <w:abstractNumId w:val="11"/>
  </w:num>
  <w:num w:numId="26">
    <w:abstractNumId w:val="19"/>
  </w:num>
  <w:num w:numId="27">
    <w:abstractNumId w:val="24"/>
  </w:num>
  <w:num w:numId="28">
    <w:abstractNumId w:val="10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829F3"/>
    <w:rsid w:val="000D2A39"/>
    <w:rsid w:val="00111BCC"/>
    <w:rsid w:val="00120A89"/>
    <w:rsid w:val="00182B0B"/>
    <w:rsid w:val="001A235D"/>
    <w:rsid w:val="001C15FE"/>
    <w:rsid w:val="0033422A"/>
    <w:rsid w:val="003C1117"/>
    <w:rsid w:val="00405A77"/>
    <w:rsid w:val="00422112"/>
    <w:rsid w:val="00444713"/>
    <w:rsid w:val="004B75CF"/>
    <w:rsid w:val="004E4BE4"/>
    <w:rsid w:val="00543D03"/>
    <w:rsid w:val="00613CC4"/>
    <w:rsid w:val="00653F70"/>
    <w:rsid w:val="00674A64"/>
    <w:rsid w:val="007D3CBD"/>
    <w:rsid w:val="007D708A"/>
    <w:rsid w:val="0086164F"/>
    <w:rsid w:val="008C5D11"/>
    <w:rsid w:val="009472CE"/>
    <w:rsid w:val="00952867"/>
    <w:rsid w:val="00A75C9D"/>
    <w:rsid w:val="00A8610E"/>
    <w:rsid w:val="00AB3348"/>
    <w:rsid w:val="00B00902"/>
    <w:rsid w:val="00BA6159"/>
    <w:rsid w:val="00C40029"/>
    <w:rsid w:val="00CA545C"/>
    <w:rsid w:val="00CC09AF"/>
    <w:rsid w:val="00CD3102"/>
    <w:rsid w:val="00CE5011"/>
    <w:rsid w:val="00D03DFB"/>
    <w:rsid w:val="00D05940"/>
    <w:rsid w:val="00D1574A"/>
    <w:rsid w:val="00D82626"/>
    <w:rsid w:val="00DA72A5"/>
    <w:rsid w:val="00DC7A69"/>
    <w:rsid w:val="00E01CE6"/>
    <w:rsid w:val="00E05D7E"/>
    <w:rsid w:val="00E30670"/>
    <w:rsid w:val="00E74DBD"/>
    <w:rsid w:val="00ED6755"/>
    <w:rsid w:val="00FB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E5011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5011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5011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E5011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1346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2</cp:revision>
  <dcterms:created xsi:type="dcterms:W3CDTF">2025-07-25T07:04:00Z</dcterms:created>
  <dcterms:modified xsi:type="dcterms:W3CDTF">2025-07-25T07:04:00Z</dcterms:modified>
</cp:coreProperties>
</file>