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1B4606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1B4606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1B4606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67A1F0D4" w:rsidR="00DE38B2" w:rsidRDefault="0043054D">
            <w:pPr>
              <w:jc w:val="center"/>
            </w:pPr>
            <w:r>
              <w:t>MAI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7705991A" w:rsidR="008B7189" w:rsidRPr="00F24CC7" w:rsidRDefault="0043054D" w:rsidP="008B7189">
                <w:pPr>
                  <w:jc w:val="center"/>
                  <w:rPr>
                    <w:sz w:val="22"/>
                  </w:rPr>
                </w:pP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R2408–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TRAVAUX D’HUMANISATION </w:t>
                </w:r>
                <w:r w:rsidRPr="00AE18AF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– H1 – R+3 – NEPHROLOGIE 31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HOPITAL RANGUEIL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16F5F7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01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39ACA33F" w:rsidR="00AC04E8" w:rsidRDefault="0043054D" w:rsidP="008B7189">
                <w:pPr>
                  <w:jc w:val="center"/>
                  <w:rPr>
                    <w:sz w:val="22"/>
                  </w:rPr>
                </w:pPr>
                <w:r w:rsidRPr="0043054D">
                  <w:t>Désamiantage / Démolition</w:t>
                </w:r>
                <w:r w:rsidR="001B4606">
                  <w:t xml:space="preserve"> / Gros œuvre 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0A8555B2" w:rsidR="00F24CC7" w:rsidRPr="00F24CC7" w:rsidRDefault="0043054D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20250833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1B4606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1B4606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1B4606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B4606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3054D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499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21</cp:revision>
  <cp:lastPrinted>2024-04-08T09:22:00Z</cp:lastPrinted>
  <dcterms:created xsi:type="dcterms:W3CDTF">2024-04-08T09:22:00Z</dcterms:created>
  <dcterms:modified xsi:type="dcterms:W3CDTF">2025-05-05T09:24:00Z</dcterms:modified>
</cp:coreProperties>
</file>