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B70" w:rsidRDefault="007850C3">
      <w:pPr>
        <w:pStyle w:val="Titre"/>
      </w:pPr>
      <w:r>
        <w:rPr>
          <w:b/>
          <w:noProof/>
        </w:rPr>
        <w:drawing>
          <wp:anchor distT="0" distB="0" distL="114300" distR="114300" simplePos="0" relativeHeight="251657728" behindDoc="0" locked="0" layoutInCell="1" allowOverlap="1">
            <wp:simplePos x="0" y="0"/>
            <wp:positionH relativeFrom="column">
              <wp:posOffset>-92710</wp:posOffset>
            </wp:positionH>
            <wp:positionV relativeFrom="paragraph">
              <wp:posOffset>-417830</wp:posOffset>
            </wp:positionV>
            <wp:extent cx="632460" cy="975995"/>
            <wp:effectExtent l="0" t="0" r="0" b="0"/>
            <wp:wrapNone/>
            <wp:docPr id="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2460" cy="975995"/>
                    </a:xfrm>
                    <a:prstGeom prst="rect">
                      <a:avLst/>
                    </a:prstGeom>
                    <a:noFill/>
                    <a:ln>
                      <a:noFill/>
                    </a:ln>
                  </pic:spPr>
                </pic:pic>
              </a:graphicData>
            </a:graphic>
            <wp14:sizeRelH relativeFrom="page">
              <wp14:pctWidth>0</wp14:pctWidth>
            </wp14:sizeRelH>
            <wp14:sizeRelV relativeFrom="page">
              <wp14:pctHeight>0</wp14:pctHeight>
            </wp14:sizeRelV>
          </wp:anchor>
        </w:drawing>
      </w:r>
      <w:r w:rsidR="00762B70">
        <w:t xml:space="preserve">Annexe </w:t>
      </w:r>
      <w:r w:rsidR="000503E0">
        <w:t>3</w:t>
      </w:r>
      <w:r w:rsidR="00610FAF">
        <w:t xml:space="preserve"> au R</w:t>
      </w:r>
      <w:r w:rsidR="008052FE">
        <w:t xml:space="preserve">èglement de </w:t>
      </w:r>
      <w:r w:rsidR="00610FAF">
        <w:t>C</w:t>
      </w:r>
      <w:r w:rsidR="008052FE">
        <w:t>onsultation</w:t>
      </w:r>
    </w:p>
    <w:p w:rsidR="005633B3" w:rsidRDefault="005633B3" w:rsidP="005633B3">
      <w:pPr>
        <w:pStyle w:val="Titre"/>
        <w:rPr>
          <w:bCs/>
          <w:color w:val="000000"/>
        </w:rPr>
      </w:pPr>
    </w:p>
    <w:p w:rsidR="005633B3" w:rsidRDefault="005633B3" w:rsidP="005633B3">
      <w:pPr>
        <w:pStyle w:val="Titre"/>
        <w:rPr>
          <w:bCs/>
          <w:color w:val="000000"/>
        </w:rPr>
      </w:pPr>
    </w:p>
    <w:p w:rsidR="002E63BE" w:rsidRPr="00DB5222" w:rsidRDefault="002E63BE" w:rsidP="002E63BE">
      <w:pPr>
        <w:pStyle w:val="Titre"/>
        <w:jc w:val="left"/>
      </w:pPr>
      <w:r w:rsidRPr="00DB5222">
        <w:t xml:space="preserve">DIRECTION GENERALE </w:t>
      </w:r>
    </w:p>
    <w:p w:rsidR="002E63BE" w:rsidRPr="00DB5222" w:rsidRDefault="002E63BE" w:rsidP="002E63BE">
      <w:pPr>
        <w:pStyle w:val="Titre"/>
        <w:jc w:val="left"/>
      </w:pPr>
      <w:r w:rsidRPr="00DB5222">
        <w:t xml:space="preserve">DIRECTION DES ACHATS </w:t>
      </w:r>
      <w:r>
        <w:t xml:space="preserve"> </w:t>
      </w:r>
    </w:p>
    <w:p w:rsidR="00762B70" w:rsidRDefault="00762B70">
      <w:pPr>
        <w:pStyle w:val="Titre"/>
      </w:pPr>
    </w:p>
    <w:p w:rsidR="00BB2711" w:rsidRDefault="00BB2711">
      <w:pPr>
        <w:pStyle w:val="Titre"/>
      </w:pPr>
    </w:p>
    <w:p w:rsidR="00BB2711" w:rsidRDefault="00BB2711">
      <w:pPr>
        <w:pStyle w:val="Titre"/>
      </w:pPr>
    </w:p>
    <w:p w:rsidR="00762B70" w:rsidRDefault="005633B3">
      <w:pPr>
        <w:pStyle w:val="Titre"/>
        <w:rPr>
          <w:u w:val="single"/>
        </w:rPr>
      </w:pPr>
      <w:r>
        <w:rPr>
          <w:u w:val="single"/>
        </w:rPr>
        <w:t xml:space="preserve">MODALITES </w:t>
      </w:r>
      <w:r w:rsidR="00C22656">
        <w:rPr>
          <w:u w:val="single"/>
        </w:rPr>
        <w:t>D’</w:t>
      </w:r>
      <w:r w:rsidR="009A29FC">
        <w:rPr>
          <w:u w:val="single"/>
        </w:rPr>
        <w:t xml:space="preserve">INSCRIPTION ET </w:t>
      </w:r>
      <w:r w:rsidR="00BB2711">
        <w:rPr>
          <w:u w:val="single"/>
        </w:rPr>
        <w:t>DE REMISE DES CANDIDATURES/O</w:t>
      </w:r>
      <w:r>
        <w:rPr>
          <w:u w:val="single"/>
        </w:rPr>
        <w:t>FFRES</w:t>
      </w:r>
      <w:r w:rsidR="00C22656">
        <w:rPr>
          <w:u w:val="single"/>
        </w:rPr>
        <w:t xml:space="preserve"> SUR </w:t>
      </w:r>
      <w:smartTag w:uri="urn:schemas-microsoft-com:office:smarttags" w:element="PersonName">
        <w:smartTagPr>
          <w:attr w:name="ProductID" w:val="LA PLATEFORME DES"/>
        </w:smartTagPr>
        <w:r w:rsidR="00C22656">
          <w:rPr>
            <w:u w:val="single"/>
          </w:rPr>
          <w:t>LA PLATEFORME DES</w:t>
        </w:r>
      </w:smartTag>
      <w:r w:rsidR="00C22656">
        <w:rPr>
          <w:u w:val="single"/>
        </w:rPr>
        <w:t xml:space="preserve"> ACHATS DE L’ETAT (PLACE)</w:t>
      </w:r>
    </w:p>
    <w:p w:rsidR="00C22656" w:rsidRDefault="00C22656" w:rsidP="00C22656">
      <w:pPr>
        <w:spacing w:line="276" w:lineRule="auto"/>
        <w:jc w:val="both"/>
        <w:rPr>
          <w:rFonts w:ascii="Times New Roman" w:eastAsia="Calibri" w:hAnsi="Times New Roman" w:cs="Times New Roman"/>
          <w:sz w:val="22"/>
          <w:szCs w:val="22"/>
          <w:lang w:eastAsia="en-US"/>
        </w:rPr>
      </w:pPr>
    </w:p>
    <w:p w:rsidR="0007079F" w:rsidRPr="00481770" w:rsidRDefault="0007079F" w:rsidP="00C22656">
      <w:pPr>
        <w:spacing w:line="276" w:lineRule="auto"/>
        <w:jc w:val="both"/>
        <w:rPr>
          <w:rFonts w:ascii="Times New Roman" w:eastAsia="Calibri" w:hAnsi="Times New Roman" w:cs="Times New Roman"/>
          <w:sz w:val="22"/>
          <w:szCs w:val="22"/>
          <w:lang w:eastAsia="en-US"/>
        </w:rPr>
      </w:pPr>
    </w:p>
    <w:p w:rsidR="00C22656" w:rsidRPr="00481770" w:rsidRDefault="00C22656" w:rsidP="00C22656">
      <w:pPr>
        <w:spacing w:before="100" w:beforeAutospacing="1" w:after="100" w:afterAutospacing="1" w:line="276" w:lineRule="auto"/>
        <w:contextualSpacing/>
        <w:rPr>
          <w:rFonts w:ascii="Times New Roman" w:eastAsia="Calibri" w:hAnsi="Times New Roman" w:cs="Times New Roman"/>
          <w:sz w:val="22"/>
          <w:szCs w:val="22"/>
          <w:lang w:eastAsia="en-US"/>
        </w:rPr>
      </w:pPr>
      <w:r w:rsidRPr="00481770">
        <w:rPr>
          <w:rFonts w:ascii="Times New Roman" w:eastAsia="Calibri" w:hAnsi="Times New Roman" w:cs="Times New Roman"/>
          <w:sz w:val="22"/>
          <w:szCs w:val="22"/>
          <w:u w:val="single"/>
          <w:lang w:eastAsia="en-US"/>
        </w:rPr>
        <w:t>Modalités d’inscription</w:t>
      </w:r>
    </w:p>
    <w:p w:rsidR="00C22656" w:rsidRPr="00481770" w:rsidRDefault="00C22656" w:rsidP="00C22656">
      <w:pPr>
        <w:spacing w:before="100" w:beforeAutospacing="1" w:after="100" w:afterAutospacing="1"/>
        <w:contextualSpacing/>
        <w:jc w:val="both"/>
        <w:rPr>
          <w:rFonts w:ascii="Times New Roman" w:eastAsia="Calibri" w:hAnsi="Times New Roman" w:cs="Times New Roman"/>
          <w:sz w:val="22"/>
          <w:szCs w:val="22"/>
          <w:lang w:eastAsia="en-US"/>
        </w:rPr>
      </w:pPr>
    </w:p>
    <w:p w:rsidR="00C22656" w:rsidRDefault="00C22656" w:rsidP="00C22656">
      <w:pPr>
        <w:spacing w:after="120"/>
        <w:jc w:val="both"/>
        <w:rPr>
          <w:rFonts w:ascii="Times New Roman" w:eastAsia="Calibri" w:hAnsi="Times New Roman" w:cs="Times New Roman"/>
          <w:sz w:val="22"/>
          <w:szCs w:val="22"/>
          <w:lang w:eastAsia="en-US"/>
        </w:rPr>
      </w:pPr>
      <w:r w:rsidRPr="00481770">
        <w:rPr>
          <w:rFonts w:ascii="Times New Roman" w:eastAsia="Calibri" w:hAnsi="Times New Roman" w:cs="Times New Roman"/>
          <w:sz w:val="22"/>
          <w:szCs w:val="22"/>
          <w:lang w:eastAsia="en-US"/>
        </w:rPr>
        <w:t>La page d'accueil de la plateforme est accessible par simple navigateur et ne nécessi</w:t>
      </w:r>
      <w:r>
        <w:rPr>
          <w:rFonts w:ascii="Times New Roman" w:eastAsia="Calibri" w:hAnsi="Times New Roman" w:cs="Times New Roman"/>
          <w:sz w:val="22"/>
          <w:szCs w:val="22"/>
          <w:lang w:eastAsia="en-US"/>
        </w:rPr>
        <w:t xml:space="preserve">te aucun équipement spécifique. </w:t>
      </w:r>
      <w:r w:rsidRPr="00481770">
        <w:rPr>
          <w:rFonts w:ascii="Times New Roman" w:eastAsia="Calibri" w:hAnsi="Times New Roman" w:cs="Times New Roman"/>
          <w:sz w:val="22"/>
          <w:szCs w:val="22"/>
          <w:lang w:eastAsia="en-US"/>
        </w:rPr>
        <w:t xml:space="preserve">En bas à droite de la page d'accueil, saisir son SIREN, son SIRET ou son identifiant national. Dès lors, </w:t>
      </w:r>
      <w:r>
        <w:rPr>
          <w:rFonts w:ascii="Times New Roman" w:eastAsia="Calibri" w:hAnsi="Times New Roman" w:cs="Times New Roman"/>
          <w:sz w:val="22"/>
          <w:szCs w:val="22"/>
          <w:lang w:eastAsia="en-US"/>
        </w:rPr>
        <w:t xml:space="preserve">l’entreprise a </w:t>
      </w:r>
      <w:r w:rsidRPr="00481770">
        <w:rPr>
          <w:rFonts w:ascii="Times New Roman" w:eastAsia="Calibri" w:hAnsi="Times New Roman" w:cs="Times New Roman"/>
          <w:sz w:val="22"/>
          <w:szCs w:val="22"/>
          <w:lang w:eastAsia="en-US"/>
        </w:rPr>
        <w:t xml:space="preserve">accès à un formulaire où il convient d’indiquer ses coordonnées ainsi que ses futurs identifiant et mot de passe. Par la suite, le candidat pourra également créer et gérer des comptes pour d'autres membres de son entreprise. </w:t>
      </w:r>
    </w:p>
    <w:p w:rsidR="00C22656" w:rsidRDefault="00C22656" w:rsidP="00C22656">
      <w:pPr>
        <w:jc w:val="both"/>
        <w:rPr>
          <w:rFonts w:ascii="Times New Roman" w:eastAsia="Calibri" w:hAnsi="Times New Roman" w:cs="Times New Roman"/>
          <w:sz w:val="22"/>
          <w:szCs w:val="22"/>
          <w:lang w:eastAsia="en-US"/>
        </w:rPr>
      </w:pPr>
      <w:r w:rsidRPr="00353E82">
        <w:rPr>
          <w:rFonts w:ascii="Times New Roman" w:eastAsia="Calibri" w:hAnsi="Times New Roman" w:cs="Times New Roman"/>
          <w:sz w:val="22"/>
          <w:szCs w:val="22"/>
          <w:lang w:eastAsia="en-US"/>
        </w:rPr>
        <w:t>Le candidat peut prendre connaissance des modalités d’inscription dans le « guide d’utilisation - utilisateur entreprise », situé dans le champ « aide » de la plateforme.</w:t>
      </w:r>
    </w:p>
    <w:p w:rsidR="00C22656" w:rsidRDefault="00C22656" w:rsidP="00C22656">
      <w:pPr>
        <w:jc w:val="both"/>
        <w:rPr>
          <w:rFonts w:ascii="Times New Roman" w:eastAsia="Calibri" w:hAnsi="Times New Roman" w:cs="Times New Roman"/>
          <w:sz w:val="22"/>
          <w:szCs w:val="22"/>
          <w:lang w:eastAsia="en-US"/>
        </w:rPr>
      </w:pPr>
    </w:p>
    <w:p w:rsidR="00C22656" w:rsidRDefault="00C22656" w:rsidP="00C22656">
      <w:pPr>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Par ailleurs, pour toute information liée à l’utilisation par les entreprises de la plateforme, </w:t>
      </w:r>
      <w:smartTag w:uri="urn:schemas-microsoft-com:office:smarttags" w:element="PersonName">
        <w:smartTagPr>
          <w:attr w:name="ProductID" w:val="la PLACE"/>
        </w:smartTagPr>
        <w:r>
          <w:rPr>
            <w:rFonts w:ascii="Times New Roman" w:eastAsia="Calibri" w:hAnsi="Times New Roman" w:cs="Times New Roman"/>
            <w:sz w:val="22"/>
            <w:szCs w:val="22"/>
            <w:lang w:eastAsia="en-US"/>
          </w:rPr>
          <w:t>la PLACE</w:t>
        </w:r>
      </w:smartTag>
      <w:r>
        <w:rPr>
          <w:rFonts w:ascii="Times New Roman" w:eastAsia="Calibri" w:hAnsi="Times New Roman" w:cs="Times New Roman"/>
          <w:sz w:val="22"/>
          <w:szCs w:val="22"/>
          <w:lang w:eastAsia="en-US"/>
        </w:rPr>
        <w:t xml:space="preserve"> dispose d’une assistance téléphonique joignable au 01 76 64 74 07.</w:t>
      </w:r>
    </w:p>
    <w:p w:rsidR="00C22656" w:rsidRPr="00481770" w:rsidRDefault="00C22656" w:rsidP="00C22656">
      <w:pPr>
        <w:jc w:val="both"/>
        <w:rPr>
          <w:rFonts w:ascii="Times New Roman" w:eastAsia="Calibri" w:hAnsi="Times New Roman" w:cs="Times New Roman"/>
          <w:sz w:val="22"/>
          <w:szCs w:val="22"/>
          <w:lang w:eastAsia="en-US"/>
        </w:rPr>
      </w:pPr>
    </w:p>
    <w:p w:rsidR="00C22656" w:rsidRPr="00481770" w:rsidRDefault="00C22656" w:rsidP="00C22656">
      <w:pPr>
        <w:spacing w:before="100" w:beforeAutospacing="1" w:after="100" w:afterAutospacing="1" w:line="276" w:lineRule="auto"/>
        <w:contextualSpacing/>
        <w:rPr>
          <w:rFonts w:ascii="Times New Roman" w:eastAsia="Calibri" w:hAnsi="Times New Roman" w:cs="Times New Roman"/>
          <w:sz w:val="22"/>
          <w:szCs w:val="22"/>
          <w:u w:val="single"/>
          <w:lang w:eastAsia="en-US"/>
        </w:rPr>
      </w:pPr>
      <w:r w:rsidRPr="00481770">
        <w:rPr>
          <w:rFonts w:ascii="Times New Roman" w:eastAsia="Calibri" w:hAnsi="Times New Roman" w:cs="Times New Roman"/>
          <w:sz w:val="22"/>
          <w:szCs w:val="22"/>
          <w:u w:val="single"/>
          <w:lang w:eastAsia="en-US"/>
        </w:rPr>
        <w:t>M</w:t>
      </w:r>
      <w:r>
        <w:rPr>
          <w:rFonts w:ascii="Times New Roman" w:eastAsia="Calibri" w:hAnsi="Times New Roman" w:cs="Times New Roman"/>
          <w:sz w:val="22"/>
          <w:szCs w:val="22"/>
          <w:u w:val="single"/>
          <w:lang w:eastAsia="en-US"/>
        </w:rPr>
        <w:t>odalités de remise des offres</w:t>
      </w:r>
    </w:p>
    <w:p w:rsidR="005633B3" w:rsidRPr="005633B3" w:rsidRDefault="005633B3" w:rsidP="005633B3">
      <w:pPr>
        <w:spacing w:before="120" w:after="120" w:line="276" w:lineRule="auto"/>
        <w:ind w:right="-70"/>
        <w:jc w:val="both"/>
        <w:rPr>
          <w:rFonts w:ascii="Times New Roman" w:eastAsia="Calibri" w:hAnsi="Times New Roman" w:cs="Times New Roman"/>
          <w:color w:val="0000FF"/>
          <w:sz w:val="22"/>
          <w:szCs w:val="22"/>
          <w:u w:val="single"/>
          <w:lang w:eastAsia="en-US"/>
        </w:rPr>
      </w:pPr>
      <w:r w:rsidRPr="005633B3">
        <w:rPr>
          <w:rFonts w:ascii="Times New Roman" w:eastAsia="Calibri" w:hAnsi="Times New Roman" w:cs="Times New Roman"/>
          <w:sz w:val="22"/>
          <w:szCs w:val="22"/>
          <w:lang w:eastAsia="ar-SA"/>
        </w:rPr>
        <w:t xml:space="preserve">Les candidatures et les offres sont uniquement communiquées par voie électronique </w:t>
      </w:r>
      <w:r w:rsidRPr="005633B3">
        <w:rPr>
          <w:rFonts w:ascii="Times New Roman" w:eastAsia="Calibri" w:hAnsi="Times New Roman" w:cs="Times New Roman"/>
          <w:sz w:val="22"/>
          <w:szCs w:val="22"/>
          <w:lang w:eastAsia="en-US"/>
        </w:rPr>
        <w:t xml:space="preserve">via la plateforme des achats de l’Etat (PLACE) : </w:t>
      </w:r>
      <w:hyperlink r:id="rId8" w:history="1">
        <w:r w:rsidRPr="005633B3">
          <w:rPr>
            <w:rFonts w:ascii="Times New Roman" w:eastAsia="Calibri" w:hAnsi="Times New Roman" w:cs="Times New Roman"/>
            <w:color w:val="0000FF"/>
            <w:sz w:val="22"/>
            <w:szCs w:val="22"/>
            <w:u w:val="single"/>
            <w:lang w:eastAsia="en-US"/>
          </w:rPr>
          <w:t>https://www.marches-publics.gouv.fr</w:t>
        </w:r>
      </w:hyperlink>
      <w:r w:rsidRPr="005633B3">
        <w:rPr>
          <w:rFonts w:ascii="Times New Roman" w:eastAsia="Calibri" w:hAnsi="Times New Roman" w:cs="Times New Roman"/>
          <w:color w:val="0000FF"/>
          <w:sz w:val="22"/>
          <w:szCs w:val="22"/>
          <w:u w:val="single"/>
          <w:lang w:eastAsia="en-US"/>
        </w:rPr>
        <w:t>.</w:t>
      </w:r>
    </w:p>
    <w:p w:rsidR="005633B3" w:rsidRPr="005633B3" w:rsidRDefault="005633B3" w:rsidP="00BB2711">
      <w:pPr>
        <w:spacing w:after="120" w:line="276" w:lineRule="auto"/>
        <w:jc w:val="both"/>
        <w:rPr>
          <w:rFonts w:ascii="Times New Roman" w:eastAsia="Calibri" w:hAnsi="Times New Roman" w:cs="Times New Roman"/>
          <w:sz w:val="22"/>
          <w:szCs w:val="22"/>
          <w:lang w:eastAsia="ar-SA"/>
        </w:rPr>
      </w:pPr>
      <w:r w:rsidRPr="005633B3">
        <w:rPr>
          <w:rFonts w:ascii="Times New Roman" w:eastAsia="Calibri" w:hAnsi="Times New Roman" w:cs="Times New Roman"/>
          <w:sz w:val="22"/>
          <w:szCs w:val="22"/>
          <w:lang w:eastAsia="ar-SA"/>
        </w:rPr>
        <w:t>Seules les données collectées sur la plateforme font foi et peuvent être utilisées pour déposer des plis. Les erreurs liées à l’utilisation de données extérieures à la plateforme peuvent entraîner le rejet de l’offre. Le pouvoir adjudicateur décline toute responsabilité du fait d’éventuelles récupérations de fichiers contenant des erreurs.</w:t>
      </w:r>
    </w:p>
    <w:p w:rsidR="00BB2711" w:rsidRDefault="00BB2711" w:rsidP="00BB2711">
      <w:pPr>
        <w:spacing w:before="120" w:after="120" w:line="276" w:lineRule="auto"/>
        <w:ind w:right="-68"/>
        <w:jc w:val="both"/>
        <w:rPr>
          <w:rFonts w:ascii="Times New Roman" w:eastAsia="Calibri" w:hAnsi="Times New Roman" w:cs="Times New Roman"/>
          <w:sz w:val="22"/>
          <w:szCs w:val="22"/>
          <w:lang w:eastAsia="ar-SA"/>
        </w:rPr>
      </w:pPr>
      <w:r>
        <w:rPr>
          <w:rFonts w:ascii="Times New Roman" w:eastAsia="Calibri" w:hAnsi="Times New Roman" w:cs="Times New Roman"/>
          <w:sz w:val="22"/>
          <w:szCs w:val="22"/>
          <w:lang w:eastAsia="ar-SA"/>
        </w:rPr>
        <w:t xml:space="preserve">Dans le cadre de cette procédure, </w:t>
      </w:r>
      <w:r w:rsidRPr="004F5FC5">
        <w:rPr>
          <w:rFonts w:ascii="Times New Roman" w:eastAsia="Calibri" w:hAnsi="Times New Roman" w:cs="Times New Roman"/>
          <w:b/>
          <w:sz w:val="22"/>
          <w:szCs w:val="22"/>
          <w:lang w:eastAsia="ar-SA"/>
        </w:rPr>
        <w:t>la signature électronique n’est pas requise.</w:t>
      </w:r>
    </w:p>
    <w:p w:rsidR="00BB2711" w:rsidRDefault="00BB2711" w:rsidP="00BB2711">
      <w:pPr>
        <w:spacing w:before="120" w:after="120"/>
        <w:jc w:val="both"/>
        <w:rPr>
          <w:rFonts w:ascii="Times New Roman" w:eastAsia="Calibri" w:hAnsi="Times New Roman" w:cs="Times New Roman"/>
          <w:sz w:val="22"/>
          <w:szCs w:val="22"/>
          <w:lang w:eastAsia="en-US"/>
        </w:rPr>
      </w:pPr>
      <w:r w:rsidRPr="00481770">
        <w:rPr>
          <w:rFonts w:ascii="Times New Roman" w:eastAsia="Calibri" w:hAnsi="Times New Roman" w:cs="Times New Roman"/>
          <w:sz w:val="22"/>
          <w:szCs w:val="22"/>
          <w:lang w:eastAsia="en-US"/>
        </w:rPr>
        <w:t>Pour toute question relative au téléchargement du dossier ou à la remise des offres, il convient de se rendre à l’adresse suivante :</w:t>
      </w:r>
      <w:r>
        <w:rPr>
          <w:rFonts w:ascii="Times New Roman" w:eastAsia="Calibri" w:hAnsi="Times New Roman" w:cs="Times New Roman"/>
          <w:sz w:val="22"/>
          <w:szCs w:val="22"/>
          <w:lang w:eastAsia="en-US"/>
        </w:rPr>
        <w:t xml:space="preserve"> </w:t>
      </w:r>
      <w:hyperlink r:id="rId9" w:history="1">
        <w:r w:rsidRPr="00481770">
          <w:rPr>
            <w:rFonts w:ascii="Times New Roman" w:eastAsia="Calibri" w:hAnsi="Times New Roman" w:cs="Times New Roman"/>
            <w:color w:val="0000FF"/>
            <w:sz w:val="22"/>
            <w:szCs w:val="22"/>
            <w:u w:val="single"/>
            <w:lang w:eastAsia="en-US"/>
          </w:rPr>
          <w:t>https://www.marches-publics.gouv.fr/?page=entreprise.EntreprisePremiereVisite</w:t>
        </w:r>
      </w:hyperlink>
      <w:r>
        <w:rPr>
          <w:rFonts w:ascii="Times New Roman" w:eastAsia="Calibri" w:hAnsi="Times New Roman" w:cs="Times New Roman"/>
          <w:color w:val="0000FF"/>
          <w:sz w:val="22"/>
          <w:szCs w:val="22"/>
          <w:u w:val="single"/>
          <w:lang w:eastAsia="en-US"/>
        </w:rPr>
        <w:t>.</w:t>
      </w:r>
    </w:p>
    <w:p w:rsidR="005633B3" w:rsidRPr="005633B3" w:rsidRDefault="005633B3" w:rsidP="005633B3">
      <w:pPr>
        <w:spacing w:before="120" w:after="120" w:line="276" w:lineRule="auto"/>
        <w:jc w:val="both"/>
        <w:rPr>
          <w:rFonts w:ascii="Times New Roman" w:eastAsia="Calibri" w:hAnsi="Times New Roman" w:cs="Times New Roman"/>
          <w:sz w:val="22"/>
          <w:szCs w:val="22"/>
          <w:lang w:eastAsia="ar-SA"/>
        </w:rPr>
      </w:pPr>
      <w:r w:rsidRPr="005633B3">
        <w:rPr>
          <w:rFonts w:ascii="Times New Roman" w:eastAsia="Calibri" w:hAnsi="Times New Roman" w:cs="Times New Roman"/>
          <w:sz w:val="22"/>
          <w:szCs w:val="22"/>
          <w:lang w:eastAsia="ar-SA"/>
        </w:rPr>
        <w:t xml:space="preserve">Lorsque le </w:t>
      </w:r>
      <w:r w:rsidR="00CC3C19">
        <w:rPr>
          <w:rFonts w:ascii="Times New Roman" w:eastAsia="Calibri" w:hAnsi="Times New Roman" w:cs="Times New Roman"/>
          <w:sz w:val="22"/>
          <w:szCs w:val="22"/>
          <w:lang w:eastAsia="ar-SA"/>
        </w:rPr>
        <w:t>soumissionnaire</w:t>
      </w:r>
      <w:r w:rsidRPr="005633B3">
        <w:rPr>
          <w:rFonts w:ascii="Times New Roman" w:eastAsia="Calibri" w:hAnsi="Times New Roman" w:cs="Times New Roman"/>
          <w:sz w:val="22"/>
          <w:szCs w:val="22"/>
          <w:lang w:eastAsia="ar-SA"/>
        </w:rPr>
        <w:t xml:space="preserve"> dépose ses plis, il reçoit en retour un accusé de réception signé par la plate-forme indiquant la bonne réception des plis et rappelant les caractéristiques essentielles de la consultation. Cet accusé de réception par courrier électronique sert de preuve de dépôt opposable pour le soumissionnaire.</w:t>
      </w:r>
    </w:p>
    <w:p w:rsidR="005633B3" w:rsidRPr="005633B3" w:rsidRDefault="005633B3" w:rsidP="005633B3">
      <w:pPr>
        <w:spacing w:after="120" w:line="276" w:lineRule="auto"/>
        <w:jc w:val="both"/>
        <w:rPr>
          <w:rFonts w:ascii="Times New Roman" w:eastAsia="Calibri" w:hAnsi="Times New Roman" w:cs="Times New Roman"/>
          <w:sz w:val="22"/>
          <w:szCs w:val="22"/>
          <w:lang w:eastAsia="ar-SA"/>
        </w:rPr>
      </w:pPr>
      <w:r w:rsidRPr="005633B3">
        <w:rPr>
          <w:rFonts w:ascii="Times New Roman" w:eastAsia="Calibri" w:hAnsi="Times New Roman" w:cs="Times New Roman"/>
          <w:sz w:val="22"/>
          <w:szCs w:val="22"/>
          <w:lang w:eastAsia="ar-SA"/>
        </w:rPr>
        <w:t xml:space="preserve">Le </w:t>
      </w:r>
      <w:r w:rsidR="00CC3C19">
        <w:rPr>
          <w:rFonts w:ascii="Times New Roman" w:eastAsia="Calibri" w:hAnsi="Times New Roman" w:cs="Times New Roman"/>
          <w:sz w:val="22"/>
          <w:szCs w:val="22"/>
          <w:lang w:eastAsia="ar-SA"/>
        </w:rPr>
        <w:t>soumissionnaire</w:t>
      </w:r>
      <w:r w:rsidRPr="005633B3">
        <w:rPr>
          <w:rFonts w:ascii="Times New Roman" w:eastAsia="Calibri" w:hAnsi="Times New Roman" w:cs="Times New Roman"/>
          <w:sz w:val="22"/>
          <w:szCs w:val="22"/>
          <w:lang w:eastAsia="ar-SA"/>
        </w:rPr>
        <w:t xml:space="preserve"> peut effectuer à titre de copie de sauvegarde une transmission sur support physique électronique (CD-R</w:t>
      </w:r>
      <w:r>
        <w:rPr>
          <w:rFonts w:ascii="Times New Roman" w:eastAsia="Calibri" w:hAnsi="Times New Roman" w:cs="Times New Roman"/>
          <w:sz w:val="22"/>
          <w:szCs w:val="22"/>
          <w:lang w:eastAsia="ar-SA"/>
        </w:rPr>
        <w:t>OM</w:t>
      </w:r>
      <w:r w:rsidRPr="005633B3">
        <w:rPr>
          <w:rFonts w:ascii="Times New Roman" w:eastAsia="Calibri" w:hAnsi="Times New Roman" w:cs="Times New Roman"/>
          <w:sz w:val="22"/>
          <w:szCs w:val="22"/>
          <w:lang w:eastAsia="ar-SA"/>
        </w:rPr>
        <w:t>, clé USB…) ou sur papier. Cette copie des dossiers des candidatures et des offres est destinée à se substituer en cas d’anomalie au dossier des candidatures et des offres transmis par voie électronique au pouvoir adjudicateur.</w:t>
      </w:r>
    </w:p>
    <w:p w:rsidR="005633B3" w:rsidRPr="005633B3" w:rsidRDefault="005633B3" w:rsidP="005633B3">
      <w:pPr>
        <w:spacing w:after="120" w:line="276" w:lineRule="auto"/>
        <w:jc w:val="both"/>
        <w:rPr>
          <w:rFonts w:ascii="Times New Roman" w:eastAsia="Calibri" w:hAnsi="Times New Roman" w:cs="Times New Roman"/>
          <w:sz w:val="22"/>
          <w:szCs w:val="22"/>
          <w:lang w:eastAsia="ar-SA"/>
        </w:rPr>
      </w:pPr>
      <w:r w:rsidRPr="005633B3">
        <w:rPr>
          <w:rFonts w:ascii="Times New Roman" w:eastAsia="Calibri" w:hAnsi="Times New Roman" w:cs="Times New Roman"/>
          <w:sz w:val="22"/>
          <w:szCs w:val="22"/>
          <w:lang w:eastAsia="ar-SA"/>
        </w:rPr>
        <w:t>Cette copie de sauvegarde est transmise au pouvoir adjudicateur dans les délais impartis pour la remise des candidatures et des offres. Elle est ouverte d</w:t>
      </w:r>
      <w:bookmarkStart w:id="0" w:name="_GoBack"/>
      <w:bookmarkEnd w:id="0"/>
      <w:r w:rsidRPr="005633B3">
        <w:rPr>
          <w:rFonts w:ascii="Times New Roman" w:eastAsia="Calibri" w:hAnsi="Times New Roman" w:cs="Times New Roman"/>
          <w:sz w:val="22"/>
          <w:szCs w:val="22"/>
          <w:lang w:eastAsia="ar-SA"/>
        </w:rPr>
        <w:t>ans les cas suivants :</w:t>
      </w:r>
    </w:p>
    <w:p w:rsidR="005633B3" w:rsidRPr="005633B3" w:rsidRDefault="005633B3" w:rsidP="005633B3">
      <w:pPr>
        <w:numPr>
          <w:ilvl w:val="0"/>
          <w:numId w:val="1"/>
        </w:numPr>
        <w:spacing w:after="120" w:line="276" w:lineRule="auto"/>
        <w:contextualSpacing/>
        <w:jc w:val="both"/>
        <w:rPr>
          <w:rFonts w:ascii="Times New Roman" w:eastAsia="Calibri" w:hAnsi="Times New Roman" w:cs="Times New Roman"/>
          <w:sz w:val="22"/>
          <w:szCs w:val="22"/>
          <w:lang w:eastAsia="ar-SA"/>
        </w:rPr>
      </w:pPr>
      <w:r w:rsidRPr="005633B3">
        <w:rPr>
          <w:rFonts w:ascii="Times New Roman" w:eastAsia="Calibri" w:hAnsi="Times New Roman" w:cs="Times New Roman"/>
          <w:sz w:val="22"/>
          <w:szCs w:val="22"/>
          <w:lang w:eastAsia="ar-SA"/>
        </w:rPr>
        <w:t>lorsque dans les candidatures et les offres transmises par voie électronique, un programme malveillant (ou « virus ») est détecté par le pouvoir adjudicateur ;</w:t>
      </w:r>
    </w:p>
    <w:p w:rsidR="005633B3" w:rsidRPr="005633B3" w:rsidRDefault="005633B3" w:rsidP="005633B3">
      <w:pPr>
        <w:numPr>
          <w:ilvl w:val="0"/>
          <w:numId w:val="1"/>
        </w:numPr>
        <w:spacing w:after="120" w:line="276" w:lineRule="auto"/>
        <w:contextualSpacing/>
        <w:jc w:val="both"/>
        <w:rPr>
          <w:rFonts w:ascii="Times New Roman" w:eastAsia="Calibri" w:hAnsi="Times New Roman" w:cs="Times New Roman"/>
          <w:sz w:val="22"/>
          <w:szCs w:val="22"/>
          <w:lang w:eastAsia="ar-SA"/>
        </w:rPr>
      </w:pPr>
      <w:r w:rsidRPr="005633B3">
        <w:rPr>
          <w:rFonts w:ascii="Times New Roman" w:eastAsia="Calibri" w:hAnsi="Times New Roman" w:cs="Times New Roman"/>
          <w:sz w:val="22"/>
          <w:szCs w:val="22"/>
          <w:lang w:eastAsia="ar-SA"/>
        </w:rPr>
        <w:lastRenderedPageBreak/>
        <w:t>lorsqu’une candidature ou une offre a été transmise par voie électronique, mais n’est pas parvenue au pouvoir adjudicateur dans les délais (ex : aléas de transmission), alors que la copie de sauvegarde est, elle, parvenue dans les délais ;</w:t>
      </w:r>
    </w:p>
    <w:p w:rsidR="005633B3" w:rsidRPr="005633B3" w:rsidRDefault="005633B3" w:rsidP="005633B3">
      <w:pPr>
        <w:numPr>
          <w:ilvl w:val="0"/>
          <w:numId w:val="1"/>
        </w:numPr>
        <w:spacing w:after="120" w:line="276" w:lineRule="auto"/>
        <w:contextualSpacing/>
        <w:jc w:val="both"/>
        <w:rPr>
          <w:rFonts w:ascii="Times New Roman" w:eastAsia="Calibri" w:hAnsi="Times New Roman" w:cs="Times New Roman"/>
          <w:sz w:val="22"/>
          <w:szCs w:val="22"/>
          <w:lang w:eastAsia="ar-SA"/>
        </w:rPr>
      </w:pPr>
      <w:r w:rsidRPr="005633B3">
        <w:rPr>
          <w:rFonts w:ascii="Times New Roman" w:eastAsia="Calibri" w:hAnsi="Times New Roman" w:cs="Times New Roman"/>
          <w:sz w:val="22"/>
          <w:szCs w:val="22"/>
          <w:lang w:eastAsia="ar-SA"/>
        </w:rPr>
        <w:t>en cas de défaillance du système informatique supportant la dématérialisation.</w:t>
      </w:r>
    </w:p>
    <w:p w:rsidR="005633B3" w:rsidRPr="005633B3" w:rsidRDefault="005633B3" w:rsidP="005633B3">
      <w:pPr>
        <w:spacing w:after="120" w:line="276" w:lineRule="auto"/>
        <w:jc w:val="both"/>
        <w:rPr>
          <w:rFonts w:ascii="Times New Roman" w:eastAsia="Calibri" w:hAnsi="Times New Roman" w:cs="Times New Roman"/>
          <w:sz w:val="22"/>
          <w:szCs w:val="22"/>
          <w:lang w:eastAsia="ar-SA"/>
        </w:rPr>
      </w:pPr>
      <w:r w:rsidRPr="005633B3">
        <w:rPr>
          <w:rFonts w:ascii="Times New Roman" w:eastAsia="Calibri" w:hAnsi="Times New Roman" w:cs="Times New Roman"/>
          <w:sz w:val="22"/>
          <w:szCs w:val="22"/>
          <w:lang w:eastAsia="ar-SA"/>
        </w:rPr>
        <w:t>En cas d’envoi d’une copie de sauvegarde, celle-ci est placée dans un pli scellé comportant la mention lisible « COPIE DE SAUVEGARDE » avec les références précises de la procédure et le nom du soumissionnaire.</w:t>
      </w:r>
    </w:p>
    <w:p w:rsidR="00762B70" w:rsidRPr="005633B3" w:rsidRDefault="005633B3" w:rsidP="005633B3">
      <w:pPr>
        <w:spacing w:after="120" w:line="276" w:lineRule="auto"/>
        <w:jc w:val="both"/>
        <w:rPr>
          <w:rFonts w:ascii="Times New Roman" w:eastAsia="Calibri" w:hAnsi="Times New Roman" w:cs="Times New Roman"/>
          <w:sz w:val="22"/>
          <w:szCs w:val="22"/>
          <w:lang w:eastAsia="ar-SA"/>
        </w:rPr>
      </w:pPr>
      <w:r w:rsidRPr="005633B3">
        <w:rPr>
          <w:rFonts w:ascii="Times New Roman" w:eastAsia="Calibri" w:hAnsi="Times New Roman" w:cs="Times New Roman"/>
          <w:sz w:val="22"/>
          <w:szCs w:val="22"/>
          <w:lang w:eastAsia="ar-SA"/>
        </w:rPr>
        <w:t xml:space="preserve">Les dossiers transmis par voie électronique, parvenus hors délai, seront effacés des fichiers du pouvoir adjudicateur sans avoir été lus. Le </w:t>
      </w:r>
      <w:r w:rsidR="00CC3C19">
        <w:rPr>
          <w:rFonts w:ascii="Times New Roman" w:eastAsia="Calibri" w:hAnsi="Times New Roman" w:cs="Times New Roman"/>
          <w:sz w:val="22"/>
          <w:szCs w:val="22"/>
          <w:lang w:eastAsia="ar-SA"/>
        </w:rPr>
        <w:t>soumissionnaire</w:t>
      </w:r>
      <w:r w:rsidRPr="005633B3">
        <w:rPr>
          <w:rFonts w:ascii="Times New Roman" w:eastAsia="Calibri" w:hAnsi="Times New Roman" w:cs="Times New Roman"/>
          <w:sz w:val="22"/>
          <w:szCs w:val="22"/>
          <w:lang w:eastAsia="ar-SA"/>
        </w:rPr>
        <w:t xml:space="preserve"> en sera informé.</w:t>
      </w:r>
    </w:p>
    <w:sectPr w:rsidR="00762B70" w:rsidRPr="005633B3">
      <w:footerReference w:type="even" r:id="rId10"/>
      <w:footerReference w:type="default" r:id="rId11"/>
      <w:pgSz w:w="11907" w:h="16840" w:code="9"/>
      <w:pgMar w:top="1276" w:right="1134" w:bottom="1418" w:left="1134" w:header="567" w:footer="4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43D3" w:rsidRDefault="00D843D3">
      <w:r>
        <w:separator/>
      </w:r>
    </w:p>
  </w:endnote>
  <w:endnote w:type="continuationSeparator" w:id="0">
    <w:p w:rsidR="00D843D3" w:rsidRDefault="00D84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E32" w:rsidRDefault="00395E3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95E32" w:rsidRDefault="00395E3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7A7" w:rsidRPr="008A27A7" w:rsidRDefault="008A27A7" w:rsidP="008A27A7">
    <w:pPr>
      <w:pStyle w:val="Pieddepage"/>
      <w:jc w:val="center"/>
      <w:rPr>
        <w:rFonts w:ascii="Times New Roman" w:hAnsi="Times New Roman" w:cs="Times New Roman"/>
        <w:bCs/>
        <w:sz w:val="22"/>
        <w:szCs w:val="24"/>
      </w:rPr>
    </w:pPr>
    <w:r w:rsidRPr="000F0C9D">
      <w:rPr>
        <w:rFonts w:ascii="Times New Roman" w:hAnsi="Times New Roman" w:cs="Times New Roman"/>
        <w:bCs/>
        <w:sz w:val="22"/>
        <w:szCs w:val="24"/>
      </w:rPr>
      <w:t>DCE n° 202</w:t>
    </w:r>
    <w:r w:rsidR="00B624BB">
      <w:rPr>
        <w:rFonts w:ascii="Times New Roman" w:hAnsi="Times New Roman" w:cs="Times New Roman"/>
        <w:bCs/>
        <w:sz w:val="22"/>
        <w:szCs w:val="24"/>
      </w:rPr>
      <w:t>5</w:t>
    </w:r>
    <w:r w:rsidR="002A5267">
      <w:rPr>
        <w:rFonts w:ascii="Times New Roman" w:hAnsi="Times New Roman" w:cs="Times New Roman"/>
        <w:bCs/>
        <w:sz w:val="22"/>
        <w:szCs w:val="24"/>
      </w:rPr>
      <w:t>-</w:t>
    </w:r>
    <w:r w:rsidR="00B624BB">
      <w:rPr>
        <w:rFonts w:ascii="Times New Roman" w:hAnsi="Times New Roman" w:cs="Times New Roman"/>
        <w:bCs/>
        <w:sz w:val="22"/>
        <w:szCs w:val="24"/>
      </w:rPr>
      <w:t>0</w:t>
    </w:r>
    <w:r w:rsidR="0047632A">
      <w:rPr>
        <w:rFonts w:ascii="Times New Roman" w:hAnsi="Times New Roman" w:cs="Times New Roman"/>
        <w:bCs/>
        <w:sz w:val="22"/>
        <w:szCs w:val="24"/>
      </w:rPr>
      <w:t>473</w:t>
    </w:r>
    <w:r w:rsidRPr="000F0C9D">
      <w:rPr>
        <w:rFonts w:ascii="Times New Roman" w:hAnsi="Times New Roman" w:cs="Times New Roman"/>
        <w:bCs/>
        <w:sz w:val="22"/>
        <w:szCs w:val="24"/>
      </w:rPr>
      <w:t xml:space="preserve">/EdA-DA </w:t>
    </w:r>
  </w:p>
  <w:p w:rsidR="00B624BB" w:rsidRPr="0047632A" w:rsidRDefault="0047632A" w:rsidP="002A5267">
    <w:pPr>
      <w:jc w:val="center"/>
      <w:rPr>
        <w:rFonts w:ascii="Times New Roman" w:hAnsi="Times New Roman" w:cs="Times New Roman"/>
        <w:bCs/>
        <w:sz w:val="22"/>
        <w:szCs w:val="24"/>
      </w:rPr>
    </w:pPr>
    <w:r w:rsidRPr="0047632A">
      <w:rPr>
        <w:rFonts w:ascii="Times New Roman" w:hAnsi="Times New Roman" w:cs="Times New Roman"/>
        <w:bCs/>
        <w:sz w:val="22"/>
        <w:szCs w:val="24"/>
      </w:rPr>
      <w:t>Remplacement des chambres froides du bâtiment 119 de la caserne Changarnier – AUTUN (71)</w:t>
    </w:r>
  </w:p>
  <w:p w:rsidR="005633B3" w:rsidRPr="008A27A7" w:rsidRDefault="005633B3" w:rsidP="008A27A7">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43D3" w:rsidRDefault="00D843D3">
      <w:r>
        <w:separator/>
      </w:r>
    </w:p>
  </w:footnote>
  <w:footnote w:type="continuationSeparator" w:id="0">
    <w:p w:rsidR="00D843D3" w:rsidRDefault="00D843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54F3E"/>
    <w:multiLevelType w:val="hybridMultilevel"/>
    <w:tmpl w:val="8B70D27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31756"/>
    <w:multiLevelType w:val="hybridMultilevel"/>
    <w:tmpl w:val="DAA22D5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D05280"/>
    <w:multiLevelType w:val="hybridMultilevel"/>
    <w:tmpl w:val="7946CE64"/>
    <w:lvl w:ilvl="0" w:tplc="D0A028B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E65269"/>
    <w:multiLevelType w:val="hybridMultilevel"/>
    <w:tmpl w:val="970626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AE5D3D"/>
    <w:multiLevelType w:val="hybridMultilevel"/>
    <w:tmpl w:val="51A6D9E8"/>
    <w:lvl w:ilvl="0" w:tplc="D0A028B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7CF0C52"/>
    <w:multiLevelType w:val="hybridMultilevel"/>
    <w:tmpl w:val="E952B37C"/>
    <w:lvl w:ilvl="0" w:tplc="1F1E0F10">
      <w:start w:val="1"/>
      <w:numFmt w:val="bullet"/>
      <w:lvlText w:val="-"/>
      <w:lvlJc w:val="left"/>
      <w:pPr>
        <w:ind w:left="720" w:hanging="360"/>
      </w:pPr>
      <w:rPr>
        <w:rFonts w:ascii="Tahoma" w:eastAsia="Times New Roman" w:hAnsi="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9" w:dllVersion="512" w:checkStyle="1"/>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B70"/>
    <w:rsid w:val="00036FCA"/>
    <w:rsid w:val="00037367"/>
    <w:rsid w:val="00043866"/>
    <w:rsid w:val="00045D34"/>
    <w:rsid w:val="000503E0"/>
    <w:rsid w:val="000559F3"/>
    <w:rsid w:val="0007079F"/>
    <w:rsid w:val="000B74DA"/>
    <w:rsid w:val="000E6E8B"/>
    <w:rsid w:val="000F0C9D"/>
    <w:rsid w:val="00105487"/>
    <w:rsid w:val="001325AE"/>
    <w:rsid w:val="00177151"/>
    <w:rsid w:val="00182C9F"/>
    <w:rsid w:val="001B22ED"/>
    <w:rsid w:val="001D4C71"/>
    <w:rsid w:val="001E04BB"/>
    <w:rsid w:val="001F0EFE"/>
    <w:rsid w:val="001F5C23"/>
    <w:rsid w:val="00221E57"/>
    <w:rsid w:val="00224073"/>
    <w:rsid w:val="00266EC1"/>
    <w:rsid w:val="00277BA7"/>
    <w:rsid w:val="00291A19"/>
    <w:rsid w:val="002965FA"/>
    <w:rsid w:val="002966CC"/>
    <w:rsid w:val="002A5267"/>
    <w:rsid w:val="002A5C6D"/>
    <w:rsid w:val="002B5B23"/>
    <w:rsid w:val="002E63BE"/>
    <w:rsid w:val="002F0DDC"/>
    <w:rsid w:val="00306A09"/>
    <w:rsid w:val="00316C41"/>
    <w:rsid w:val="003228DA"/>
    <w:rsid w:val="00325739"/>
    <w:rsid w:val="00331DE8"/>
    <w:rsid w:val="0033663B"/>
    <w:rsid w:val="003472A7"/>
    <w:rsid w:val="00350B39"/>
    <w:rsid w:val="00377172"/>
    <w:rsid w:val="00395E32"/>
    <w:rsid w:val="003A3382"/>
    <w:rsid w:val="003F6B58"/>
    <w:rsid w:val="00423FE5"/>
    <w:rsid w:val="00470C41"/>
    <w:rsid w:val="00475E32"/>
    <w:rsid w:val="0047632A"/>
    <w:rsid w:val="004A0CE4"/>
    <w:rsid w:val="004C223B"/>
    <w:rsid w:val="004F5FC5"/>
    <w:rsid w:val="004F6A14"/>
    <w:rsid w:val="00500670"/>
    <w:rsid w:val="005633B3"/>
    <w:rsid w:val="005D12EE"/>
    <w:rsid w:val="00610FAF"/>
    <w:rsid w:val="00627DA2"/>
    <w:rsid w:val="00634ACC"/>
    <w:rsid w:val="00657ECB"/>
    <w:rsid w:val="00670E74"/>
    <w:rsid w:val="006A56D6"/>
    <w:rsid w:val="006B16A3"/>
    <w:rsid w:val="006C1F75"/>
    <w:rsid w:val="00706C81"/>
    <w:rsid w:val="00710F92"/>
    <w:rsid w:val="0071497B"/>
    <w:rsid w:val="00730D46"/>
    <w:rsid w:val="00762B70"/>
    <w:rsid w:val="00763E93"/>
    <w:rsid w:val="007850C3"/>
    <w:rsid w:val="007936F4"/>
    <w:rsid w:val="008052FE"/>
    <w:rsid w:val="008154A1"/>
    <w:rsid w:val="00816C66"/>
    <w:rsid w:val="008171B8"/>
    <w:rsid w:val="00817C47"/>
    <w:rsid w:val="00863127"/>
    <w:rsid w:val="008A27A7"/>
    <w:rsid w:val="008B7A27"/>
    <w:rsid w:val="008D66B5"/>
    <w:rsid w:val="00925E22"/>
    <w:rsid w:val="009270D9"/>
    <w:rsid w:val="009444AE"/>
    <w:rsid w:val="009A29FC"/>
    <w:rsid w:val="009B21B0"/>
    <w:rsid w:val="009B46C3"/>
    <w:rsid w:val="00A0016D"/>
    <w:rsid w:val="00A1798C"/>
    <w:rsid w:val="00A36F7E"/>
    <w:rsid w:val="00A37091"/>
    <w:rsid w:val="00A504A2"/>
    <w:rsid w:val="00A62165"/>
    <w:rsid w:val="00A76806"/>
    <w:rsid w:val="00A806CF"/>
    <w:rsid w:val="00A82291"/>
    <w:rsid w:val="00AD6C6F"/>
    <w:rsid w:val="00B22ECC"/>
    <w:rsid w:val="00B4207C"/>
    <w:rsid w:val="00B5033F"/>
    <w:rsid w:val="00B624BB"/>
    <w:rsid w:val="00B640D5"/>
    <w:rsid w:val="00B8430E"/>
    <w:rsid w:val="00BB2711"/>
    <w:rsid w:val="00BB4F4A"/>
    <w:rsid w:val="00BE5EA5"/>
    <w:rsid w:val="00C05892"/>
    <w:rsid w:val="00C225F0"/>
    <w:rsid w:val="00C22656"/>
    <w:rsid w:val="00C4123D"/>
    <w:rsid w:val="00CB547D"/>
    <w:rsid w:val="00CC3C19"/>
    <w:rsid w:val="00CE6B94"/>
    <w:rsid w:val="00CE78D5"/>
    <w:rsid w:val="00CF7B81"/>
    <w:rsid w:val="00D0235D"/>
    <w:rsid w:val="00D163E8"/>
    <w:rsid w:val="00D414DB"/>
    <w:rsid w:val="00D42B92"/>
    <w:rsid w:val="00D61761"/>
    <w:rsid w:val="00D625AB"/>
    <w:rsid w:val="00D6677B"/>
    <w:rsid w:val="00D843D3"/>
    <w:rsid w:val="00D87328"/>
    <w:rsid w:val="00DC42AA"/>
    <w:rsid w:val="00DC5AF5"/>
    <w:rsid w:val="00DF3C74"/>
    <w:rsid w:val="00E03BCB"/>
    <w:rsid w:val="00E808A9"/>
    <w:rsid w:val="00EA4A2C"/>
    <w:rsid w:val="00EB075E"/>
    <w:rsid w:val="00ED459E"/>
    <w:rsid w:val="00EE4F1B"/>
    <w:rsid w:val="00F145D3"/>
    <w:rsid w:val="00F666EC"/>
    <w:rsid w:val="00F73C8A"/>
    <w:rsid w:val="00F83E62"/>
    <w:rsid w:val="00F85874"/>
    <w:rsid w:val="00F97E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1"/>
    <o:shapelayout v:ext="edit">
      <o:idmap v:ext="edit" data="1"/>
    </o:shapelayout>
  </w:shapeDefaults>
  <w:decimalSymbol w:val=","/>
  <w:listSeparator w:val=";"/>
  <w14:docId w14:val="1E63F803"/>
  <w15:chartTrackingRefBased/>
  <w15:docId w15:val="{D17B22BC-4925-492C-AB31-4F364F280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cs="Arial"/>
      <w:sz w:val="24"/>
    </w:rPr>
  </w:style>
  <w:style w:type="paragraph" w:styleId="Titre1">
    <w:name w:val="heading 1"/>
    <w:basedOn w:val="Normal"/>
    <w:next w:val="Normal"/>
    <w:qFormat/>
    <w:pPr>
      <w:keepNext/>
      <w:outlineLvl w:val="0"/>
    </w:pPr>
    <w:rPr>
      <w:b/>
      <w:kern w:val="28"/>
    </w:rPr>
  </w:style>
  <w:style w:type="paragraph" w:styleId="Titre2">
    <w:name w:val="heading 2"/>
    <w:basedOn w:val="Normal"/>
    <w:next w:val="Normal"/>
    <w:qFormat/>
    <w:pPr>
      <w:keepNext/>
      <w:outlineLvl w:val="1"/>
    </w:pPr>
  </w:style>
  <w:style w:type="paragraph" w:styleId="Titre3">
    <w:name w:val="heading 3"/>
    <w:basedOn w:val="Normal"/>
    <w:next w:val="Normal"/>
    <w:qFormat/>
    <w:pPr>
      <w:keepNext/>
      <w:outlineLvl w:val="2"/>
    </w:pPr>
    <w:rPr>
      <w:lang w:val="fr-CA"/>
    </w:rPr>
  </w:style>
  <w:style w:type="paragraph" w:styleId="Titre4">
    <w:name w:val="heading 4"/>
    <w:basedOn w:val="Normal"/>
    <w:next w:val="Normal"/>
    <w:qFormat/>
    <w:pPr>
      <w:keepNext/>
      <w:jc w:val="both"/>
      <w:outlineLvl w:val="3"/>
    </w:pPr>
  </w:style>
  <w:style w:type="paragraph" w:styleId="Titre5">
    <w:name w:val="heading 5"/>
    <w:basedOn w:val="Normal"/>
    <w:next w:val="Normal"/>
    <w:qFormat/>
    <w:pPr>
      <w:keepNext/>
      <w:jc w:val="both"/>
      <w:outlineLvl w:val="4"/>
    </w:pPr>
    <w:rPr>
      <w:b/>
    </w:rPr>
  </w:style>
  <w:style w:type="paragraph" w:styleId="Titre6">
    <w:name w:val="heading 6"/>
    <w:basedOn w:val="Normal"/>
    <w:next w:val="Normal"/>
    <w:qFormat/>
    <w:pPr>
      <w:keepNext/>
      <w:jc w:val="center"/>
      <w:outlineLvl w:val="5"/>
    </w:pPr>
    <w:rPr>
      <w:b/>
    </w:rPr>
  </w:style>
  <w:style w:type="paragraph" w:styleId="Titre7">
    <w:name w:val="heading 7"/>
    <w:basedOn w:val="Normal"/>
    <w:next w:val="Normal"/>
    <w:qFormat/>
    <w:pPr>
      <w:keepNext/>
      <w:jc w:val="center"/>
      <w:outlineLvl w:val="6"/>
    </w:pPr>
  </w:style>
  <w:style w:type="paragraph" w:styleId="Titre8">
    <w:name w:val="heading 8"/>
    <w:basedOn w:val="Normal"/>
    <w:next w:val="Normal"/>
    <w:qFormat/>
    <w:pPr>
      <w:keepNext/>
      <w:spacing w:before="120" w:after="120"/>
      <w:ind w:left="145"/>
      <w:jc w:val="both"/>
      <w:outlineLvl w:val="7"/>
    </w:pPr>
  </w:style>
  <w:style w:type="paragraph" w:styleId="Titre9">
    <w:name w:val="heading 9"/>
    <w:basedOn w:val="Normal"/>
    <w:next w:val="Normal"/>
    <w:qFormat/>
    <w:pPr>
      <w:keepNext/>
      <w:pBdr>
        <w:top w:val="single" w:sz="4" w:space="6" w:color="auto"/>
        <w:left w:val="single" w:sz="4" w:space="6" w:color="auto"/>
        <w:bottom w:val="single" w:sz="4" w:space="6" w:color="auto"/>
        <w:right w:val="single" w:sz="4" w:space="6" w:color="auto"/>
      </w:pBdr>
      <w:shd w:val="pct25" w:color="auto" w:fill="FFFFFF"/>
      <w:jc w:val="both"/>
      <w:outlineLvl w:val="8"/>
    </w:pPr>
    <w:rPr>
      <w: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En-tte">
    <w:name w:val="header"/>
    <w:basedOn w:val="Normal"/>
    <w:pPr>
      <w:widowControl w:val="0"/>
      <w:tabs>
        <w:tab w:val="center" w:pos="4819"/>
        <w:tab w:val="right" w:pos="9071"/>
      </w:tabs>
    </w:pPr>
  </w:style>
  <w:style w:type="paragraph" w:styleId="Pieddepage">
    <w:name w:val="footer"/>
    <w:basedOn w:val="Normal"/>
    <w:pPr>
      <w:tabs>
        <w:tab w:val="center" w:pos="4536"/>
        <w:tab w:val="right" w:pos="9072"/>
      </w:tabs>
    </w:pPr>
  </w:style>
  <w:style w:type="paragraph" w:styleId="Notedebasdepage">
    <w:name w:val="footnote text"/>
    <w:basedOn w:val="Normal"/>
    <w:semiHidden/>
  </w:style>
  <w:style w:type="character" w:styleId="Appelnotedebasdep">
    <w:name w:val="footnote reference"/>
    <w:uiPriority w:val="99"/>
    <w:semiHidden/>
    <w:rPr>
      <w:vertAlign w:val="superscript"/>
    </w:rPr>
  </w:style>
  <w:style w:type="paragraph" w:styleId="Corpsdetexte">
    <w:name w:val="Body Text"/>
    <w:basedOn w:val="Normal"/>
    <w:pPr>
      <w:numPr>
        <w:ilvl w:val="12"/>
      </w:numPr>
      <w:jc w:val="both"/>
    </w:pPr>
  </w:style>
  <w:style w:type="paragraph" w:styleId="Corpsdetexte2">
    <w:name w:val="Body Text 2"/>
    <w:basedOn w:val="Normal"/>
    <w:pPr>
      <w:jc w:val="both"/>
    </w:pPr>
  </w:style>
  <w:style w:type="paragraph" w:styleId="Corpsdetexte3">
    <w:name w:val="Body Text 3"/>
    <w:basedOn w:val="Normal"/>
  </w:style>
  <w:style w:type="paragraph" w:styleId="Retraitcorpsdetexte3">
    <w:name w:val="Body Text Indent 3"/>
    <w:basedOn w:val="Normal"/>
    <w:pPr>
      <w:ind w:left="567"/>
      <w:jc w:val="both"/>
    </w:pPr>
    <w:rPr>
      <w:b/>
    </w:rPr>
  </w:style>
  <w:style w:type="paragraph" w:styleId="Retraitcorpsdetexte">
    <w:name w:val="Body Text Indent"/>
    <w:basedOn w:val="Normal"/>
    <w:pPr>
      <w:ind w:left="567"/>
      <w:jc w:val="both"/>
    </w:p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paragraph" w:styleId="Explorateurdedocuments">
    <w:name w:val="Document Map"/>
    <w:basedOn w:val="Normal"/>
    <w:semiHidden/>
    <w:pPr>
      <w:shd w:val="clear" w:color="auto" w:fill="000080"/>
    </w:pPr>
    <w:rPr>
      <w:rFonts w:ascii="Tahoma" w:hAnsi="Tahoma"/>
    </w:rPr>
  </w:style>
  <w:style w:type="paragraph" w:styleId="Retraitcorpsdetexte2">
    <w:name w:val="Body Text Indent 2"/>
    <w:basedOn w:val="Normal"/>
    <w:pPr>
      <w:ind w:left="1276" w:hanging="567"/>
    </w:pPr>
    <w:rPr>
      <w:sz w:val="32"/>
    </w:rPr>
  </w:style>
  <w:style w:type="paragraph" w:styleId="TM1">
    <w:name w:val="toc 1"/>
    <w:basedOn w:val="Normal"/>
    <w:next w:val="Normal"/>
    <w:autoRedefine/>
    <w:semiHidden/>
    <w:pPr>
      <w:tabs>
        <w:tab w:val="right" w:leader="dot" w:pos="10206"/>
      </w:tabs>
      <w:ind w:left="1418" w:hanging="1134"/>
    </w:pPr>
    <w:rPr>
      <w:noProof/>
      <w:szCs w:val="24"/>
    </w:rPr>
  </w:style>
  <w:style w:type="paragraph" w:styleId="TM2">
    <w:name w:val="toc 2"/>
    <w:basedOn w:val="Normal"/>
    <w:next w:val="Normal"/>
    <w:autoRedefine/>
    <w:semiHidden/>
    <w:pPr>
      <w:tabs>
        <w:tab w:val="right" w:leader="dot" w:pos="10195"/>
      </w:tabs>
      <w:ind w:left="709" w:hanging="509"/>
    </w:pPr>
    <w:rPr>
      <w:b/>
      <w:bCs/>
      <w:noProof/>
    </w:rPr>
  </w:style>
  <w:style w:type="paragraph" w:styleId="TM3">
    <w:name w:val="toc 3"/>
    <w:basedOn w:val="Normal"/>
    <w:next w:val="Normal"/>
    <w:autoRedefine/>
    <w:semiHidden/>
    <w:pPr>
      <w:tabs>
        <w:tab w:val="right" w:leader="dot" w:pos="10206"/>
      </w:tabs>
      <w:ind w:left="851" w:right="-425" w:hanging="592"/>
    </w:pPr>
    <w:rPr>
      <w:noProof/>
      <w:sz w:val="20"/>
      <w:szCs w:val="24"/>
    </w:rPr>
  </w:style>
  <w:style w:type="paragraph" w:styleId="TM4">
    <w:name w:val="toc 4"/>
    <w:basedOn w:val="Normal"/>
    <w:next w:val="Normal"/>
    <w:autoRedefine/>
    <w:semiHidden/>
    <w:pPr>
      <w:ind w:left="600"/>
    </w:pPr>
  </w:style>
  <w:style w:type="paragraph" w:styleId="TM5">
    <w:name w:val="toc 5"/>
    <w:basedOn w:val="Normal"/>
    <w:next w:val="Normal"/>
    <w:autoRedefine/>
    <w:semiHidden/>
    <w:pPr>
      <w:ind w:left="800"/>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pPr>
      <w:ind w:left="1400"/>
    </w:pPr>
  </w:style>
  <w:style w:type="paragraph" w:styleId="TM9">
    <w:name w:val="toc 9"/>
    <w:basedOn w:val="Normal"/>
    <w:next w:val="Normal"/>
    <w:autoRedefine/>
    <w:semiHidden/>
    <w:pPr>
      <w:ind w:left="1600"/>
    </w:pPr>
  </w:style>
  <w:style w:type="character" w:styleId="Lienhypertexte">
    <w:name w:val="Hyperlink"/>
    <w:rPr>
      <w:color w:val="0000FF"/>
      <w:u w:val="single"/>
    </w:rPr>
  </w:style>
  <w:style w:type="paragraph" w:styleId="Textedebulles">
    <w:name w:val="Balloon Text"/>
    <w:basedOn w:val="Normal"/>
    <w:semiHidden/>
    <w:rPr>
      <w:rFonts w:ascii="Tahoma" w:hAnsi="Tahoma" w:cs="Tahoma"/>
      <w:sz w:val="16"/>
      <w:szCs w:val="16"/>
    </w:rPr>
  </w:style>
  <w:style w:type="character" w:styleId="Lienhypertextesuivivisit">
    <w:name w:val="FollowedHyperlink"/>
    <w:rPr>
      <w:color w:val="800080"/>
      <w:u w:val="single"/>
    </w:rPr>
  </w:style>
  <w:style w:type="paragraph" w:customStyle="1" w:styleId="fcasegauche">
    <w:name w:val="f_case_gauche"/>
    <w:basedOn w:val="Normal"/>
    <w:pPr>
      <w:spacing w:after="60"/>
      <w:ind w:left="284" w:hanging="284"/>
      <w:jc w:val="both"/>
    </w:pPr>
    <w:rPr>
      <w:rFonts w:ascii="Univers (WN)" w:hAnsi="Univers (WN)" w:cs="Times New Roman"/>
      <w:sz w:val="20"/>
    </w:rPr>
  </w:style>
  <w:style w:type="paragraph" w:styleId="Lgende">
    <w:name w:val="caption"/>
    <w:basedOn w:val="Normal"/>
    <w:next w:val="Normal"/>
    <w:qFormat/>
    <w:pPr>
      <w:tabs>
        <w:tab w:val="left" w:pos="426"/>
        <w:tab w:val="left" w:pos="851"/>
      </w:tabs>
      <w:jc w:val="both"/>
    </w:pPr>
    <w:rPr>
      <w:b/>
      <w:bCs/>
      <w:sz w:val="20"/>
    </w:rPr>
  </w:style>
  <w:style w:type="paragraph" w:customStyle="1" w:styleId="fcase1ertab">
    <w:name w:val="f_case_1ertab"/>
    <w:basedOn w:val="Normal"/>
    <w:pPr>
      <w:tabs>
        <w:tab w:val="left" w:pos="426"/>
      </w:tabs>
      <w:ind w:left="709" w:hanging="709"/>
      <w:jc w:val="both"/>
    </w:pPr>
    <w:rPr>
      <w:rFonts w:ascii="Univers (WN)" w:hAnsi="Univers (WN)" w:cs="Times New Roman"/>
      <w:sz w:val="20"/>
    </w:rPr>
  </w:style>
  <w:style w:type="paragraph" w:customStyle="1" w:styleId="fcase2metab">
    <w:name w:val="f_case_2èmetab"/>
    <w:basedOn w:val="Normal"/>
    <w:pPr>
      <w:tabs>
        <w:tab w:val="left" w:pos="426"/>
        <w:tab w:val="left" w:pos="851"/>
      </w:tabs>
      <w:ind w:left="1134" w:hanging="1134"/>
      <w:jc w:val="both"/>
    </w:pPr>
    <w:rPr>
      <w:rFonts w:ascii="Univers (WN)" w:hAnsi="Univers (WN)" w:cs="Times New Roman"/>
      <w:sz w:val="20"/>
    </w:rPr>
  </w:style>
  <w:style w:type="paragraph" w:styleId="Titre">
    <w:name w:val="Title"/>
    <w:basedOn w:val="Normal"/>
    <w:qFormat/>
    <w:pPr>
      <w:autoSpaceDE w:val="0"/>
      <w:autoSpaceDN w:val="0"/>
      <w:jc w:val="center"/>
    </w:pPr>
    <w:rPr>
      <w:rFonts w:ascii="Times New Roman" w:hAnsi="Times New Roman" w:cs="Times New Roman"/>
      <w:szCs w:val="24"/>
    </w:rPr>
  </w:style>
  <w:style w:type="character" w:styleId="Marquedecommentaire">
    <w:name w:val="annotation reference"/>
    <w:semiHidden/>
    <w:rPr>
      <w:sz w:val="16"/>
      <w:szCs w:val="16"/>
    </w:rPr>
  </w:style>
  <w:style w:type="paragraph" w:styleId="Commentaire">
    <w:name w:val="annotation text"/>
    <w:basedOn w:val="Normal"/>
    <w:semiHidden/>
    <w:rPr>
      <w:sz w:val="20"/>
    </w:rPr>
  </w:style>
  <w:style w:type="paragraph" w:styleId="Objetducommentaire">
    <w:name w:val="annotation subject"/>
    <w:basedOn w:val="Commentaire"/>
    <w:next w:val="Commentaire"/>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arches-publics.gouv.fr/?page=entreprise.EntreprisePremiereVisit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535</Words>
  <Characters>3190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3718</CharactersWithSpaces>
  <SharedDoc>false</SharedDoc>
  <HLinks>
    <vt:vector size="12" baseType="variant">
      <vt:variant>
        <vt:i4>4587549</vt:i4>
      </vt:variant>
      <vt:variant>
        <vt:i4>3</vt:i4>
      </vt:variant>
      <vt:variant>
        <vt:i4>0</vt:i4>
      </vt:variant>
      <vt:variant>
        <vt:i4>5</vt:i4>
      </vt:variant>
      <vt:variant>
        <vt:lpwstr>https://www.marches-publics.gouv.fr/?page=entreprise.EntreprisePremiereVisite</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NICO Adewale</dc:creator>
  <cp:keywords/>
  <cp:lastModifiedBy>NICO Adewale</cp:lastModifiedBy>
  <cp:revision>3</cp:revision>
  <cp:lastPrinted>2023-06-29T09:35:00Z</cp:lastPrinted>
  <dcterms:created xsi:type="dcterms:W3CDTF">2025-03-20T15:47:00Z</dcterms:created>
  <dcterms:modified xsi:type="dcterms:W3CDTF">2025-05-15T15:48:00Z</dcterms:modified>
</cp:coreProperties>
</file>