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C714A" w14:textId="04ACCF35" w:rsidR="00813D3E" w:rsidRDefault="006A2A63" w:rsidP="000F1D74">
      <w:pPr>
        <w:pStyle w:val="Textbody"/>
      </w:pPr>
      <w:r>
        <w:rPr>
          <w:noProof/>
          <w:lang w:eastAsia="fr-FR" w:bidi="ar-SA"/>
        </w:rPr>
        <w:drawing>
          <wp:anchor distT="0" distB="0" distL="114300" distR="114300" simplePos="0" relativeHeight="251658240" behindDoc="0" locked="0" layoutInCell="1" allowOverlap="1" wp14:anchorId="2D063E37" wp14:editId="37CC7A51">
            <wp:simplePos x="0" y="0"/>
            <wp:positionH relativeFrom="column">
              <wp:posOffset>-173990</wp:posOffset>
            </wp:positionH>
            <wp:positionV relativeFrom="paragraph">
              <wp:posOffset>0</wp:posOffset>
            </wp:positionV>
            <wp:extent cx="6457950" cy="1809750"/>
            <wp:effectExtent l="0" t="0" r="0" b="0"/>
            <wp:wrapTight wrapText="bothSides">
              <wp:wrapPolygon edited="0">
                <wp:start x="701" y="2046"/>
                <wp:lineTo x="701" y="5684"/>
                <wp:lineTo x="956" y="6594"/>
                <wp:lineTo x="701" y="6821"/>
                <wp:lineTo x="701" y="19326"/>
                <wp:lineTo x="3058" y="19326"/>
                <wp:lineTo x="3313" y="17280"/>
                <wp:lineTo x="3058" y="17053"/>
                <wp:lineTo x="2166" y="17053"/>
                <wp:lineTo x="20835" y="13642"/>
                <wp:lineTo x="20835" y="9777"/>
                <wp:lineTo x="18733" y="5684"/>
                <wp:lineTo x="14910" y="5002"/>
                <wp:lineTo x="3313" y="2046"/>
                <wp:lineTo x="701" y="2046"/>
              </wp:wrapPolygon>
            </wp:wrapTight>
            <wp:docPr id="3" name="Image 2" descr="\\ARMAN\04_kit_communication\Logos_AN\Logo_AN_202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6457950" cy="18097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32FF86" w14:textId="77777777" w:rsidR="00813D3E" w:rsidRDefault="00813D3E" w:rsidP="000F1D74">
      <w:pPr>
        <w:pStyle w:val="Textbody"/>
      </w:pPr>
    </w:p>
    <w:p w14:paraId="5E8170C6" w14:textId="77777777" w:rsidR="00813D3E" w:rsidRDefault="00813D3E" w:rsidP="000F1D74">
      <w:pPr>
        <w:pStyle w:val="Textbody"/>
      </w:pPr>
    </w:p>
    <w:p w14:paraId="26D04581" w14:textId="77777777" w:rsidR="00813D3E" w:rsidRDefault="00813D3E" w:rsidP="000F1D74">
      <w:pPr>
        <w:pStyle w:val="Textbody"/>
      </w:pPr>
    </w:p>
    <w:p w14:paraId="1F073D15" w14:textId="77777777" w:rsidR="00813D3E" w:rsidRDefault="00813D3E" w:rsidP="000F1D74">
      <w:pPr>
        <w:pStyle w:val="Textbody"/>
      </w:pPr>
    </w:p>
    <w:p w14:paraId="73BF1296" w14:textId="77777777" w:rsidR="00813D3E" w:rsidRDefault="00813D3E" w:rsidP="000F1D74">
      <w:pPr>
        <w:pStyle w:val="Textbody"/>
      </w:pPr>
    </w:p>
    <w:p w14:paraId="0438FB08" w14:textId="77777777" w:rsidR="00813D3E" w:rsidRPr="0049469B" w:rsidRDefault="00813D3E" w:rsidP="000F1D74">
      <w:pPr>
        <w:pStyle w:val="Textbody"/>
        <w:rPr>
          <w:b/>
          <w:bCs w:val="0"/>
        </w:rPr>
      </w:pPr>
    </w:p>
    <w:p w14:paraId="1903232C" w14:textId="77777777" w:rsidR="00813D3E" w:rsidRPr="0049469B" w:rsidRDefault="001C3459" w:rsidP="000F1D74">
      <w:pPr>
        <w:pStyle w:val="Textbody"/>
        <w:rPr>
          <w:b/>
          <w:bCs w:val="0"/>
        </w:rPr>
      </w:pPr>
      <w:r w:rsidRPr="0049469B">
        <w:rPr>
          <w:b/>
          <w:bCs w:val="0"/>
        </w:rPr>
        <w:t>MINISTERE DE LA CULTURE</w:t>
      </w:r>
    </w:p>
    <w:p w14:paraId="28690A7B" w14:textId="77777777" w:rsidR="00813D3E" w:rsidRPr="0049469B" w:rsidRDefault="001C3459" w:rsidP="000F1D74">
      <w:pPr>
        <w:pStyle w:val="Textbody"/>
        <w:rPr>
          <w:b/>
          <w:bCs w:val="0"/>
        </w:rPr>
      </w:pPr>
      <w:r w:rsidRPr="0049469B">
        <w:rPr>
          <w:b/>
          <w:bCs w:val="0"/>
        </w:rPr>
        <w:t xml:space="preserve">Archives nationales    </w:t>
      </w:r>
    </w:p>
    <w:p w14:paraId="60C3CCB3" w14:textId="77777777" w:rsidR="00813D3E" w:rsidRDefault="00813D3E" w:rsidP="000F1D74">
      <w:pPr>
        <w:pStyle w:val="Textbody"/>
      </w:pPr>
    </w:p>
    <w:p w14:paraId="5290DBD3" w14:textId="77777777" w:rsidR="00813D3E" w:rsidRDefault="00813D3E" w:rsidP="000F1D74">
      <w:pPr>
        <w:pStyle w:val="Textbody"/>
      </w:pPr>
    </w:p>
    <w:p w14:paraId="1A4DFD9A" w14:textId="0D761EB8" w:rsidR="00813D3E" w:rsidRDefault="00813D3E" w:rsidP="000F1D74">
      <w:pPr>
        <w:pStyle w:val="Textbody"/>
      </w:pPr>
    </w:p>
    <w:tbl>
      <w:tblPr>
        <w:tblW w:w="9637" w:type="dxa"/>
        <w:jc w:val="center"/>
        <w:tblLayout w:type="fixed"/>
        <w:tblCellMar>
          <w:left w:w="10" w:type="dxa"/>
          <w:right w:w="10" w:type="dxa"/>
        </w:tblCellMar>
        <w:tblLook w:val="04A0" w:firstRow="1" w:lastRow="0" w:firstColumn="1" w:lastColumn="0" w:noHBand="0" w:noVBand="1"/>
      </w:tblPr>
      <w:tblGrid>
        <w:gridCol w:w="557"/>
        <w:gridCol w:w="8520"/>
        <w:gridCol w:w="560"/>
      </w:tblGrid>
      <w:tr w:rsidR="00813D3E" w14:paraId="12DD11DC" w14:textId="77777777">
        <w:trPr>
          <w:trHeight w:val="1163"/>
          <w:jc w:val="center"/>
        </w:trPr>
        <w:tc>
          <w:tcPr>
            <w:tcW w:w="557" w:type="dxa"/>
            <w:tcBorders>
              <w:top w:val="single" w:sz="2" w:space="0" w:color="000000"/>
              <w:left w:val="single" w:sz="2" w:space="0" w:color="000000"/>
            </w:tcBorders>
            <w:shd w:val="clear" w:color="auto" w:fill="auto"/>
            <w:tcMar>
              <w:top w:w="55" w:type="dxa"/>
              <w:left w:w="55" w:type="dxa"/>
              <w:bottom w:w="55" w:type="dxa"/>
              <w:right w:w="55" w:type="dxa"/>
            </w:tcMar>
          </w:tcPr>
          <w:p w14:paraId="3D06CF84" w14:textId="77777777" w:rsidR="00813D3E" w:rsidRPr="00B07DF1" w:rsidRDefault="00813D3E" w:rsidP="00B07DF1">
            <w:pPr>
              <w:pStyle w:val="TableContents"/>
              <w:jc w:val="center"/>
              <w:rPr>
                <w:b/>
                <w:bCs w:val="0"/>
                <w:sz w:val="32"/>
                <w:szCs w:val="40"/>
              </w:rPr>
            </w:pPr>
            <w:bookmarkStart w:id="0" w:name="_Hlk200553803"/>
          </w:p>
        </w:tc>
        <w:tc>
          <w:tcPr>
            <w:tcW w:w="8520" w:type="dxa"/>
            <w:tcBorders>
              <w:top w:val="single" w:sz="2" w:space="0" w:color="000000"/>
            </w:tcBorders>
            <w:shd w:val="clear" w:color="auto" w:fill="auto"/>
            <w:tcMar>
              <w:top w:w="55" w:type="dxa"/>
              <w:left w:w="55" w:type="dxa"/>
              <w:bottom w:w="55" w:type="dxa"/>
              <w:right w:w="55" w:type="dxa"/>
            </w:tcMar>
            <w:vAlign w:val="center"/>
          </w:tcPr>
          <w:p w14:paraId="4953DB3C" w14:textId="0A0A9010" w:rsidR="000F1D74" w:rsidRPr="00B07DF1" w:rsidRDefault="00B07DF1" w:rsidP="00B07DF1">
            <w:pPr>
              <w:pStyle w:val="Standard"/>
              <w:jc w:val="center"/>
              <w:rPr>
                <w:b/>
                <w:bCs w:val="0"/>
                <w:sz w:val="32"/>
                <w:szCs w:val="40"/>
              </w:rPr>
            </w:pPr>
            <w:r w:rsidRPr="00B07DF1">
              <w:rPr>
                <w:b/>
                <w:bCs w:val="0"/>
                <w:sz w:val="32"/>
                <w:szCs w:val="40"/>
              </w:rPr>
              <w:t>TRAVAUX D’INSTALLATION DE STORES, DISPOSITIFS DE PROTECTION DES BAIES VITREES DU SITE PARISIEN DES ARCHIVES NATIONALES</w:t>
            </w:r>
          </w:p>
        </w:tc>
        <w:tc>
          <w:tcPr>
            <w:tcW w:w="560" w:type="dxa"/>
            <w:tcBorders>
              <w:top w:val="single" w:sz="2" w:space="0" w:color="000000"/>
              <w:right w:val="single" w:sz="2" w:space="0" w:color="000000"/>
            </w:tcBorders>
            <w:shd w:val="clear" w:color="auto" w:fill="auto"/>
            <w:tcMar>
              <w:top w:w="55" w:type="dxa"/>
              <w:left w:w="55" w:type="dxa"/>
              <w:bottom w:w="55" w:type="dxa"/>
              <w:right w:w="55" w:type="dxa"/>
            </w:tcMar>
          </w:tcPr>
          <w:p w14:paraId="310E764C" w14:textId="77777777" w:rsidR="00813D3E" w:rsidRDefault="00813D3E" w:rsidP="000F1D74">
            <w:pPr>
              <w:pStyle w:val="TableContents"/>
            </w:pPr>
          </w:p>
        </w:tc>
      </w:tr>
      <w:tr w:rsidR="00813D3E" w14:paraId="1C574D5B" w14:textId="77777777">
        <w:trPr>
          <w:trHeight w:val="1068"/>
          <w:jc w:val="center"/>
        </w:trPr>
        <w:tc>
          <w:tcPr>
            <w:tcW w:w="557" w:type="dxa"/>
            <w:tcBorders>
              <w:left w:val="single" w:sz="2" w:space="0" w:color="000000"/>
              <w:bottom w:val="single" w:sz="2" w:space="0" w:color="000000"/>
            </w:tcBorders>
            <w:shd w:val="clear" w:color="auto" w:fill="auto"/>
            <w:tcMar>
              <w:top w:w="55" w:type="dxa"/>
              <w:left w:w="55" w:type="dxa"/>
              <w:bottom w:w="55" w:type="dxa"/>
              <w:right w:w="55" w:type="dxa"/>
            </w:tcMar>
          </w:tcPr>
          <w:p w14:paraId="4602ED01" w14:textId="77777777" w:rsidR="00813D3E" w:rsidRPr="00B07DF1" w:rsidRDefault="00813D3E" w:rsidP="00B07DF1">
            <w:pPr>
              <w:pStyle w:val="TableContents"/>
              <w:jc w:val="center"/>
              <w:rPr>
                <w:b/>
                <w:bCs w:val="0"/>
                <w:sz w:val="32"/>
                <w:szCs w:val="40"/>
              </w:rPr>
            </w:pPr>
          </w:p>
        </w:tc>
        <w:tc>
          <w:tcPr>
            <w:tcW w:w="8520" w:type="dxa"/>
            <w:tcBorders>
              <w:bottom w:val="single" w:sz="2" w:space="0" w:color="000000"/>
            </w:tcBorders>
            <w:shd w:val="clear" w:color="auto" w:fill="auto"/>
            <w:tcMar>
              <w:top w:w="55" w:type="dxa"/>
              <w:left w:w="55" w:type="dxa"/>
              <w:bottom w:w="55" w:type="dxa"/>
              <w:right w:w="55" w:type="dxa"/>
            </w:tcMar>
            <w:vAlign w:val="center"/>
          </w:tcPr>
          <w:p w14:paraId="794B0F29" w14:textId="265A4D20" w:rsidR="00813D3E" w:rsidRPr="00B07DF1" w:rsidRDefault="00B07DF1" w:rsidP="00B07DF1">
            <w:pPr>
              <w:pStyle w:val="Textbody"/>
              <w:jc w:val="center"/>
              <w:rPr>
                <w:b/>
                <w:bCs w:val="0"/>
                <w:sz w:val="32"/>
                <w:szCs w:val="40"/>
              </w:rPr>
            </w:pPr>
            <w:r w:rsidRPr="00B07DF1">
              <w:rPr>
                <w:b/>
                <w:bCs w:val="0"/>
                <w:sz w:val="32"/>
                <w:szCs w:val="40"/>
              </w:rPr>
              <w:t>REGLEMENT DE LA CONSULTATION</w:t>
            </w:r>
          </w:p>
        </w:tc>
        <w:tc>
          <w:tcPr>
            <w:tcW w:w="560" w:type="dxa"/>
            <w:tcBorders>
              <w:bottom w:val="single" w:sz="2" w:space="0" w:color="000000"/>
              <w:right w:val="single" w:sz="2" w:space="0" w:color="000000"/>
            </w:tcBorders>
            <w:shd w:val="clear" w:color="auto" w:fill="auto"/>
            <w:tcMar>
              <w:top w:w="55" w:type="dxa"/>
              <w:left w:w="55" w:type="dxa"/>
              <w:bottom w:w="55" w:type="dxa"/>
              <w:right w:w="55" w:type="dxa"/>
            </w:tcMar>
          </w:tcPr>
          <w:p w14:paraId="4F9182E4" w14:textId="77777777" w:rsidR="00813D3E" w:rsidRDefault="00813D3E" w:rsidP="000F1D74">
            <w:pPr>
              <w:pStyle w:val="TableContents"/>
            </w:pPr>
          </w:p>
        </w:tc>
      </w:tr>
    </w:tbl>
    <w:p w14:paraId="5C3F5E72" w14:textId="77777777" w:rsidR="00813D3E" w:rsidRDefault="00813D3E" w:rsidP="000F1D74">
      <w:pPr>
        <w:pStyle w:val="Standard"/>
      </w:pPr>
    </w:p>
    <w:p w14:paraId="061712B6" w14:textId="77777777" w:rsidR="00813D3E" w:rsidRDefault="00813D3E" w:rsidP="000F1D74">
      <w:pPr>
        <w:pStyle w:val="Standard"/>
      </w:pPr>
    </w:p>
    <w:p w14:paraId="3E3574AF" w14:textId="77777777" w:rsidR="00813D3E" w:rsidRPr="0049469B" w:rsidRDefault="00813D3E" w:rsidP="000F1D74">
      <w:pPr>
        <w:pStyle w:val="Standard"/>
        <w:rPr>
          <w:b/>
          <w:bCs w:val="0"/>
          <w:u w:val="single"/>
        </w:rPr>
      </w:pPr>
    </w:p>
    <w:p w14:paraId="01137EA8" w14:textId="77777777" w:rsidR="000F1D74" w:rsidRPr="000F1D74" w:rsidRDefault="000F1D74" w:rsidP="000F1D74">
      <w:pPr>
        <w:pStyle w:val="Standard"/>
      </w:pPr>
      <w:r w:rsidRPr="0049469B">
        <w:rPr>
          <w:b/>
          <w:bCs w:val="0"/>
          <w:u w:val="single"/>
        </w:rPr>
        <w:t>Numéro de consultation</w:t>
      </w:r>
      <w:r w:rsidRPr="000F1D74">
        <w:t xml:space="preserve"> : AN2025/009</w:t>
      </w:r>
    </w:p>
    <w:p w14:paraId="63EEAF0C" w14:textId="77777777" w:rsidR="000F1D74" w:rsidRPr="000F1D74" w:rsidRDefault="000F1D74" w:rsidP="000F1D74">
      <w:pPr>
        <w:pStyle w:val="Standard"/>
      </w:pPr>
    </w:p>
    <w:p w14:paraId="56BE4C28" w14:textId="77777777" w:rsidR="000F1D74" w:rsidRPr="000F1D74" w:rsidRDefault="000F1D74" w:rsidP="000F1D74">
      <w:pPr>
        <w:pStyle w:val="Standard"/>
        <w:rPr>
          <w:b/>
          <w:u w:val="single"/>
        </w:rPr>
      </w:pPr>
      <w:r w:rsidRPr="000F1D74">
        <w:rPr>
          <w:b/>
          <w:u w:val="single"/>
        </w:rPr>
        <w:t xml:space="preserve">Procédure de passation </w:t>
      </w:r>
      <w:r w:rsidRPr="000F1D74">
        <w:t>: Le présent marché public est passé selon une procédure adaptée conformément aux dispositions des articles L.2123-1 et R.2123-1 du code de la commande publique.</w:t>
      </w:r>
    </w:p>
    <w:p w14:paraId="5D7C75F1" w14:textId="77777777" w:rsidR="000F1D74" w:rsidRPr="000F1D74" w:rsidRDefault="000F1D74" w:rsidP="000F1D74">
      <w:pPr>
        <w:pStyle w:val="Standard"/>
      </w:pPr>
    </w:p>
    <w:p w14:paraId="0AC58F79" w14:textId="5E0F00BE" w:rsidR="000F1D74" w:rsidRPr="000F1D74" w:rsidRDefault="000F1D74" w:rsidP="000F1D74">
      <w:pPr>
        <w:pStyle w:val="Standard"/>
      </w:pPr>
      <w:bookmarkStart w:id="1" w:name="_Hlk200554051"/>
      <w:r w:rsidRPr="00B07DF1">
        <w:rPr>
          <w:b/>
          <w:bCs w:val="0"/>
          <w:u w:val="single"/>
        </w:rPr>
        <w:t>Date de remise des plis</w:t>
      </w:r>
      <w:r w:rsidRPr="000F1D74">
        <w:t xml:space="preserve"> :  le </w:t>
      </w:r>
      <w:r w:rsidR="00BB31A0">
        <w:t>18</w:t>
      </w:r>
      <w:r w:rsidRPr="000F1D74">
        <w:t>/07/202</w:t>
      </w:r>
      <w:r w:rsidR="00B07DF1">
        <w:t>5</w:t>
      </w:r>
      <w:r w:rsidRPr="000F1D74">
        <w:t xml:space="preserve"> à 15h00</w:t>
      </w:r>
    </w:p>
    <w:p w14:paraId="581DBE2B" w14:textId="77777777" w:rsidR="000F1D74" w:rsidRPr="000F1D74" w:rsidRDefault="000F1D74" w:rsidP="000F1D74">
      <w:pPr>
        <w:pStyle w:val="Standard"/>
      </w:pPr>
    </w:p>
    <w:p w14:paraId="08154DB8" w14:textId="582E1CC3" w:rsidR="000F1D74" w:rsidRPr="000F1D74" w:rsidRDefault="000F1D74" w:rsidP="000F1D74">
      <w:pPr>
        <w:pStyle w:val="Standard"/>
      </w:pPr>
      <w:r w:rsidRPr="00B07DF1">
        <w:rPr>
          <w:b/>
          <w:bCs w:val="0"/>
          <w:u w:val="single"/>
        </w:rPr>
        <w:t>Visite obligatoire</w:t>
      </w:r>
      <w:r w:rsidR="009844A6">
        <w:rPr>
          <w:b/>
          <w:bCs w:val="0"/>
          <w:u w:val="single"/>
        </w:rPr>
        <w:t xml:space="preserve"> </w:t>
      </w:r>
      <w:r w:rsidRPr="000F1D74">
        <w:t xml:space="preserve">: le </w:t>
      </w:r>
      <w:r w:rsidR="00BB31A0">
        <w:t>30</w:t>
      </w:r>
      <w:r w:rsidRPr="000F1D74">
        <w:t>/06/202</w:t>
      </w:r>
      <w:r w:rsidR="00B07DF1">
        <w:t>5</w:t>
      </w:r>
      <w:r w:rsidRPr="000F1D74">
        <w:t xml:space="preserve"> à 10h30</w:t>
      </w:r>
    </w:p>
    <w:bookmarkEnd w:id="0"/>
    <w:bookmarkEnd w:id="1"/>
    <w:p w14:paraId="49EF7B5C" w14:textId="77777777" w:rsidR="00813D3E" w:rsidRDefault="00813D3E" w:rsidP="000F1D74">
      <w:pPr>
        <w:pStyle w:val="Standard"/>
      </w:pPr>
    </w:p>
    <w:p w14:paraId="33655B13" w14:textId="77777777" w:rsidR="000F1D74" w:rsidRDefault="000F1D74" w:rsidP="000F1D74">
      <w:pPr>
        <w:pStyle w:val="Standard"/>
      </w:pPr>
    </w:p>
    <w:p w14:paraId="5868638E" w14:textId="77777777" w:rsidR="000F1D74" w:rsidRDefault="000F1D74" w:rsidP="000F1D74">
      <w:pPr>
        <w:pStyle w:val="Standard"/>
      </w:pPr>
    </w:p>
    <w:p w14:paraId="62A07ACC" w14:textId="77777777" w:rsidR="000F1D74" w:rsidRDefault="000F1D74" w:rsidP="000F1D74">
      <w:pPr>
        <w:pStyle w:val="Standard"/>
      </w:pPr>
    </w:p>
    <w:p w14:paraId="5FEA36E8" w14:textId="77777777" w:rsidR="000F1D74" w:rsidRDefault="000F1D74" w:rsidP="000F1D74">
      <w:pPr>
        <w:pStyle w:val="Standard"/>
      </w:pPr>
    </w:p>
    <w:p w14:paraId="13DE5189" w14:textId="77777777" w:rsidR="000F1D74" w:rsidRDefault="000F1D74" w:rsidP="000F1D74">
      <w:pPr>
        <w:pStyle w:val="Standard"/>
      </w:pPr>
    </w:p>
    <w:p w14:paraId="0F004DAA" w14:textId="77777777" w:rsidR="000F1D74" w:rsidRDefault="000F1D74" w:rsidP="000F1D74">
      <w:pPr>
        <w:pStyle w:val="Standard"/>
      </w:pPr>
    </w:p>
    <w:p w14:paraId="18F937F8" w14:textId="77777777" w:rsidR="000F1D74" w:rsidRDefault="000F1D74" w:rsidP="000F1D74">
      <w:pPr>
        <w:pStyle w:val="Standard"/>
      </w:pPr>
    </w:p>
    <w:p w14:paraId="0463B594" w14:textId="77777777" w:rsidR="000F1D74" w:rsidRDefault="000F1D74" w:rsidP="000F1D74">
      <w:pPr>
        <w:pStyle w:val="Standard"/>
      </w:pPr>
    </w:p>
    <w:p w14:paraId="3E23356B" w14:textId="77777777" w:rsidR="000F1D74" w:rsidRDefault="000F1D74" w:rsidP="000F1D74">
      <w:pPr>
        <w:pStyle w:val="Standard"/>
      </w:pPr>
    </w:p>
    <w:p w14:paraId="12F1C66B" w14:textId="77777777" w:rsidR="000F1D74" w:rsidRDefault="000F1D74" w:rsidP="000F1D74">
      <w:pPr>
        <w:pStyle w:val="Standard"/>
      </w:pPr>
    </w:p>
    <w:p w14:paraId="5135ACD9" w14:textId="77777777" w:rsidR="000F1D74" w:rsidRDefault="000F1D74" w:rsidP="000F1D74">
      <w:pPr>
        <w:pStyle w:val="Standard"/>
      </w:pPr>
    </w:p>
    <w:p w14:paraId="3CD79894" w14:textId="62DBD167" w:rsidR="00807C07" w:rsidRDefault="001C34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r>
        <w:rPr>
          <w:b/>
          <w:bCs/>
          <w:sz w:val="20"/>
        </w:rPr>
        <w:lastRenderedPageBreak/>
        <w:fldChar w:fldCharType="begin"/>
      </w:r>
      <w:r>
        <w:instrText xml:space="preserve"> TOC \o "1-2" \u \l 1-2 \h </w:instrText>
      </w:r>
      <w:r>
        <w:rPr>
          <w:b/>
          <w:bCs/>
          <w:sz w:val="20"/>
        </w:rPr>
        <w:fldChar w:fldCharType="separate"/>
      </w:r>
      <w:hyperlink w:anchor="_Toc200698770" w:history="1">
        <w:r w:rsidR="00807C07" w:rsidRPr="00FF4F43">
          <w:rPr>
            <w:rStyle w:val="Lienhypertexte"/>
            <w:noProof/>
          </w:rPr>
          <w:t>Article 1 -</w:t>
        </w:r>
        <w:r w:rsidR="00807C07">
          <w:rPr>
            <w:rFonts w:asciiTheme="minorHAnsi" w:eastAsiaTheme="minorEastAsia" w:hAnsiTheme="minorHAnsi" w:cstheme="minorBidi"/>
            <w:noProof/>
            <w:kern w:val="2"/>
            <w:lang w:eastAsia="fr-FR" w:bidi="ar-SA"/>
            <w14:ligatures w14:val="standardContextual"/>
          </w:rPr>
          <w:tab/>
        </w:r>
        <w:r w:rsidR="00807C07" w:rsidRPr="00FF4F43">
          <w:rPr>
            <w:rStyle w:val="Lienhypertexte"/>
            <w:noProof/>
          </w:rPr>
          <w:t>MAITRE DE L'OUVRAGE</w:t>
        </w:r>
        <w:r w:rsidR="00807C07">
          <w:rPr>
            <w:noProof/>
          </w:rPr>
          <w:tab/>
        </w:r>
        <w:r w:rsidR="00807C07">
          <w:rPr>
            <w:noProof/>
          </w:rPr>
          <w:fldChar w:fldCharType="begin"/>
        </w:r>
        <w:r w:rsidR="00807C07">
          <w:rPr>
            <w:noProof/>
          </w:rPr>
          <w:instrText xml:space="preserve"> PAGEREF _Toc200698770 \h </w:instrText>
        </w:r>
        <w:r w:rsidR="00807C07">
          <w:rPr>
            <w:noProof/>
          </w:rPr>
        </w:r>
        <w:r w:rsidR="00807C07">
          <w:rPr>
            <w:noProof/>
          </w:rPr>
          <w:fldChar w:fldCharType="separate"/>
        </w:r>
        <w:r w:rsidR="00807C07">
          <w:rPr>
            <w:noProof/>
          </w:rPr>
          <w:t>4</w:t>
        </w:r>
        <w:r w:rsidR="00807C07">
          <w:rPr>
            <w:noProof/>
          </w:rPr>
          <w:fldChar w:fldCharType="end"/>
        </w:r>
      </w:hyperlink>
    </w:p>
    <w:p w14:paraId="3605345E" w14:textId="2679E1D0"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771" w:history="1">
        <w:r w:rsidRPr="00FF4F43">
          <w:rPr>
            <w:rStyle w:val="Lienhypertexte"/>
            <w:noProof/>
          </w:rPr>
          <w:t>Article 2 -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OBJET DE LA CONSULTATION</w:t>
        </w:r>
        <w:r>
          <w:rPr>
            <w:noProof/>
          </w:rPr>
          <w:tab/>
        </w:r>
        <w:r>
          <w:rPr>
            <w:noProof/>
          </w:rPr>
          <w:fldChar w:fldCharType="begin"/>
        </w:r>
        <w:r>
          <w:rPr>
            <w:noProof/>
          </w:rPr>
          <w:instrText xml:space="preserve"> PAGEREF _Toc200698771 \h </w:instrText>
        </w:r>
        <w:r>
          <w:rPr>
            <w:noProof/>
          </w:rPr>
        </w:r>
        <w:r>
          <w:rPr>
            <w:noProof/>
          </w:rPr>
          <w:fldChar w:fldCharType="separate"/>
        </w:r>
        <w:r>
          <w:rPr>
            <w:noProof/>
          </w:rPr>
          <w:t>4</w:t>
        </w:r>
        <w:r>
          <w:rPr>
            <w:noProof/>
          </w:rPr>
          <w:fldChar w:fldCharType="end"/>
        </w:r>
      </w:hyperlink>
    </w:p>
    <w:p w14:paraId="00B6C262" w14:textId="25EF7A68"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772" w:history="1">
        <w:r w:rsidRPr="00FF4F43">
          <w:rPr>
            <w:rStyle w:val="Lienhypertexte"/>
            <w:noProof/>
          </w:rPr>
          <w:t>Article 3 -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CONDITIONS DE LA CONSULTATION</w:t>
        </w:r>
        <w:r>
          <w:rPr>
            <w:noProof/>
          </w:rPr>
          <w:tab/>
        </w:r>
        <w:r>
          <w:rPr>
            <w:noProof/>
          </w:rPr>
          <w:fldChar w:fldCharType="begin"/>
        </w:r>
        <w:r>
          <w:rPr>
            <w:noProof/>
          </w:rPr>
          <w:instrText xml:space="preserve"> PAGEREF _Toc200698772 \h </w:instrText>
        </w:r>
        <w:r>
          <w:rPr>
            <w:noProof/>
          </w:rPr>
        </w:r>
        <w:r>
          <w:rPr>
            <w:noProof/>
          </w:rPr>
          <w:fldChar w:fldCharType="separate"/>
        </w:r>
        <w:r>
          <w:rPr>
            <w:noProof/>
          </w:rPr>
          <w:t>4</w:t>
        </w:r>
        <w:r>
          <w:rPr>
            <w:noProof/>
          </w:rPr>
          <w:fldChar w:fldCharType="end"/>
        </w:r>
      </w:hyperlink>
    </w:p>
    <w:p w14:paraId="7E4BE0F8" w14:textId="78F48E3C"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73" w:history="1">
        <w:r w:rsidRPr="00FF4F43">
          <w:rPr>
            <w:rStyle w:val="Lienhypertexte"/>
            <w:noProof/>
          </w:rPr>
          <w:t>3.1</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Procédure de passation</w:t>
        </w:r>
        <w:r>
          <w:rPr>
            <w:noProof/>
          </w:rPr>
          <w:tab/>
        </w:r>
        <w:r>
          <w:rPr>
            <w:noProof/>
          </w:rPr>
          <w:fldChar w:fldCharType="begin"/>
        </w:r>
        <w:r>
          <w:rPr>
            <w:noProof/>
          </w:rPr>
          <w:instrText xml:space="preserve"> PAGEREF _Toc200698773 \h </w:instrText>
        </w:r>
        <w:r>
          <w:rPr>
            <w:noProof/>
          </w:rPr>
        </w:r>
        <w:r>
          <w:rPr>
            <w:noProof/>
          </w:rPr>
          <w:fldChar w:fldCharType="separate"/>
        </w:r>
        <w:r>
          <w:rPr>
            <w:noProof/>
          </w:rPr>
          <w:t>4</w:t>
        </w:r>
        <w:r>
          <w:rPr>
            <w:noProof/>
          </w:rPr>
          <w:fldChar w:fldCharType="end"/>
        </w:r>
      </w:hyperlink>
    </w:p>
    <w:p w14:paraId="40029337" w14:textId="12FD9DAC"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74" w:history="1">
        <w:r w:rsidRPr="00FF4F43">
          <w:rPr>
            <w:rStyle w:val="Lienhypertexte"/>
            <w:noProof/>
          </w:rPr>
          <w:t>3.2</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Allotissement</w:t>
        </w:r>
        <w:r>
          <w:rPr>
            <w:noProof/>
          </w:rPr>
          <w:tab/>
        </w:r>
        <w:r>
          <w:rPr>
            <w:noProof/>
          </w:rPr>
          <w:fldChar w:fldCharType="begin"/>
        </w:r>
        <w:r>
          <w:rPr>
            <w:noProof/>
          </w:rPr>
          <w:instrText xml:space="preserve"> PAGEREF _Toc200698774 \h </w:instrText>
        </w:r>
        <w:r>
          <w:rPr>
            <w:noProof/>
          </w:rPr>
        </w:r>
        <w:r>
          <w:rPr>
            <w:noProof/>
          </w:rPr>
          <w:fldChar w:fldCharType="separate"/>
        </w:r>
        <w:r>
          <w:rPr>
            <w:noProof/>
          </w:rPr>
          <w:t>4</w:t>
        </w:r>
        <w:r>
          <w:rPr>
            <w:noProof/>
          </w:rPr>
          <w:fldChar w:fldCharType="end"/>
        </w:r>
      </w:hyperlink>
    </w:p>
    <w:p w14:paraId="3DD6736E" w14:textId="67AE2A3D"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75" w:history="1">
        <w:r w:rsidRPr="00FF4F43">
          <w:rPr>
            <w:rStyle w:val="Lienhypertexte"/>
            <w:noProof/>
          </w:rPr>
          <w:t>3.3</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Forme du marché</w:t>
        </w:r>
        <w:r>
          <w:rPr>
            <w:noProof/>
          </w:rPr>
          <w:tab/>
        </w:r>
        <w:r>
          <w:rPr>
            <w:noProof/>
          </w:rPr>
          <w:fldChar w:fldCharType="begin"/>
        </w:r>
        <w:r>
          <w:rPr>
            <w:noProof/>
          </w:rPr>
          <w:instrText xml:space="preserve"> PAGEREF _Toc200698775 \h </w:instrText>
        </w:r>
        <w:r>
          <w:rPr>
            <w:noProof/>
          </w:rPr>
        </w:r>
        <w:r>
          <w:rPr>
            <w:noProof/>
          </w:rPr>
          <w:fldChar w:fldCharType="separate"/>
        </w:r>
        <w:r>
          <w:rPr>
            <w:noProof/>
          </w:rPr>
          <w:t>4</w:t>
        </w:r>
        <w:r>
          <w:rPr>
            <w:noProof/>
          </w:rPr>
          <w:fldChar w:fldCharType="end"/>
        </w:r>
      </w:hyperlink>
    </w:p>
    <w:p w14:paraId="6717239E" w14:textId="758DBED2"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76" w:history="1">
        <w:r w:rsidRPr="00FF4F43">
          <w:rPr>
            <w:rStyle w:val="Lienhypertexte"/>
            <w:noProof/>
          </w:rPr>
          <w:t>3.4</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Durée du marché</w:t>
        </w:r>
        <w:r>
          <w:rPr>
            <w:noProof/>
          </w:rPr>
          <w:tab/>
        </w:r>
        <w:r>
          <w:rPr>
            <w:noProof/>
          </w:rPr>
          <w:fldChar w:fldCharType="begin"/>
        </w:r>
        <w:r>
          <w:rPr>
            <w:noProof/>
          </w:rPr>
          <w:instrText xml:space="preserve"> PAGEREF _Toc200698776 \h </w:instrText>
        </w:r>
        <w:r>
          <w:rPr>
            <w:noProof/>
          </w:rPr>
        </w:r>
        <w:r>
          <w:rPr>
            <w:noProof/>
          </w:rPr>
          <w:fldChar w:fldCharType="separate"/>
        </w:r>
        <w:r>
          <w:rPr>
            <w:noProof/>
          </w:rPr>
          <w:t>5</w:t>
        </w:r>
        <w:r>
          <w:rPr>
            <w:noProof/>
          </w:rPr>
          <w:fldChar w:fldCharType="end"/>
        </w:r>
      </w:hyperlink>
    </w:p>
    <w:p w14:paraId="7DBE4A5F" w14:textId="1A652873"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77" w:history="1">
        <w:r w:rsidRPr="00FF4F43">
          <w:rPr>
            <w:rStyle w:val="Lienhypertexte"/>
            <w:noProof/>
          </w:rPr>
          <w:t>3.5</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Lieu d'exécution</w:t>
        </w:r>
        <w:r>
          <w:rPr>
            <w:noProof/>
          </w:rPr>
          <w:tab/>
        </w:r>
        <w:r>
          <w:rPr>
            <w:noProof/>
          </w:rPr>
          <w:fldChar w:fldCharType="begin"/>
        </w:r>
        <w:r>
          <w:rPr>
            <w:noProof/>
          </w:rPr>
          <w:instrText xml:space="preserve"> PAGEREF _Toc200698777 \h </w:instrText>
        </w:r>
        <w:r>
          <w:rPr>
            <w:noProof/>
          </w:rPr>
        </w:r>
        <w:r>
          <w:rPr>
            <w:noProof/>
          </w:rPr>
          <w:fldChar w:fldCharType="separate"/>
        </w:r>
        <w:r>
          <w:rPr>
            <w:noProof/>
          </w:rPr>
          <w:t>5</w:t>
        </w:r>
        <w:r>
          <w:rPr>
            <w:noProof/>
          </w:rPr>
          <w:fldChar w:fldCharType="end"/>
        </w:r>
      </w:hyperlink>
    </w:p>
    <w:p w14:paraId="083826E3" w14:textId="48726612"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78" w:history="1">
        <w:r w:rsidRPr="00FF4F43">
          <w:rPr>
            <w:rStyle w:val="Lienhypertexte"/>
            <w:noProof/>
          </w:rPr>
          <w:t>3.6</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Égalité professionnelle et lutte contre les discriminations</w:t>
        </w:r>
        <w:r>
          <w:rPr>
            <w:noProof/>
          </w:rPr>
          <w:tab/>
        </w:r>
        <w:r>
          <w:rPr>
            <w:noProof/>
          </w:rPr>
          <w:fldChar w:fldCharType="begin"/>
        </w:r>
        <w:r>
          <w:rPr>
            <w:noProof/>
          </w:rPr>
          <w:instrText xml:space="preserve"> PAGEREF _Toc200698778 \h </w:instrText>
        </w:r>
        <w:r>
          <w:rPr>
            <w:noProof/>
          </w:rPr>
        </w:r>
        <w:r>
          <w:rPr>
            <w:noProof/>
          </w:rPr>
          <w:fldChar w:fldCharType="separate"/>
        </w:r>
        <w:r>
          <w:rPr>
            <w:noProof/>
          </w:rPr>
          <w:t>5</w:t>
        </w:r>
        <w:r>
          <w:rPr>
            <w:noProof/>
          </w:rPr>
          <w:fldChar w:fldCharType="end"/>
        </w:r>
      </w:hyperlink>
    </w:p>
    <w:p w14:paraId="6D38760E" w14:textId="13489DC3"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79" w:history="1">
        <w:r w:rsidRPr="00FF4F43">
          <w:rPr>
            <w:rStyle w:val="Lienhypertexte"/>
            <w:noProof/>
          </w:rPr>
          <w:t>3.7</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Considérations sociales - Action de formation sous statut scolaire au bénéfice d’élèves à besoins spécifiques</w:t>
        </w:r>
        <w:r>
          <w:rPr>
            <w:noProof/>
          </w:rPr>
          <w:tab/>
        </w:r>
        <w:r>
          <w:rPr>
            <w:noProof/>
          </w:rPr>
          <w:fldChar w:fldCharType="begin"/>
        </w:r>
        <w:r>
          <w:rPr>
            <w:noProof/>
          </w:rPr>
          <w:instrText xml:space="preserve"> PAGEREF _Toc200698779 \h </w:instrText>
        </w:r>
        <w:r>
          <w:rPr>
            <w:noProof/>
          </w:rPr>
        </w:r>
        <w:r>
          <w:rPr>
            <w:noProof/>
          </w:rPr>
          <w:fldChar w:fldCharType="separate"/>
        </w:r>
        <w:r>
          <w:rPr>
            <w:noProof/>
          </w:rPr>
          <w:t>6</w:t>
        </w:r>
        <w:r>
          <w:rPr>
            <w:noProof/>
          </w:rPr>
          <w:fldChar w:fldCharType="end"/>
        </w:r>
      </w:hyperlink>
    </w:p>
    <w:p w14:paraId="2A15DBA4" w14:textId="0623661D"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80" w:history="1">
        <w:r w:rsidRPr="00FF4F43">
          <w:rPr>
            <w:rStyle w:val="Lienhypertexte"/>
            <w:noProof/>
          </w:rPr>
          <w:t>3.8</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Considérations environnementales</w:t>
        </w:r>
        <w:r>
          <w:rPr>
            <w:noProof/>
          </w:rPr>
          <w:tab/>
        </w:r>
        <w:r>
          <w:rPr>
            <w:noProof/>
          </w:rPr>
          <w:fldChar w:fldCharType="begin"/>
        </w:r>
        <w:r>
          <w:rPr>
            <w:noProof/>
          </w:rPr>
          <w:instrText xml:space="preserve"> PAGEREF _Toc200698780 \h </w:instrText>
        </w:r>
        <w:r>
          <w:rPr>
            <w:noProof/>
          </w:rPr>
        </w:r>
        <w:r>
          <w:rPr>
            <w:noProof/>
          </w:rPr>
          <w:fldChar w:fldCharType="separate"/>
        </w:r>
        <w:r>
          <w:rPr>
            <w:noProof/>
          </w:rPr>
          <w:t>6</w:t>
        </w:r>
        <w:r>
          <w:rPr>
            <w:noProof/>
          </w:rPr>
          <w:fldChar w:fldCharType="end"/>
        </w:r>
      </w:hyperlink>
    </w:p>
    <w:p w14:paraId="2397F36E" w14:textId="25A9E94D"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81" w:history="1">
        <w:r w:rsidRPr="00FF4F43">
          <w:rPr>
            <w:rStyle w:val="Lienhypertexte"/>
            <w:noProof/>
          </w:rPr>
          <w:t>3.9</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Traitement de données à caractère personnel</w:t>
        </w:r>
        <w:r>
          <w:rPr>
            <w:noProof/>
          </w:rPr>
          <w:tab/>
        </w:r>
        <w:r>
          <w:rPr>
            <w:noProof/>
          </w:rPr>
          <w:fldChar w:fldCharType="begin"/>
        </w:r>
        <w:r>
          <w:rPr>
            <w:noProof/>
          </w:rPr>
          <w:instrText xml:space="preserve"> PAGEREF _Toc200698781 \h </w:instrText>
        </w:r>
        <w:r>
          <w:rPr>
            <w:noProof/>
          </w:rPr>
        </w:r>
        <w:r>
          <w:rPr>
            <w:noProof/>
          </w:rPr>
          <w:fldChar w:fldCharType="separate"/>
        </w:r>
        <w:r>
          <w:rPr>
            <w:noProof/>
          </w:rPr>
          <w:t>7</w:t>
        </w:r>
        <w:r>
          <w:rPr>
            <w:noProof/>
          </w:rPr>
          <w:fldChar w:fldCharType="end"/>
        </w:r>
      </w:hyperlink>
    </w:p>
    <w:p w14:paraId="17627611" w14:textId="0C0C1887"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82" w:history="1">
        <w:r w:rsidRPr="00FF4F43">
          <w:rPr>
            <w:rStyle w:val="Lienhypertexte"/>
            <w:noProof/>
          </w:rPr>
          <w:t>3.10</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Protection du secret des affaires</w:t>
        </w:r>
        <w:r>
          <w:rPr>
            <w:noProof/>
          </w:rPr>
          <w:tab/>
        </w:r>
        <w:r>
          <w:rPr>
            <w:noProof/>
          </w:rPr>
          <w:fldChar w:fldCharType="begin"/>
        </w:r>
        <w:r>
          <w:rPr>
            <w:noProof/>
          </w:rPr>
          <w:instrText xml:space="preserve"> PAGEREF _Toc200698782 \h </w:instrText>
        </w:r>
        <w:r>
          <w:rPr>
            <w:noProof/>
          </w:rPr>
        </w:r>
        <w:r>
          <w:rPr>
            <w:noProof/>
          </w:rPr>
          <w:fldChar w:fldCharType="separate"/>
        </w:r>
        <w:r>
          <w:rPr>
            <w:noProof/>
          </w:rPr>
          <w:t>8</w:t>
        </w:r>
        <w:r>
          <w:rPr>
            <w:noProof/>
          </w:rPr>
          <w:fldChar w:fldCharType="end"/>
        </w:r>
      </w:hyperlink>
    </w:p>
    <w:p w14:paraId="37581902" w14:textId="6FA93D66"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783" w:history="1">
        <w:r w:rsidRPr="00FF4F43">
          <w:rPr>
            <w:rStyle w:val="Lienhypertexte"/>
            <w:noProof/>
          </w:rPr>
          <w:t>Article 4 -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INFORMATION DES CANDIDATS</w:t>
        </w:r>
        <w:r>
          <w:rPr>
            <w:noProof/>
          </w:rPr>
          <w:tab/>
        </w:r>
        <w:r>
          <w:rPr>
            <w:noProof/>
          </w:rPr>
          <w:fldChar w:fldCharType="begin"/>
        </w:r>
        <w:r>
          <w:rPr>
            <w:noProof/>
          </w:rPr>
          <w:instrText xml:space="preserve"> PAGEREF _Toc200698783 \h </w:instrText>
        </w:r>
        <w:r>
          <w:rPr>
            <w:noProof/>
          </w:rPr>
        </w:r>
        <w:r>
          <w:rPr>
            <w:noProof/>
          </w:rPr>
          <w:fldChar w:fldCharType="separate"/>
        </w:r>
        <w:r>
          <w:rPr>
            <w:noProof/>
          </w:rPr>
          <w:t>8</w:t>
        </w:r>
        <w:r>
          <w:rPr>
            <w:noProof/>
          </w:rPr>
          <w:fldChar w:fldCharType="end"/>
        </w:r>
      </w:hyperlink>
    </w:p>
    <w:p w14:paraId="49C4295C" w14:textId="1860D4DD"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84" w:history="1">
        <w:r w:rsidRPr="00FF4F43">
          <w:rPr>
            <w:rStyle w:val="Lienhypertexte"/>
            <w:noProof/>
          </w:rPr>
          <w:t>4.1</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Contenu des documents de la consultation</w:t>
        </w:r>
        <w:r>
          <w:rPr>
            <w:noProof/>
          </w:rPr>
          <w:tab/>
        </w:r>
        <w:r>
          <w:rPr>
            <w:noProof/>
          </w:rPr>
          <w:fldChar w:fldCharType="begin"/>
        </w:r>
        <w:r>
          <w:rPr>
            <w:noProof/>
          </w:rPr>
          <w:instrText xml:space="preserve"> PAGEREF _Toc200698784 \h </w:instrText>
        </w:r>
        <w:r>
          <w:rPr>
            <w:noProof/>
          </w:rPr>
        </w:r>
        <w:r>
          <w:rPr>
            <w:noProof/>
          </w:rPr>
          <w:fldChar w:fldCharType="separate"/>
        </w:r>
        <w:r>
          <w:rPr>
            <w:noProof/>
          </w:rPr>
          <w:t>8</w:t>
        </w:r>
        <w:r>
          <w:rPr>
            <w:noProof/>
          </w:rPr>
          <w:fldChar w:fldCharType="end"/>
        </w:r>
      </w:hyperlink>
    </w:p>
    <w:p w14:paraId="05737AC7" w14:textId="5CEC3712"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85" w:history="1">
        <w:r w:rsidRPr="00FF4F43">
          <w:rPr>
            <w:rStyle w:val="Lienhypertexte"/>
            <w:noProof/>
          </w:rPr>
          <w:t>4.2</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Principes généraux sur les échanges électroniques</w:t>
        </w:r>
        <w:r>
          <w:rPr>
            <w:noProof/>
          </w:rPr>
          <w:tab/>
        </w:r>
        <w:r>
          <w:rPr>
            <w:noProof/>
          </w:rPr>
          <w:fldChar w:fldCharType="begin"/>
        </w:r>
        <w:r>
          <w:rPr>
            <w:noProof/>
          </w:rPr>
          <w:instrText xml:space="preserve"> PAGEREF _Toc200698785 \h </w:instrText>
        </w:r>
        <w:r>
          <w:rPr>
            <w:noProof/>
          </w:rPr>
        </w:r>
        <w:r>
          <w:rPr>
            <w:noProof/>
          </w:rPr>
          <w:fldChar w:fldCharType="separate"/>
        </w:r>
        <w:r>
          <w:rPr>
            <w:noProof/>
          </w:rPr>
          <w:t>9</w:t>
        </w:r>
        <w:r>
          <w:rPr>
            <w:noProof/>
          </w:rPr>
          <w:fldChar w:fldCharType="end"/>
        </w:r>
      </w:hyperlink>
    </w:p>
    <w:p w14:paraId="3A39DB4B" w14:textId="2012718B"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86" w:history="1">
        <w:r w:rsidRPr="00FF4F43">
          <w:rPr>
            <w:rStyle w:val="Lienhypertexte"/>
            <w:noProof/>
          </w:rPr>
          <w:t>4.3</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Echanges électroniques (candidature et offre)</w:t>
        </w:r>
        <w:r>
          <w:rPr>
            <w:noProof/>
          </w:rPr>
          <w:tab/>
        </w:r>
        <w:r>
          <w:rPr>
            <w:noProof/>
          </w:rPr>
          <w:fldChar w:fldCharType="begin"/>
        </w:r>
        <w:r>
          <w:rPr>
            <w:noProof/>
          </w:rPr>
          <w:instrText xml:space="preserve"> PAGEREF _Toc200698786 \h </w:instrText>
        </w:r>
        <w:r>
          <w:rPr>
            <w:noProof/>
          </w:rPr>
        </w:r>
        <w:r>
          <w:rPr>
            <w:noProof/>
          </w:rPr>
          <w:fldChar w:fldCharType="separate"/>
        </w:r>
        <w:r>
          <w:rPr>
            <w:noProof/>
          </w:rPr>
          <w:t>11</w:t>
        </w:r>
        <w:r>
          <w:rPr>
            <w:noProof/>
          </w:rPr>
          <w:fldChar w:fldCharType="end"/>
        </w:r>
      </w:hyperlink>
    </w:p>
    <w:p w14:paraId="589E8C29" w14:textId="4976125C"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87" w:history="1">
        <w:r w:rsidRPr="00FF4F43">
          <w:rPr>
            <w:rStyle w:val="Lienhypertexte"/>
            <w:noProof/>
          </w:rPr>
          <w:t>4.4</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Visite obligatoire sur site</w:t>
        </w:r>
        <w:r>
          <w:rPr>
            <w:noProof/>
          </w:rPr>
          <w:tab/>
        </w:r>
        <w:r>
          <w:rPr>
            <w:noProof/>
          </w:rPr>
          <w:fldChar w:fldCharType="begin"/>
        </w:r>
        <w:r>
          <w:rPr>
            <w:noProof/>
          </w:rPr>
          <w:instrText xml:space="preserve"> PAGEREF _Toc200698787 \h </w:instrText>
        </w:r>
        <w:r>
          <w:rPr>
            <w:noProof/>
          </w:rPr>
        </w:r>
        <w:r>
          <w:rPr>
            <w:noProof/>
          </w:rPr>
          <w:fldChar w:fldCharType="separate"/>
        </w:r>
        <w:r>
          <w:rPr>
            <w:noProof/>
          </w:rPr>
          <w:t>11</w:t>
        </w:r>
        <w:r>
          <w:rPr>
            <w:noProof/>
          </w:rPr>
          <w:fldChar w:fldCharType="end"/>
        </w:r>
      </w:hyperlink>
    </w:p>
    <w:p w14:paraId="5573D869" w14:textId="10C464B9"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788" w:history="1">
        <w:r w:rsidRPr="00FF4F43">
          <w:rPr>
            <w:rStyle w:val="Lienhypertexte"/>
            <w:noProof/>
          </w:rPr>
          <w:t>Article 5 -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CANDIDATURE</w:t>
        </w:r>
        <w:r>
          <w:rPr>
            <w:noProof/>
          </w:rPr>
          <w:tab/>
        </w:r>
        <w:r>
          <w:rPr>
            <w:noProof/>
          </w:rPr>
          <w:fldChar w:fldCharType="begin"/>
        </w:r>
        <w:r>
          <w:rPr>
            <w:noProof/>
          </w:rPr>
          <w:instrText xml:space="preserve"> PAGEREF _Toc200698788 \h </w:instrText>
        </w:r>
        <w:r>
          <w:rPr>
            <w:noProof/>
          </w:rPr>
        </w:r>
        <w:r>
          <w:rPr>
            <w:noProof/>
          </w:rPr>
          <w:fldChar w:fldCharType="separate"/>
        </w:r>
        <w:r>
          <w:rPr>
            <w:noProof/>
          </w:rPr>
          <w:t>12</w:t>
        </w:r>
        <w:r>
          <w:rPr>
            <w:noProof/>
          </w:rPr>
          <w:fldChar w:fldCharType="end"/>
        </w:r>
      </w:hyperlink>
    </w:p>
    <w:p w14:paraId="584213FA" w14:textId="22895867"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89" w:history="1">
        <w:r w:rsidRPr="00FF4F43">
          <w:rPr>
            <w:rStyle w:val="Lienhypertexte"/>
            <w:noProof/>
          </w:rPr>
          <w:t>5.1</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Précisions concernant les groupements d’opérateurs économiques et la sous-traitance</w:t>
        </w:r>
        <w:r>
          <w:rPr>
            <w:noProof/>
          </w:rPr>
          <w:tab/>
        </w:r>
        <w:r>
          <w:rPr>
            <w:noProof/>
          </w:rPr>
          <w:fldChar w:fldCharType="begin"/>
        </w:r>
        <w:r>
          <w:rPr>
            <w:noProof/>
          </w:rPr>
          <w:instrText xml:space="preserve"> PAGEREF _Toc200698789 \h </w:instrText>
        </w:r>
        <w:r>
          <w:rPr>
            <w:noProof/>
          </w:rPr>
        </w:r>
        <w:r>
          <w:rPr>
            <w:noProof/>
          </w:rPr>
          <w:fldChar w:fldCharType="separate"/>
        </w:r>
        <w:r>
          <w:rPr>
            <w:noProof/>
          </w:rPr>
          <w:t>12</w:t>
        </w:r>
        <w:r>
          <w:rPr>
            <w:noProof/>
          </w:rPr>
          <w:fldChar w:fldCharType="end"/>
        </w:r>
      </w:hyperlink>
    </w:p>
    <w:p w14:paraId="7A0543DF" w14:textId="6B2AF244"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0" w:history="1">
        <w:r w:rsidRPr="00FF4F43">
          <w:rPr>
            <w:rStyle w:val="Lienhypertexte"/>
            <w:noProof/>
          </w:rPr>
          <w:t>5.2</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Conditions de présentation</w:t>
        </w:r>
        <w:r>
          <w:rPr>
            <w:noProof/>
          </w:rPr>
          <w:tab/>
        </w:r>
        <w:r>
          <w:rPr>
            <w:noProof/>
          </w:rPr>
          <w:fldChar w:fldCharType="begin"/>
        </w:r>
        <w:r>
          <w:rPr>
            <w:noProof/>
          </w:rPr>
          <w:instrText xml:space="preserve"> PAGEREF _Toc200698790 \h </w:instrText>
        </w:r>
        <w:r>
          <w:rPr>
            <w:noProof/>
          </w:rPr>
        </w:r>
        <w:r>
          <w:rPr>
            <w:noProof/>
          </w:rPr>
          <w:fldChar w:fldCharType="separate"/>
        </w:r>
        <w:r>
          <w:rPr>
            <w:noProof/>
          </w:rPr>
          <w:t>12</w:t>
        </w:r>
        <w:r>
          <w:rPr>
            <w:noProof/>
          </w:rPr>
          <w:fldChar w:fldCharType="end"/>
        </w:r>
      </w:hyperlink>
    </w:p>
    <w:p w14:paraId="3709AAFD" w14:textId="7230A8BC"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1" w:history="1">
        <w:r w:rsidRPr="00FF4F43">
          <w:rPr>
            <w:rStyle w:val="Lienhypertexte"/>
            <w:noProof/>
          </w:rPr>
          <w:t>5.3</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Précisions concernant la sous-traitance</w:t>
        </w:r>
        <w:r>
          <w:rPr>
            <w:noProof/>
          </w:rPr>
          <w:tab/>
        </w:r>
        <w:r>
          <w:rPr>
            <w:noProof/>
          </w:rPr>
          <w:fldChar w:fldCharType="begin"/>
        </w:r>
        <w:r>
          <w:rPr>
            <w:noProof/>
          </w:rPr>
          <w:instrText xml:space="preserve"> PAGEREF _Toc200698791 \h </w:instrText>
        </w:r>
        <w:r>
          <w:rPr>
            <w:noProof/>
          </w:rPr>
        </w:r>
        <w:r>
          <w:rPr>
            <w:noProof/>
          </w:rPr>
          <w:fldChar w:fldCharType="separate"/>
        </w:r>
        <w:r>
          <w:rPr>
            <w:noProof/>
          </w:rPr>
          <w:t>12</w:t>
        </w:r>
        <w:r>
          <w:rPr>
            <w:noProof/>
          </w:rPr>
          <w:fldChar w:fldCharType="end"/>
        </w:r>
      </w:hyperlink>
    </w:p>
    <w:p w14:paraId="08F171D2" w14:textId="14CEFB6D"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2" w:history="1">
        <w:r w:rsidRPr="00FF4F43">
          <w:rPr>
            <w:rStyle w:val="Lienhypertexte"/>
            <w:noProof/>
          </w:rPr>
          <w:t>5.4</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Motifs d'exclusion</w:t>
        </w:r>
        <w:r>
          <w:rPr>
            <w:noProof/>
          </w:rPr>
          <w:tab/>
        </w:r>
        <w:r>
          <w:rPr>
            <w:noProof/>
          </w:rPr>
          <w:fldChar w:fldCharType="begin"/>
        </w:r>
        <w:r>
          <w:rPr>
            <w:noProof/>
          </w:rPr>
          <w:instrText xml:space="preserve"> PAGEREF _Toc200698792 \h </w:instrText>
        </w:r>
        <w:r>
          <w:rPr>
            <w:noProof/>
          </w:rPr>
        </w:r>
        <w:r>
          <w:rPr>
            <w:noProof/>
          </w:rPr>
          <w:fldChar w:fldCharType="separate"/>
        </w:r>
        <w:r>
          <w:rPr>
            <w:noProof/>
          </w:rPr>
          <w:t>13</w:t>
        </w:r>
        <w:r>
          <w:rPr>
            <w:noProof/>
          </w:rPr>
          <w:fldChar w:fldCharType="end"/>
        </w:r>
      </w:hyperlink>
    </w:p>
    <w:p w14:paraId="31A84AD3" w14:textId="4A56187A"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3" w:history="1">
        <w:r w:rsidRPr="00FF4F43">
          <w:rPr>
            <w:rStyle w:val="Lienhypertexte"/>
            <w:noProof/>
          </w:rPr>
          <w:t>5.5</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Candidature sous forme de DUME</w:t>
        </w:r>
        <w:r>
          <w:rPr>
            <w:noProof/>
          </w:rPr>
          <w:tab/>
        </w:r>
        <w:r>
          <w:rPr>
            <w:noProof/>
          </w:rPr>
          <w:fldChar w:fldCharType="begin"/>
        </w:r>
        <w:r>
          <w:rPr>
            <w:noProof/>
          </w:rPr>
          <w:instrText xml:space="preserve"> PAGEREF _Toc200698793 \h </w:instrText>
        </w:r>
        <w:r>
          <w:rPr>
            <w:noProof/>
          </w:rPr>
        </w:r>
        <w:r>
          <w:rPr>
            <w:noProof/>
          </w:rPr>
          <w:fldChar w:fldCharType="separate"/>
        </w:r>
        <w:r>
          <w:rPr>
            <w:noProof/>
          </w:rPr>
          <w:t>13</w:t>
        </w:r>
        <w:r>
          <w:rPr>
            <w:noProof/>
          </w:rPr>
          <w:fldChar w:fldCharType="end"/>
        </w:r>
      </w:hyperlink>
    </w:p>
    <w:p w14:paraId="204B49B6" w14:textId="2E323B76"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4" w:history="1">
        <w:r w:rsidRPr="00FF4F43">
          <w:rPr>
            <w:rStyle w:val="Lienhypertexte"/>
            <w:noProof/>
          </w:rPr>
          <w:t>5.6</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Candidature avec les formulaires DC1 et DC2</w:t>
        </w:r>
        <w:r>
          <w:rPr>
            <w:noProof/>
          </w:rPr>
          <w:tab/>
        </w:r>
        <w:r>
          <w:rPr>
            <w:noProof/>
          </w:rPr>
          <w:fldChar w:fldCharType="begin"/>
        </w:r>
        <w:r>
          <w:rPr>
            <w:noProof/>
          </w:rPr>
          <w:instrText xml:space="preserve"> PAGEREF _Toc200698794 \h </w:instrText>
        </w:r>
        <w:r>
          <w:rPr>
            <w:noProof/>
          </w:rPr>
        </w:r>
        <w:r>
          <w:rPr>
            <w:noProof/>
          </w:rPr>
          <w:fldChar w:fldCharType="separate"/>
        </w:r>
        <w:r>
          <w:rPr>
            <w:noProof/>
          </w:rPr>
          <w:t>14</w:t>
        </w:r>
        <w:r>
          <w:rPr>
            <w:noProof/>
          </w:rPr>
          <w:fldChar w:fldCharType="end"/>
        </w:r>
      </w:hyperlink>
    </w:p>
    <w:p w14:paraId="0357826B" w14:textId="705736AA"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5" w:history="1">
        <w:r w:rsidRPr="00FF4F43">
          <w:rPr>
            <w:rStyle w:val="Lienhypertexte"/>
            <w:noProof/>
          </w:rPr>
          <w:t>5.7</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Examen des candidatures</w:t>
        </w:r>
        <w:r>
          <w:rPr>
            <w:noProof/>
          </w:rPr>
          <w:tab/>
        </w:r>
        <w:r>
          <w:rPr>
            <w:noProof/>
          </w:rPr>
          <w:fldChar w:fldCharType="begin"/>
        </w:r>
        <w:r>
          <w:rPr>
            <w:noProof/>
          </w:rPr>
          <w:instrText xml:space="preserve"> PAGEREF _Toc200698795 \h </w:instrText>
        </w:r>
        <w:r>
          <w:rPr>
            <w:noProof/>
          </w:rPr>
        </w:r>
        <w:r>
          <w:rPr>
            <w:noProof/>
          </w:rPr>
          <w:fldChar w:fldCharType="separate"/>
        </w:r>
        <w:r>
          <w:rPr>
            <w:noProof/>
          </w:rPr>
          <w:t>14</w:t>
        </w:r>
        <w:r>
          <w:rPr>
            <w:noProof/>
          </w:rPr>
          <w:fldChar w:fldCharType="end"/>
        </w:r>
      </w:hyperlink>
    </w:p>
    <w:p w14:paraId="4F32F84B" w14:textId="56FC2869"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796" w:history="1">
        <w:r w:rsidRPr="00FF4F43">
          <w:rPr>
            <w:rStyle w:val="Lienhypertexte"/>
            <w:noProof/>
          </w:rPr>
          <w:t>Article 6 -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OFFRE</w:t>
        </w:r>
        <w:r>
          <w:rPr>
            <w:noProof/>
          </w:rPr>
          <w:tab/>
        </w:r>
        <w:r>
          <w:rPr>
            <w:noProof/>
          </w:rPr>
          <w:fldChar w:fldCharType="begin"/>
        </w:r>
        <w:r>
          <w:rPr>
            <w:noProof/>
          </w:rPr>
          <w:instrText xml:space="preserve"> PAGEREF _Toc200698796 \h </w:instrText>
        </w:r>
        <w:r>
          <w:rPr>
            <w:noProof/>
          </w:rPr>
        </w:r>
        <w:r>
          <w:rPr>
            <w:noProof/>
          </w:rPr>
          <w:fldChar w:fldCharType="separate"/>
        </w:r>
        <w:r>
          <w:rPr>
            <w:noProof/>
          </w:rPr>
          <w:t>15</w:t>
        </w:r>
        <w:r>
          <w:rPr>
            <w:noProof/>
          </w:rPr>
          <w:fldChar w:fldCharType="end"/>
        </w:r>
      </w:hyperlink>
    </w:p>
    <w:p w14:paraId="716C42A4" w14:textId="3AC1B1A6"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7" w:history="1">
        <w:r w:rsidRPr="00FF4F43">
          <w:rPr>
            <w:rStyle w:val="Lienhypertexte"/>
            <w:noProof/>
          </w:rPr>
          <w:t>6.1</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Présentation de l'offre</w:t>
        </w:r>
        <w:r>
          <w:rPr>
            <w:noProof/>
          </w:rPr>
          <w:tab/>
        </w:r>
        <w:r>
          <w:rPr>
            <w:noProof/>
          </w:rPr>
          <w:fldChar w:fldCharType="begin"/>
        </w:r>
        <w:r>
          <w:rPr>
            <w:noProof/>
          </w:rPr>
          <w:instrText xml:space="preserve"> PAGEREF _Toc200698797 \h </w:instrText>
        </w:r>
        <w:r>
          <w:rPr>
            <w:noProof/>
          </w:rPr>
        </w:r>
        <w:r>
          <w:rPr>
            <w:noProof/>
          </w:rPr>
          <w:fldChar w:fldCharType="separate"/>
        </w:r>
        <w:r>
          <w:rPr>
            <w:noProof/>
          </w:rPr>
          <w:t>15</w:t>
        </w:r>
        <w:r>
          <w:rPr>
            <w:noProof/>
          </w:rPr>
          <w:fldChar w:fldCharType="end"/>
        </w:r>
      </w:hyperlink>
    </w:p>
    <w:p w14:paraId="61456EE9" w14:textId="2D830AB3"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8" w:history="1">
        <w:r w:rsidRPr="00FF4F43">
          <w:rPr>
            <w:rStyle w:val="Lienhypertexte"/>
            <w:noProof/>
          </w:rPr>
          <w:t>6.2</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Examen des offres</w:t>
        </w:r>
        <w:r>
          <w:rPr>
            <w:noProof/>
          </w:rPr>
          <w:tab/>
        </w:r>
        <w:r>
          <w:rPr>
            <w:noProof/>
          </w:rPr>
          <w:fldChar w:fldCharType="begin"/>
        </w:r>
        <w:r>
          <w:rPr>
            <w:noProof/>
          </w:rPr>
          <w:instrText xml:space="preserve"> PAGEREF _Toc200698798 \h </w:instrText>
        </w:r>
        <w:r>
          <w:rPr>
            <w:noProof/>
          </w:rPr>
        </w:r>
        <w:r>
          <w:rPr>
            <w:noProof/>
          </w:rPr>
          <w:fldChar w:fldCharType="separate"/>
        </w:r>
        <w:r>
          <w:rPr>
            <w:noProof/>
          </w:rPr>
          <w:t>15</w:t>
        </w:r>
        <w:r>
          <w:rPr>
            <w:noProof/>
          </w:rPr>
          <w:fldChar w:fldCharType="end"/>
        </w:r>
      </w:hyperlink>
    </w:p>
    <w:p w14:paraId="3FBCB8B0" w14:textId="573CD95A"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799" w:history="1">
        <w:r w:rsidRPr="00FF4F43">
          <w:rPr>
            <w:rStyle w:val="Lienhypertexte"/>
            <w:noProof/>
          </w:rPr>
          <w:t>6.3</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Critères d'attribution</w:t>
        </w:r>
        <w:r>
          <w:rPr>
            <w:noProof/>
          </w:rPr>
          <w:tab/>
        </w:r>
        <w:r>
          <w:rPr>
            <w:noProof/>
          </w:rPr>
          <w:fldChar w:fldCharType="begin"/>
        </w:r>
        <w:r>
          <w:rPr>
            <w:noProof/>
          </w:rPr>
          <w:instrText xml:space="preserve"> PAGEREF _Toc200698799 \h </w:instrText>
        </w:r>
        <w:r>
          <w:rPr>
            <w:noProof/>
          </w:rPr>
        </w:r>
        <w:r>
          <w:rPr>
            <w:noProof/>
          </w:rPr>
          <w:fldChar w:fldCharType="separate"/>
        </w:r>
        <w:r>
          <w:rPr>
            <w:noProof/>
          </w:rPr>
          <w:t>16</w:t>
        </w:r>
        <w:r>
          <w:rPr>
            <w:noProof/>
          </w:rPr>
          <w:fldChar w:fldCharType="end"/>
        </w:r>
      </w:hyperlink>
    </w:p>
    <w:p w14:paraId="4605FBD3" w14:textId="02D52642"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800" w:history="1">
        <w:r w:rsidRPr="00FF4F43">
          <w:rPr>
            <w:rStyle w:val="Lienhypertexte"/>
            <w:noProof/>
          </w:rPr>
          <w:t>6.4</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Méthode de notation des offres</w:t>
        </w:r>
        <w:r>
          <w:rPr>
            <w:noProof/>
          </w:rPr>
          <w:tab/>
        </w:r>
        <w:r>
          <w:rPr>
            <w:noProof/>
          </w:rPr>
          <w:fldChar w:fldCharType="begin"/>
        </w:r>
        <w:r>
          <w:rPr>
            <w:noProof/>
          </w:rPr>
          <w:instrText xml:space="preserve"> PAGEREF _Toc200698800 \h </w:instrText>
        </w:r>
        <w:r>
          <w:rPr>
            <w:noProof/>
          </w:rPr>
        </w:r>
        <w:r>
          <w:rPr>
            <w:noProof/>
          </w:rPr>
          <w:fldChar w:fldCharType="separate"/>
        </w:r>
        <w:r>
          <w:rPr>
            <w:noProof/>
          </w:rPr>
          <w:t>16</w:t>
        </w:r>
        <w:r>
          <w:rPr>
            <w:noProof/>
          </w:rPr>
          <w:fldChar w:fldCharType="end"/>
        </w:r>
      </w:hyperlink>
    </w:p>
    <w:p w14:paraId="6E9A96DB" w14:textId="40A72FF8"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801" w:history="1">
        <w:r w:rsidRPr="00FF4F43">
          <w:rPr>
            <w:rStyle w:val="Lienhypertexte"/>
            <w:noProof/>
          </w:rPr>
          <w:t>6.5</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Durée de validité des offres</w:t>
        </w:r>
        <w:r>
          <w:rPr>
            <w:noProof/>
          </w:rPr>
          <w:tab/>
        </w:r>
        <w:r>
          <w:rPr>
            <w:noProof/>
          </w:rPr>
          <w:fldChar w:fldCharType="begin"/>
        </w:r>
        <w:r>
          <w:rPr>
            <w:noProof/>
          </w:rPr>
          <w:instrText xml:space="preserve"> PAGEREF _Toc200698801 \h </w:instrText>
        </w:r>
        <w:r>
          <w:rPr>
            <w:noProof/>
          </w:rPr>
        </w:r>
        <w:r>
          <w:rPr>
            <w:noProof/>
          </w:rPr>
          <w:fldChar w:fldCharType="separate"/>
        </w:r>
        <w:r>
          <w:rPr>
            <w:noProof/>
          </w:rPr>
          <w:t>17</w:t>
        </w:r>
        <w:r>
          <w:rPr>
            <w:noProof/>
          </w:rPr>
          <w:fldChar w:fldCharType="end"/>
        </w:r>
      </w:hyperlink>
    </w:p>
    <w:p w14:paraId="3B9A3B28" w14:textId="0793DFCB"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802" w:history="1">
        <w:r w:rsidRPr="00FF4F43">
          <w:rPr>
            <w:rStyle w:val="Lienhypertexte"/>
            <w:noProof/>
          </w:rPr>
          <w:t>Article 7 -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NEGOCIATION</w:t>
        </w:r>
        <w:r>
          <w:rPr>
            <w:noProof/>
          </w:rPr>
          <w:tab/>
        </w:r>
        <w:r>
          <w:rPr>
            <w:noProof/>
          </w:rPr>
          <w:fldChar w:fldCharType="begin"/>
        </w:r>
        <w:r>
          <w:rPr>
            <w:noProof/>
          </w:rPr>
          <w:instrText xml:space="preserve"> PAGEREF _Toc200698802 \h </w:instrText>
        </w:r>
        <w:r>
          <w:rPr>
            <w:noProof/>
          </w:rPr>
        </w:r>
        <w:r>
          <w:rPr>
            <w:noProof/>
          </w:rPr>
          <w:fldChar w:fldCharType="separate"/>
        </w:r>
        <w:r>
          <w:rPr>
            <w:noProof/>
          </w:rPr>
          <w:t>17</w:t>
        </w:r>
        <w:r>
          <w:rPr>
            <w:noProof/>
          </w:rPr>
          <w:fldChar w:fldCharType="end"/>
        </w:r>
      </w:hyperlink>
    </w:p>
    <w:p w14:paraId="26DC4114" w14:textId="2AEE82EB"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803" w:history="1">
        <w:r w:rsidRPr="00FF4F43">
          <w:rPr>
            <w:rStyle w:val="Lienhypertexte"/>
            <w:noProof/>
          </w:rPr>
          <w:t>Article 8 -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ATTRIBUTION DU MARCHE</w:t>
        </w:r>
        <w:r>
          <w:rPr>
            <w:noProof/>
          </w:rPr>
          <w:tab/>
        </w:r>
        <w:r>
          <w:rPr>
            <w:noProof/>
          </w:rPr>
          <w:fldChar w:fldCharType="begin"/>
        </w:r>
        <w:r>
          <w:rPr>
            <w:noProof/>
          </w:rPr>
          <w:instrText xml:space="preserve"> PAGEREF _Toc200698803 \h </w:instrText>
        </w:r>
        <w:r>
          <w:rPr>
            <w:noProof/>
          </w:rPr>
        </w:r>
        <w:r>
          <w:rPr>
            <w:noProof/>
          </w:rPr>
          <w:fldChar w:fldCharType="separate"/>
        </w:r>
        <w:r>
          <w:rPr>
            <w:noProof/>
          </w:rPr>
          <w:t>18</w:t>
        </w:r>
        <w:r>
          <w:rPr>
            <w:noProof/>
          </w:rPr>
          <w:fldChar w:fldCharType="end"/>
        </w:r>
      </w:hyperlink>
    </w:p>
    <w:p w14:paraId="6AB9640B" w14:textId="6F4AD69D"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804" w:history="1">
        <w:r w:rsidRPr="00FF4F43">
          <w:rPr>
            <w:rStyle w:val="Lienhypertexte"/>
            <w:noProof/>
          </w:rPr>
          <w:t>8.1</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Vérification des motifs d'exclusion : transmission des moyens de preuve</w:t>
        </w:r>
        <w:r>
          <w:rPr>
            <w:noProof/>
          </w:rPr>
          <w:tab/>
        </w:r>
        <w:r>
          <w:rPr>
            <w:noProof/>
          </w:rPr>
          <w:fldChar w:fldCharType="begin"/>
        </w:r>
        <w:r>
          <w:rPr>
            <w:noProof/>
          </w:rPr>
          <w:instrText xml:space="preserve"> PAGEREF _Toc200698804 \h </w:instrText>
        </w:r>
        <w:r>
          <w:rPr>
            <w:noProof/>
          </w:rPr>
        </w:r>
        <w:r>
          <w:rPr>
            <w:noProof/>
          </w:rPr>
          <w:fldChar w:fldCharType="separate"/>
        </w:r>
        <w:r>
          <w:rPr>
            <w:noProof/>
          </w:rPr>
          <w:t>18</w:t>
        </w:r>
        <w:r>
          <w:rPr>
            <w:noProof/>
          </w:rPr>
          <w:fldChar w:fldCharType="end"/>
        </w:r>
      </w:hyperlink>
    </w:p>
    <w:p w14:paraId="653FFAA5" w14:textId="67BAAD64"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805" w:history="1">
        <w:r w:rsidRPr="00FF4F43">
          <w:rPr>
            <w:rStyle w:val="Lienhypertexte"/>
            <w:noProof/>
          </w:rPr>
          <w:t>8.2</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Interdiction d'attribution</w:t>
        </w:r>
        <w:r>
          <w:rPr>
            <w:noProof/>
          </w:rPr>
          <w:tab/>
        </w:r>
        <w:r>
          <w:rPr>
            <w:noProof/>
          </w:rPr>
          <w:fldChar w:fldCharType="begin"/>
        </w:r>
        <w:r>
          <w:rPr>
            <w:noProof/>
          </w:rPr>
          <w:instrText xml:space="preserve"> PAGEREF _Toc200698805 \h </w:instrText>
        </w:r>
        <w:r>
          <w:rPr>
            <w:noProof/>
          </w:rPr>
        </w:r>
        <w:r>
          <w:rPr>
            <w:noProof/>
          </w:rPr>
          <w:fldChar w:fldCharType="separate"/>
        </w:r>
        <w:r>
          <w:rPr>
            <w:noProof/>
          </w:rPr>
          <w:t>19</w:t>
        </w:r>
        <w:r>
          <w:rPr>
            <w:noProof/>
          </w:rPr>
          <w:fldChar w:fldCharType="end"/>
        </w:r>
      </w:hyperlink>
    </w:p>
    <w:p w14:paraId="627F876C" w14:textId="2DF03D5B"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806" w:history="1">
        <w:r w:rsidRPr="00FF4F43">
          <w:rPr>
            <w:rStyle w:val="Lienhypertexte"/>
            <w:noProof/>
          </w:rPr>
          <w:t>8.3</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Signature du marché</w:t>
        </w:r>
        <w:r>
          <w:rPr>
            <w:noProof/>
          </w:rPr>
          <w:tab/>
        </w:r>
        <w:r>
          <w:rPr>
            <w:noProof/>
          </w:rPr>
          <w:fldChar w:fldCharType="begin"/>
        </w:r>
        <w:r>
          <w:rPr>
            <w:noProof/>
          </w:rPr>
          <w:instrText xml:space="preserve"> PAGEREF _Toc200698806 \h </w:instrText>
        </w:r>
        <w:r>
          <w:rPr>
            <w:noProof/>
          </w:rPr>
        </w:r>
        <w:r>
          <w:rPr>
            <w:noProof/>
          </w:rPr>
          <w:fldChar w:fldCharType="separate"/>
        </w:r>
        <w:r>
          <w:rPr>
            <w:noProof/>
          </w:rPr>
          <w:t>20</w:t>
        </w:r>
        <w:r>
          <w:rPr>
            <w:noProof/>
          </w:rPr>
          <w:fldChar w:fldCharType="end"/>
        </w:r>
      </w:hyperlink>
    </w:p>
    <w:p w14:paraId="517B2143" w14:textId="7CAFF50B" w:rsidR="00807C07" w:rsidRDefault="00807C07">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698807" w:history="1">
        <w:r w:rsidRPr="00FF4F43">
          <w:rPr>
            <w:rStyle w:val="Lienhypertexte"/>
            <w:noProof/>
          </w:rPr>
          <w:t>8.4</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Mise au point</w:t>
        </w:r>
        <w:r>
          <w:rPr>
            <w:noProof/>
          </w:rPr>
          <w:tab/>
        </w:r>
        <w:r>
          <w:rPr>
            <w:noProof/>
          </w:rPr>
          <w:fldChar w:fldCharType="begin"/>
        </w:r>
        <w:r>
          <w:rPr>
            <w:noProof/>
          </w:rPr>
          <w:instrText xml:space="preserve"> PAGEREF _Toc200698807 \h </w:instrText>
        </w:r>
        <w:r>
          <w:rPr>
            <w:noProof/>
          </w:rPr>
        </w:r>
        <w:r>
          <w:rPr>
            <w:noProof/>
          </w:rPr>
          <w:fldChar w:fldCharType="separate"/>
        </w:r>
        <w:r>
          <w:rPr>
            <w:noProof/>
          </w:rPr>
          <w:t>20</w:t>
        </w:r>
        <w:r>
          <w:rPr>
            <w:noProof/>
          </w:rPr>
          <w:fldChar w:fldCharType="end"/>
        </w:r>
      </w:hyperlink>
    </w:p>
    <w:p w14:paraId="7BB7D7CF" w14:textId="76F9C774"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808" w:history="1">
        <w:r w:rsidRPr="00FF4F43">
          <w:rPr>
            <w:rStyle w:val="Lienhypertexte"/>
            <w:noProof/>
          </w:rPr>
          <w:t>Article 9 -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LANGUE</w:t>
        </w:r>
        <w:r>
          <w:rPr>
            <w:noProof/>
          </w:rPr>
          <w:tab/>
        </w:r>
        <w:r>
          <w:rPr>
            <w:noProof/>
          </w:rPr>
          <w:fldChar w:fldCharType="begin"/>
        </w:r>
        <w:r>
          <w:rPr>
            <w:noProof/>
          </w:rPr>
          <w:instrText xml:space="preserve"> PAGEREF _Toc200698808 \h </w:instrText>
        </w:r>
        <w:r>
          <w:rPr>
            <w:noProof/>
          </w:rPr>
        </w:r>
        <w:r>
          <w:rPr>
            <w:noProof/>
          </w:rPr>
          <w:fldChar w:fldCharType="separate"/>
        </w:r>
        <w:r>
          <w:rPr>
            <w:noProof/>
          </w:rPr>
          <w:t>20</w:t>
        </w:r>
        <w:r>
          <w:rPr>
            <w:noProof/>
          </w:rPr>
          <w:fldChar w:fldCharType="end"/>
        </w:r>
      </w:hyperlink>
    </w:p>
    <w:p w14:paraId="56DF238C" w14:textId="2C8BA1CD"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809" w:history="1">
        <w:r w:rsidRPr="00FF4F43">
          <w:rPr>
            <w:rStyle w:val="Lienhypertexte"/>
            <w:noProof/>
          </w:rPr>
          <w:t>Article 10 -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CONTENTIEUX</w:t>
        </w:r>
        <w:r>
          <w:rPr>
            <w:noProof/>
          </w:rPr>
          <w:tab/>
        </w:r>
        <w:r>
          <w:rPr>
            <w:noProof/>
          </w:rPr>
          <w:fldChar w:fldCharType="begin"/>
        </w:r>
        <w:r>
          <w:rPr>
            <w:noProof/>
          </w:rPr>
          <w:instrText xml:space="preserve"> PAGEREF _Toc200698809 \h </w:instrText>
        </w:r>
        <w:r>
          <w:rPr>
            <w:noProof/>
          </w:rPr>
        </w:r>
        <w:r>
          <w:rPr>
            <w:noProof/>
          </w:rPr>
          <w:fldChar w:fldCharType="separate"/>
        </w:r>
        <w:r>
          <w:rPr>
            <w:noProof/>
          </w:rPr>
          <w:t>20</w:t>
        </w:r>
        <w:r>
          <w:rPr>
            <w:noProof/>
          </w:rPr>
          <w:fldChar w:fldCharType="end"/>
        </w:r>
      </w:hyperlink>
    </w:p>
    <w:p w14:paraId="49639BBC" w14:textId="0E58047E" w:rsidR="00807C07" w:rsidRDefault="00807C0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698810" w:history="1">
        <w:r w:rsidRPr="00FF4F43">
          <w:rPr>
            <w:rStyle w:val="Lienhypertexte"/>
            <w:noProof/>
          </w:rPr>
          <w:t>Article 11 -</w:t>
        </w:r>
        <w:r>
          <w:rPr>
            <w:rFonts w:asciiTheme="minorHAnsi" w:eastAsiaTheme="minorEastAsia" w:hAnsiTheme="minorHAnsi" w:cstheme="minorBidi"/>
            <w:noProof/>
            <w:kern w:val="2"/>
            <w:lang w:eastAsia="fr-FR" w:bidi="ar-SA"/>
            <w14:ligatures w14:val="standardContextual"/>
          </w:rPr>
          <w:tab/>
        </w:r>
        <w:r w:rsidRPr="00FF4F43">
          <w:rPr>
            <w:rStyle w:val="Lienhypertexte"/>
            <w:noProof/>
          </w:rPr>
          <w:t>AMENAGEMENTS EN CAS DE MENACE SANITAIRE GRAVE APPELANT DES MESURES D'URGENCE</w:t>
        </w:r>
        <w:r>
          <w:rPr>
            <w:noProof/>
          </w:rPr>
          <w:tab/>
        </w:r>
        <w:r>
          <w:rPr>
            <w:noProof/>
          </w:rPr>
          <w:fldChar w:fldCharType="begin"/>
        </w:r>
        <w:r>
          <w:rPr>
            <w:noProof/>
          </w:rPr>
          <w:instrText xml:space="preserve"> PAGEREF _Toc200698810 \h </w:instrText>
        </w:r>
        <w:r>
          <w:rPr>
            <w:noProof/>
          </w:rPr>
        </w:r>
        <w:r>
          <w:rPr>
            <w:noProof/>
          </w:rPr>
          <w:fldChar w:fldCharType="separate"/>
        </w:r>
        <w:r>
          <w:rPr>
            <w:noProof/>
          </w:rPr>
          <w:t>20</w:t>
        </w:r>
        <w:r>
          <w:rPr>
            <w:noProof/>
          </w:rPr>
          <w:fldChar w:fldCharType="end"/>
        </w:r>
      </w:hyperlink>
    </w:p>
    <w:p w14:paraId="2686A895" w14:textId="0D5A4807" w:rsidR="00801D43" w:rsidRDefault="001C3459" w:rsidP="000F1D74">
      <w:pPr>
        <w:pStyle w:val="Contents3"/>
      </w:pPr>
      <w:r>
        <w:rPr>
          <w:sz w:val="18"/>
        </w:rPr>
        <w:fldChar w:fldCharType="end"/>
      </w:r>
      <w:r>
        <w:t xml:space="preserve"> </w:t>
      </w:r>
      <w:r w:rsidR="00801D43">
        <w:br w:type="page"/>
      </w:r>
    </w:p>
    <w:p w14:paraId="16FE2796" w14:textId="5BF1B0EF" w:rsidR="00813D3E" w:rsidRDefault="001C3459" w:rsidP="000F1D74">
      <w:pPr>
        <w:pStyle w:val="Titre1"/>
      </w:pPr>
      <w:bookmarkStart w:id="2" w:name="_Toc200698770"/>
      <w:r>
        <w:lastRenderedPageBreak/>
        <w:t>MAITRE DE L'OUVRAGE</w:t>
      </w:r>
      <w:bookmarkEnd w:id="2"/>
    </w:p>
    <w:p w14:paraId="2F415599" w14:textId="77777777" w:rsidR="00813D3E" w:rsidRDefault="00813D3E" w:rsidP="000F1D74">
      <w:pPr>
        <w:pStyle w:val="Standard"/>
      </w:pPr>
    </w:p>
    <w:p w14:paraId="787D9995" w14:textId="77777777" w:rsidR="00813D3E" w:rsidRDefault="001C3459" w:rsidP="000F1D74">
      <w:pPr>
        <w:pStyle w:val="Standard"/>
      </w:pPr>
      <w:r>
        <w:t>Le présent marché est porté par les Archives nationales – Service à compétence nationale</w:t>
      </w:r>
    </w:p>
    <w:p w14:paraId="276E9433" w14:textId="77777777" w:rsidR="000F1D74" w:rsidRPr="000F1D74" w:rsidRDefault="000F1D74" w:rsidP="000F1D74">
      <w:pPr>
        <w:pStyle w:val="Standard"/>
        <w:rPr>
          <w:b/>
          <w:bCs w:val="0"/>
        </w:rPr>
      </w:pPr>
      <w:r w:rsidRPr="000F1D74">
        <w:rPr>
          <w:b/>
          <w:bCs w:val="0"/>
        </w:rPr>
        <w:t xml:space="preserve">59 rue de Guynemer – </w:t>
      </w:r>
    </w:p>
    <w:p w14:paraId="5838394D" w14:textId="77777777" w:rsidR="000F1D74" w:rsidRPr="000F1D74" w:rsidRDefault="000F1D74" w:rsidP="000F1D74">
      <w:pPr>
        <w:pStyle w:val="Standard"/>
        <w:rPr>
          <w:b/>
          <w:bCs w:val="0"/>
        </w:rPr>
      </w:pPr>
      <w:r w:rsidRPr="000F1D74">
        <w:rPr>
          <w:b/>
          <w:bCs w:val="0"/>
        </w:rPr>
        <w:t xml:space="preserve">90001 Pierrefitte-sur-Seine – </w:t>
      </w:r>
    </w:p>
    <w:p w14:paraId="7FFB1177" w14:textId="77777777" w:rsidR="000F1D74" w:rsidRPr="000F1D74" w:rsidRDefault="000F1D74" w:rsidP="000F1D74">
      <w:pPr>
        <w:pStyle w:val="Standard"/>
        <w:rPr>
          <w:b/>
          <w:bCs w:val="0"/>
        </w:rPr>
      </w:pPr>
      <w:r w:rsidRPr="000F1D74">
        <w:rPr>
          <w:b/>
          <w:bCs w:val="0"/>
        </w:rPr>
        <w:t xml:space="preserve">93 383 Saint-Denis </w:t>
      </w:r>
    </w:p>
    <w:p w14:paraId="5DDA01E8" w14:textId="77777777" w:rsidR="000F1D74" w:rsidRPr="000F1D74" w:rsidRDefault="000F1D74" w:rsidP="000F1D74">
      <w:pPr>
        <w:pStyle w:val="Standard"/>
        <w:rPr>
          <w:b/>
          <w:bCs w:val="0"/>
        </w:rPr>
      </w:pPr>
      <w:r w:rsidRPr="000F1D74">
        <w:rPr>
          <w:b/>
          <w:bCs w:val="0"/>
        </w:rPr>
        <w:t>Tél : 01 75 47 20 00</w:t>
      </w:r>
    </w:p>
    <w:p w14:paraId="0F880EE8" w14:textId="77777777" w:rsidR="000F1D74" w:rsidRPr="000F1D74" w:rsidRDefault="000F1D74" w:rsidP="000F1D74">
      <w:pPr>
        <w:pStyle w:val="Standard"/>
      </w:pPr>
    </w:p>
    <w:p w14:paraId="71B083CA" w14:textId="77777777" w:rsidR="000F1D74" w:rsidRPr="000F1D74" w:rsidRDefault="000F1D74" w:rsidP="000F1D74">
      <w:pPr>
        <w:pStyle w:val="Standard"/>
      </w:pPr>
      <w:r w:rsidRPr="000F1D74">
        <w:t>Représenté par Madame LIMON BONNET Marie-Françoise - Directrice des Archives nationales.</w:t>
      </w:r>
    </w:p>
    <w:p w14:paraId="04DF1461" w14:textId="77777777" w:rsidR="00813D3E" w:rsidRDefault="00813D3E" w:rsidP="000F1D74">
      <w:pPr>
        <w:pStyle w:val="Standard"/>
      </w:pPr>
    </w:p>
    <w:p w14:paraId="7D1D8B5A" w14:textId="33FAFDBD" w:rsidR="00813D3E" w:rsidRDefault="001C3459" w:rsidP="000F1D74">
      <w:pPr>
        <w:pStyle w:val="Titre1"/>
      </w:pPr>
      <w:bookmarkStart w:id="3" w:name="_Toc200698771"/>
      <w:r>
        <w:t>OBJET DE LA CONSULTATION</w:t>
      </w:r>
      <w:bookmarkEnd w:id="3"/>
    </w:p>
    <w:p w14:paraId="7177EBC9" w14:textId="77777777" w:rsidR="00813D3E" w:rsidRDefault="00813D3E" w:rsidP="000F1D74">
      <w:pPr>
        <w:pStyle w:val="Standard"/>
      </w:pPr>
    </w:p>
    <w:p w14:paraId="7383EA95" w14:textId="733EAB66" w:rsidR="000F1D74" w:rsidRPr="000F1D74" w:rsidRDefault="000F1D74" w:rsidP="000F1D74">
      <w:pPr>
        <w:pStyle w:val="Standard"/>
      </w:pPr>
      <w:r w:rsidRPr="000F1D74">
        <w:t>Le marché a pour objet les travaux d’installation de stores intérieurs avec ou sans coffre, à enroulement ou vénitien, à manœuvre manuelle ou électrique, de réparation ou en révision complète de stores en conservation, comprenant également les travaux de dépose de stores intérieurs et extérieurs dégradés, sur le site des Archives nationales de Paris.</w:t>
      </w:r>
    </w:p>
    <w:p w14:paraId="26CB3D02" w14:textId="77777777" w:rsidR="000F1D74" w:rsidRPr="000F1D74" w:rsidRDefault="000F1D74" w:rsidP="000F1D74">
      <w:pPr>
        <w:rPr>
          <w:rFonts w:ascii="Arial" w:hAnsi="Arial"/>
          <w:sz w:val="20"/>
        </w:rPr>
      </w:pPr>
    </w:p>
    <w:p w14:paraId="5DF03856" w14:textId="77777777" w:rsidR="000F1D74" w:rsidRPr="000F1D74" w:rsidRDefault="000F1D74" w:rsidP="000F1D74">
      <w:pPr>
        <w:rPr>
          <w:rFonts w:ascii="Arial" w:hAnsi="Arial"/>
          <w:sz w:val="20"/>
        </w:rPr>
      </w:pPr>
      <w:r w:rsidRPr="000F1D74">
        <w:rPr>
          <w:rFonts w:ascii="Arial" w:hAnsi="Arial"/>
          <w:sz w:val="20"/>
        </w:rPr>
        <w:t xml:space="preserve">Le marché est un marché de travaux. </w:t>
      </w:r>
    </w:p>
    <w:p w14:paraId="63AE2770" w14:textId="77777777" w:rsidR="000F1D74" w:rsidRPr="000F1D74" w:rsidRDefault="000F1D74" w:rsidP="000F1D74">
      <w:pPr>
        <w:rPr>
          <w:rFonts w:ascii="Arial" w:hAnsi="Arial"/>
          <w:sz w:val="20"/>
        </w:rPr>
      </w:pPr>
    </w:p>
    <w:p w14:paraId="2B2BD89E" w14:textId="0865188D" w:rsidR="000F1D74" w:rsidRPr="000F1D74" w:rsidRDefault="000F1D74" w:rsidP="000F1D74">
      <w:pPr>
        <w:rPr>
          <w:rFonts w:ascii="Arial" w:hAnsi="Arial"/>
          <w:sz w:val="20"/>
        </w:rPr>
      </w:pPr>
      <w:r w:rsidRPr="000F1D74">
        <w:rPr>
          <w:rFonts w:ascii="Arial" w:hAnsi="Arial"/>
          <w:sz w:val="20"/>
        </w:rPr>
        <w:t xml:space="preserve">La description des travaux et leurs spécifications techniques sont indiquées dans </w:t>
      </w:r>
      <w:r w:rsidR="00CA3233" w:rsidRPr="000F1D74">
        <w:rPr>
          <w:rFonts w:ascii="Arial" w:hAnsi="Arial"/>
          <w:sz w:val="20"/>
        </w:rPr>
        <w:t>le</w:t>
      </w:r>
      <w:r w:rsidR="00CA3233">
        <w:rPr>
          <w:rFonts w:ascii="Arial" w:hAnsi="Arial"/>
          <w:sz w:val="20"/>
        </w:rPr>
        <w:t xml:space="preserve"> </w:t>
      </w:r>
      <w:r w:rsidR="00CA3233" w:rsidRPr="000F1D74">
        <w:rPr>
          <w:rFonts w:ascii="Arial" w:hAnsi="Arial"/>
          <w:sz w:val="20"/>
        </w:rPr>
        <w:t>cahier</w:t>
      </w:r>
      <w:r w:rsidRPr="000F1D74">
        <w:rPr>
          <w:rFonts w:ascii="Arial" w:hAnsi="Arial"/>
          <w:sz w:val="20"/>
        </w:rPr>
        <w:t xml:space="preserve"> des clauses techniques particulières (CCTP)</w:t>
      </w:r>
      <w:r w:rsidR="00CA3233">
        <w:rPr>
          <w:rFonts w:ascii="Arial" w:hAnsi="Arial"/>
          <w:sz w:val="20"/>
        </w:rPr>
        <w:t>.</w:t>
      </w:r>
    </w:p>
    <w:p w14:paraId="4C21F293" w14:textId="77777777" w:rsidR="000F1D74" w:rsidRPr="000F1D74" w:rsidRDefault="000F1D74" w:rsidP="000F1D74">
      <w:pPr>
        <w:rPr>
          <w:rFonts w:ascii="Arial" w:hAnsi="Arial"/>
          <w:sz w:val="20"/>
        </w:rPr>
      </w:pPr>
    </w:p>
    <w:p w14:paraId="4D63CEB0" w14:textId="77777777" w:rsidR="000F1D74" w:rsidRPr="000F1D74" w:rsidRDefault="000F1D74" w:rsidP="000F1D74">
      <w:pPr>
        <w:rPr>
          <w:rFonts w:ascii="Arial" w:hAnsi="Arial"/>
          <w:sz w:val="20"/>
        </w:rPr>
      </w:pPr>
      <w:r w:rsidRPr="000F1D74">
        <w:rPr>
          <w:rFonts w:ascii="Arial" w:hAnsi="Arial"/>
          <w:sz w:val="20"/>
        </w:rPr>
        <w:t>Codes CPV de la consultation : 45421143 Travaux d'installation de stores</w:t>
      </w:r>
    </w:p>
    <w:p w14:paraId="3A2856A2" w14:textId="77777777" w:rsidR="00813D3E" w:rsidRDefault="00813D3E" w:rsidP="000F1D74">
      <w:pPr>
        <w:pStyle w:val="Standard"/>
      </w:pPr>
    </w:p>
    <w:p w14:paraId="38904EF5" w14:textId="4AA2D478" w:rsidR="00813D3E" w:rsidRDefault="001C3459" w:rsidP="000F1D74">
      <w:pPr>
        <w:pStyle w:val="Titre1"/>
      </w:pPr>
      <w:bookmarkStart w:id="4" w:name="_Toc200698772"/>
      <w:r>
        <w:t>CONDITIONS DE LA CONSULTATION</w:t>
      </w:r>
      <w:bookmarkEnd w:id="4"/>
    </w:p>
    <w:p w14:paraId="1331D922" w14:textId="6EA3E879" w:rsidR="00813D3E" w:rsidRDefault="001C3459" w:rsidP="000F1D74">
      <w:pPr>
        <w:pStyle w:val="Titre2"/>
        <w:ind w:left="1134"/>
      </w:pPr>
      <w:bookmarkStart w:id="5" w:name="_Toc200698773"/>
      <w:r>
        <w:t>Procédure de passation</w:t>
      </w:r>
      <w:bookmarkEnd w:id="5"/>
    </w:p>
    <w:p w14:paraId="7A63B5CE" w14:textId="77777777" w:rsidR="00813D3E" w:rsidRDefault="00813D3E" w:rsidP="000F1D74">
      <w:pPr>
        <w:pStyle w:val="Standard"/>
      </w:pPr>
    </w:p>
    <w:p w14:paraId="5E42927A" w14:textId="77777777" w:rsidR="00813D3E" w:rsidRDefault="001C3459" w:rsidP="000F1D74">
      <w:pPr>
        <w:pStyle w:val="Standard"/>
      </w:pPr>
      <w:r>
        <w:t>Le marché est passé en procédure adaptée. - Procédure de passation - MAPA restreint ≥ 90 000 EUR HT offre.</w:t>
      </w:r>
    </w:p>
    <w:p w14:paraId="3AFA28DD" w14:textId="799E2EB9" w:rsidR="00813D3E" w:rsidRDefault="001C3459" w:rsidP="000F1D74">
      <w:pPr>
        <w:pStyle w:val="Titre2"/>
        <w:ind w:left="1134"/>
      </w:pPr>
      <w:bookmarkStart w:id="6" w:name="_Toc200698774"/>
      <w:r>
        <w:t>Allotissement</w:t>
      </w:r>
      <w:bookmarkEnd w:id="6"/>
    </w:p>
    <w:p w14:paraId="29FE7842" w14:textId="77777777" w:rsidR="00813D3E" w:rsidRDefault="00813D3E" w:rsidP="000F1D74">
      <w:pPr>
        <w:pStyle w:val="Standard"/>
      </w:pPr>
    </w:p>
    <w:p w14:paraId="22584AE1" w14:textId="11522F22" w:rsidR="00813D3E" w:rsidRDefault="001C3459" w:rsidP="000F1D74">
      <w:pPr>
        <w:pStyle w:val="Standard"/>
      </w:pPr>
      <w:r>
        <w:t xml:space="preserve">L'opération </w:t>
      </w:r>
      <w:r w:rsidR="000F1D74">
        <w:t>n’</w:t>
      </w:r>
      <w:r>
        <w:t xml:space="preserve">est </w:t>
      </w:r>
      <w:r w:rsidR="000F1D74">
        <w:t xml:space="preserve">pas </w:t>
      </w:r>
      <w:r>
        <w:t>alloti</w:t>
      </w:r>
      <w:r w:rsidR="000F1D74">
        <w:t>e.</w:t>
      </w:r>
      <w:r>
        <w:t xml:space="preserve"> </w:t>
      </w:r>
    </w:p>
    <w:p w14:paraId="30B5B554" w14:textId="00CA5C2F" w:rsidR="00CA3233" w:rsidRDefault="00CA3233" w:rsidP="000F1D74">
      <w:pPr>
        <w:pStyle w:val="Titre2"/>
        <w:ind w:left="1134"/>
      </w:pPr>
      <w:bookmarkStart w:id="7" w:name="_Toc200698775"/>
      <w:r>
        <w:t>Forme du marché</w:t>
      </w:r>
      <w:bookmarkEnd w:id="7"/>
      <w:r>
        <w:t xml:space="preserve"> </w:t>
      </w:r>
    </w:p>
    <w:p w14:paraId="0705A3C6" w14:textId="77777777" w:rsidR="00CA3233" w:rsidRDefault="00CA3233" w:rsidP="00CA3233">
      <w:pPr>
        <w:pStyle w:val="Standard"/>
      </w:pPr>
    </w:p>
    <w:p w14:paraId="64E2D94B" w14:textId="77777777" w:rsidR="0010552B" w:rsidRDefault="0010552B" w:rsidP="0010552B">
      <w:pPr>
        <w:pStyle w:val="Standard"/>
      </w:pPr>
      <w:bookmarkStart w:id="8" w:name="_Hlk197704489"/>
      <w:r>
        <w:t>Le présent marché public est un accord-cadre mono-attributaire à bons de commande avec montant maximum annuel passé en application des dispositions des articles R. 2162-13 et R.2162-14 du code de la commande publique.</w:t>
      </w:r>
    </w:p>
    <w:p w14:paraId="6DB6F4B3" w14:textId="77777777" w:rsidR="0010552B" w:rsidRDefault="0010552B" w:rsidP="0010552B">
      <w:pPr>
        <w:pStyle w:val="Standard"/>
      </w:pPr>
    </w:p>
    <w:p w14:paraId="1ED66ACB" w14:textId="77777777" w:rsidR="0010552B" w:rsidRDefault="0010552B" w:rsidP="0010552B">
      <w:pPr>
        <w:pStyle w:val="Standard"/>
      </w:pPr>
      <w:r w:rsidRPr="002702A1">
        <w:t>Les bons de commande seront notifiés par le pouvoir adjudicateur au fur et à mesure des besoins.</w:t>
      </w:r>
    </w:p>
    <w:p w14:paraId="22CBB9A7" w14:textId="77777777" w:rsidR="0010552B" w:rsidRDefault="0010552B" w:rsidP="0010552B">
      <w:pPr>
        <w:pStyle w:val="Standard"/>
      </w:pPr>
      <w:r>
        <w:t xml:space="preserve">Le montant maximum pour la durée initiale du marché public et pour chaque période de reconduction est indiqué ci-après : </w:t>
      </w:r>
    </w:p>
    <w:p w14:paraId="7C9DEF37" w14:textId="77777777" w:rsidR="0010552B" w:rsidRDefault="0010552B" w:rsidP="0010552B">
      <w:pPr>
        <w:pStyle w:val="Standard"/>
      </w:pPr>
    </w:p>
    <w:tbl>
      <w:tblPr>
        <w:tblW w:w="9636" w:type="dxa"/>
        <w:tblLayout w:type="fixed"/>
        <w:tblCellMar>
          <w:left w:w="10" w:type="dxa"/>
          <w:right w:w="10" w:type="dxa"/>
        </w:tblCellMar>
        <w:tblLook w:val="04A0" w:firstRow="1" w:lastRow="0" w:firstColumn="1" w:lastColumn="0" w:noHBand="0" w:noVBand="1"/>
      </w:tblPr>
      <w:tblGrid>
        <w:gridCol w:w="9636"/>
      </w:tblGrid>
      <w:tr w:rsidR="0010552B" w14:paraId="5B450BE4" w14:textId="77777777" w:rsidTr="00D8645D">
        <w:tc>
          <w:tcPr>
            <w:tcW w:w="9636" w:type="dxa"/>
            <w:tcBorders>
              <w:top w:val="single" w:sz="2" w:space="0" w:color="000000"/>
              <w:left w:val="single" w:sz="2" w:space="0" w:color="000000"/>
              <w:bottom w:val="single" w:sz="4" w:space="0" w:color="000000"/>
              <w:right w:val="single" w:sz="2" w:space="0" w:color="000000"/>
            </w:tcBorders>
            <w:shd w:val="clear" w:color="auto" w:fill="C0C0C0"/>
            <w:tcMar>
              <w:top w:w="55" w:type="dxa"/>
              <w:left w:w="55" w:type="dxa"/>
              <w:bottom w:w="55" w:type="dxa"/>
              <w:right w:w="55" w:type="dxa"/>
            </w:tcMar>
          </w:tcPr>
          <w:p w14:paraId="51EF0FFC" w14:textId="77777777" w:rsidR="0010552B" w:rsidRDefault="0010552B" w:rsidP="00D8645D">
            <w:pPr>
              <w:suppressLineNumbers/>
              <w:spacing w:before="120" w:after="120"/>
              <w:jc w:val="center"/>
              <w:textAlignment w:val="center"/>
              <w:rPr>
                <w:rFonts w:ascii="Arial" w:eastAsia="MS Mincho" w:hAnsi="Arial"/>
                <w:b/>
                <w:iCs/>
                <w:sz w:val="20"/>
              </w:rPr>
            </w:pPr>
            <w:r>
              <w:rPr>
                <w:rFonts w:ascii="Arial" w:eastAsia="MS Mincho" w:hAnsi="Arial"/>
                <w:b/>
                <w:iCs/>
                <w:sz w:val="20"/>
              </w:rPr>
              <w:t>Montant HT maximum annuel</w:t>
            </w:r>
          </w:p>
        </w:tc>
      </w:tr>
      <w:tr w:rsidR="0010552B" w14:paraId="4C83B02A" w14:textId="77777777" w:rsidTr="00D8645D">
        <w:trPr>
          <w:trHeight w:val="480"/>
        </w:trPr>
        <w:tc>
          <w:tcPr>
            <w:tcW w:w="963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E5FF66" w14:textId="77777777" w:rsidR="0010552B" w:rsidRPr="004C46E4" w:rsidRDefault="0010552B" w:rsidP="00D8645D">
            <w:pPr>
              <w:suppressLineNumbers/>
              <w:spacing w:before="120" w:after="120"/>
              <w:jc w:val="center"/>
              <w:textAlignment w:val="center"/>
              <w:rPr>
                <w:rFonts w:ascii="Arial" w:eastAsia="MS Mincho" w:hAnsi="Arial"/>
                <w:b/>
                <w:iCs/>
                <w:sz w:val="20"/>
                <w:highlight w:val="yellow"/>
              </w:rPr>
            </w:pPr>
            <w:r w:rsidRPr="00222CAB">
              <w:rPr>
                <w:rFonts w:ascii="Arial" w:eastAsia="MS Mincho" w:hAnsi="Arial"/>
                <w:b/>
                <w:iCs/>
                <w:sz w:val="20"/>
              </w:rPr>
              <w:lastRenderedPageBreak/>
              <w:t>40 000 €</w:t>
            </w:r>
          </w:p>
        </w:tc>
      </w:tr>
    </w:tbl>
    <w:p w14:paraId="730A195E" w14:textId="77777777" w:rsidR="0010552B" w:rsidRDefault="0010552B" w:rsidP="0010552B">
      <w:pPr>
        <w:pStyle w:val="Standard"/>
      </w:pPr>
    </w:p>
    <w:p w14:paraId="657C2162" w14:textId="339D28A2" w:rsidR="0010552B" w:rsidRDefault="0010552B" w:rsidP="0010552B">
      <w:pPr>
        <w:pStyle w:val="Standard"/>
      </w:pPr>
      <w:r>
        <w:t xml:space="preserve"> </w:t>
      </w:r>
      <w:r w:rsidRPr="002702A1">
        <w:t>L'émission des bons de commande s'effectue sans négociation ni remise en concurrence préalable et selon les modalités fixées à l'article 5.5 du CCAP.</w:t>
      </w:r>
    </w:p>
    <w:p w14:paraId="22845F62" w14:textId="77777777" w:rsidR="0010552B" w:rsidRDefault="0010552B" w:rsidP="00CA3233">
      <w:pPr>
        <w:spacing w:before="57"/>
        <w:jc w:val="both"/>
        <w:textAlignment w:val="center"/>
        <w:rPr>
          <w:rFonts w:ascii="Arial" w:hAnsi="Arial"/>
          <w:sz w:val="20"/>
        </w:rPr>
      </w:pPr>
    </w:p>
    <w:p w14:paraId="28938C21" w14:textId="03781476" w:rsidR="00813D3E" w:rsidRDefault="001C3459" w:rsidP="000F1D74">
      <w:pPr>
        <w:pStyle w:val="Titre2"/>
        <w:ind w:left="1134"/>
      </w:pPr>
      <w:bookmarkStart w:id="9" w:name="_Toc200698776"/>
      <w:bookmarkEnd w:id="8"/>
      <w:r>
        <w:t>Durée du marché</w:t>
      </w:r>
      <w:bookmarkEnd w:id="9"/>
    </w:p>
    <w:p w14:paraId="3F739FCF" w14:textId="77777777" w:rsidR="00813D3E" w:rsidRDefault="00813D3E" w:rsidP="000F1D74">
      <w:pPr>
        <w:pStyle w:val="Standard"/>
      </w:pPr>
    </w:p>
    <w:p w14:paraId="51C6AF86" w14:textId="648E495D" w:rsidR="00813D3E" w:rsidRDefault="00CA3233" w:rsidP="000F1D74">
      <w:pPr>
        <w:pStyle w:val="Standard"/>
      </w:pPr>
      <w:r>
        <w:t>L</w:t>
      </w:r>
      <w:r w:rsidR="001C3459">
        <w:t>e marché est conclu pour une durée de 12 mois à compter de sa date de notification. Il est ensuite renouvelable trois fois par reconduction expresse. La durée totale du marché est fixée à 48 mois.</w:t>
      </w:r>
    </w:p>
    <w:p w14:paraId="4E489407" w14:textId="77777777" w:rsidR="00813D3E" w:rsidRDefault="00813D3E" w:rsidP="000F1D74">
      <w:pPr>
        <w:pStyle w:val="Standard"/>
      </w:pPr>
    </w:p>
    <w:p w14:paraId="51639D0B" w14:textId="77777777" w:rsidR="00813D3E" w:rsidRDefault="001C3459" w:rsidP="000F1D74">
      <w:pPr>
        <w:pStyle w:val="Standard"/>
      </w:pPr>
      <w:r>
        <w:t>La non-reconduction du marché prendra la forme d’une décision expresse de la part du représentant du pouvoir adjudicateur (courrier avec accusé de réception postal) et interviendra dans un délai de trois mois avant l’échéance du renouvellement.</w:t>
      </w:r>
    </w:p>
    <w:p w14:paraId="758C9A4A" w14:textId="77777777" w:rsidR="00813D3E" w:rsidRDefault="00813D3E" w:rsidP="000F1D74">
      <w:pPr>
        <w:pStyle w:val="Standard"/>
      </w:pPr>
    </w:p>
    <w:p w14:paraId="2E080D48" w14:textId="77777777" w:rsidR="00813D3E" w:rsidRDefault="001C3459" w:rsidP="000F1D74">
      <w:pPr>
        <w:pStyle w:val="Standard"/>
      </w:pPr>
      <w:r>
        <w:t>Conformément à l’article R.2112-4 du code de la commande publique, si le pouvoir adjudicateur décide de reconduire le marché public (reconduction tacite), le titulaire ne pourra pas refuser cette reconduction. Dans l’hypothèse où le marché n’était pas reconduit, les bons de commande émis, avant l’échéance annuelle, continuent à s’exécuter jusqu’à leur terme.</w:t>
      </w:r>
    </w:p>
    <w:p w14:paraId="05F25B80" w14:textId="598599E4" w:rsidR="00813D3E" w:rsidRDefault="001C3459" w:rsidP="00B07DF1">
      <w:pPr>
        <w:pStyle w:val="Titre2"/>
        <w:ind w:left="1134"/>
      </w:pPr>
      <w:bookmarkStart w:id="10" w:name="_Toc200698777"/>
      <w:r>
        <w:t>Lieu d'exécution</w:t>
      </w:r>
      <w:bookmarkEnd w:id="10"/>
    </w:p>
    <w:p w14:paraId="3DACF6E5" w14:textId="77777777" w:rsidR="00813D3E" w:rsidRDefault="00813D3E" w:rsidP="000F1D74">
      <w:pPr>
        <w:pStyle w:val="Standard"/>
      </w:pPr>
    </w:p>
    <w:p w14:paraId="2F888E47" w14:textId="77777777" w:rsidR="00813D3E" w:rsidRDefault="001C3459" w:rsidP="000F1D74">
      <w:pPr>
        <w:pStyle w:val="Standard"/>
      </w:pPr>
      <w:r w:rsidRPr="000F1D74">
        <w:t>Les prestations sont à réaliser sur le site de Paris des Archives nationales, dont l'entrée se fait au 60 rue des Franc-Bourgeois et concernent plus particulièrement :</w:t>
      </w:r>
    </w:p>
    <w:p w14:paraId="24C70087" w14:textId="2E41FB61" w:rsidR="00813D3E" w:rsidRPr="000F1D74" w:rsidRDefault="001C3459" w:rsidP="000F1D74">
      <w:pPr>
        <w:pStyle w:val="Standard"/>
      </w:pPr>
      <w:r w:rsidRPr="000F1D74">
        <w:t xml:space="preserve">    • l'ensemble du </w:t>
      </w:r>
      <w:r w:rsidR="008C0938" w:rsidRPr="000F1D74">
        <w:t>quadrilatère ;</w:t>
      </w:r>
    </w:p>
    <w:p w14:paraId="016C0081" w14:textId="3C1B3EFA" w:rsidR="00813D3E" w:rsidRDefault="001C3459" w:rsidP="000F1D74">
      <w:pPr>
        <w:pStyle w:val="Standard"/>
      </w:pPr>
      <w:r w:rsidRPr="000F1D74">
        <w:t xml:space="preserve">    • l'hôtel d'Assy, </w:t>
      </w:r>
      <w:r w:rsidR="009844A6">
        <w:t xml:space="preserve">hôtel de Rohan, </w:t>
      </w:r>
      <w:r w:rsidRPr="000F1D74">
        <w:t>hôtel de Breteuil, hôtel de Clisson, hôtel de Soubise, CARAN et Petit CARAN et les Grands dépôts.</w:t>
      </w:r>
      <w:r>
        <w:t xml:space="preserve"> </w:t>
      </w:r>
    </w:p>
    <w:p w14:paraId="4CBEB792" w14:textId="2209E2CA" w:rsidR="00987A9F" w:rsidRDefault="00987A9F" w:rsidP="00987A9F">
      <w:pPr>
        <w:pStyle w:val="Titre2"/>
        <w:ind w:left="1134"/>
      </w:pPr>
      <w:bookmarkStart w:id="11" w:name="_Toc200698778"/>
      <w:r w:rsidRPr="00987A9F">
        <w:t>Égalité professionnelle et lutte contre les discriminations</w:t>
      </w:r>
      <w:bookmarkEnd w:id="11"/>
    </w:p>
    <w:p w14:paraId="00587B07" w14:textId="77777777" w:rsidR="00987A9F" w:rsidRDefault="00987A9F" w:rsidP="00987A9F">
      <w:pPr>
        <w:pStyle w:val="Standard"/>
      </w:pPr>
    </w:p>
    <w:p w14:paraId="0E6CCD64" w14:textId="3A4A476E" w:rsidR="00987A9F" w:rsidRDefault="00987A9F" w:rsidP="00987A9F">
      <w:pPr>
        <w:pStyle w:val="Standard"/>
      </w:pPr>
      <w:r>
        <w:t>Le ministère de la Culture est détenteur depuis 2017 des labels « Égalité professionnelle » et « Diversité » délivrés par l'AFNOR. Il s’engage à ce titre à mettre en œuvre des procédures et outils relatifs aux problématiques de lutte contre les discriminations et pour la promotion de l’égalité professionnelle entre les femmes et les hommes, comme notamment :</w:t>
      </w:r>
    </w:p>
    <w:p w14:paraId="714BC186" w14:textId="03C58054" w:rsidR="00987A9F" w:rsidRDefault="00987A9F" w:rsidP="00987A9F">
      <w:pPr>
        <w:pStyle w:val="Standard"/>
        <w:ind w:left="706"/>
      </w:pPr>
      <w:r>
        <w:t>-des actions de sensibilisation et de formation à la prévention des discriminations à l’attention de tous les personnels, en ciblant plus particulièrement l’encadrement et les équipes de gestion des ressources humaines ;</w:t>
      </w:r>
    </w:p>
    <w:p w14:paraId="52F2131E" w14:textId="77777777" w:rsidR="00987A9F" w:rsidRDefault="00987A9F" w:rsidP="00987A9F">
      <w:pPr>
        <w:pStyle w:val="Standard"/>
        <w:ind w:left="706"/>
      </w:pPr>
      <w:r>
        <w:t>-un plan d’actions pluriannuel afin de progresser en matière d’égalité entre les femmes et les hommes.</w:t>
      </w:r>
    </w:p>
    <w:p w14:paraId="08B2266E" w14:textId="77777777" w:rsidR="00987A9F" w:rsidRDefault="00987A9F" w:rsidP="00987A9F">
      <w:pPr>
        <w:pStyle w:val="Standard"/>
      </w:pPr>
    </w:p>
    <w:p w14:paraId="4650E476" w14:textId="19EB977A" w:rsidR="00987A9F" w:rsidRDefault="00987A9F" w:rsidP="00987A9F">
      <w:pPr>
        <w:pStyle w:val="Standard"/>
      </w:pPr>
      <w:r>
        <w:t>Le ministère s’engage ainsi à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64637EEE" w14:textId="42BFD1F9" w:rsidR="00987A9F" w:rsidRDefault="00987A9F" w:rsidP="00987A9F">
      <w:pPr>
        <w:pStyle w:val="Standard"/>
      </w:pPr>
      <w:r>
        <w:t>Dans le cadre de cette politique d'achats responsables et de lutte contre les discriminations, le ministère de la Culture souhaite mobiliser ses fournisseurs afin d’être informé de leurs propres actions en matière d’égalité femmes-hommes et de diversité professionnelle et/ou de les sensibiliser davantage à ces enjeux.</w:t>
      </w:r>
    </w:p>
    <w:p w14:paraId="2AA7460C" w14:textId="77777777" w:rsidR="00987A9F" w:rsidRDefault="00987A9F" w:rsidP="00987A9F">
      <w:pPr>
        <w:pStyle w:val="Standard"/>
      </w:pPr>
    </w:p>
    <w:p w14:paraId="1E8E3E2B" w14:textId="2979B9F6" w:rsidR="00987A9F" w:rsidRDefault="00987A9F" w:rsidP="00987A9F">
      <w:pPr>
        <w:pStyle w:val="Standard"/>
      </w:pPr>
      <w:r>
        <w:t>Compte tenu de cette ambition, il est demandé au Titulaire de remplir au moment de la signature du marché le questionnaire « Egalité professionnelle et diversité professionnelle » proposé par le ministère. Ce questionnaire n’est exigé que du seul Titulaire. Il prend la forme d’un formulaire informatique dont l’adresse lui sera communiquée au moment de l’attribution du marché.</w:t>
      </w:r>
    </w:p>
    <w:p w14:paraId="5467006C" w14:textId="4BC59A9E" w:rsidR="00987A9F" w:rsidRPr="00987A9F" w:rsidRDefault="00987A9F" w:rsidP="00987A9F">
      <w:pPr>
        <w:pStyle w:val="Standard"/>
      </w:pPr>
      <w:r>
        <w:lastRenderedPageBreak/>
        <w:t>Dans une démarche d’amélioration et de progrès, le Titulaire s’engage à renseigner à nouveau le questionnaire en cours d’exécution du marché si le pouvoir adjudicateur lui en fait la demande. Celle-ci peut intervenir par exemple un mois avant l’échéance du marché. Le représentant de l’Acheteur compare alors la situation décrite à celle présentée initialement.</w:t>
      </w:r>
    </w:p>
    <w:p w14:paraId="12E94A10" w14:textId="2F2CA1CC" w:rsidR="00813D3E" w:rsidRDefault="001C3459" w:rsidP="00B07DF1">
      <w:pPr>
        <w:pStyle w:val="Titre2"/>
        <w:ind w:left="1134"/>
      </w:pPr>
      <w:bookmarkStart w:id="12" w:name="_Toc200698779"/>
      <w:r>
        <w:t>Considérations sociales - Action de formation sous statut scolaire au bénéfice d’élèves à besoins spécifiques</w:t>
      </w:r>
      <w:bookmarkEnd w:id="12"/>
    </w:p>
    <w:p w14:paraId="1ACB085E" w14:textId="77777777" w:rsidR="00813D3E" w:rsidRDefault="00813D3E" w:rsidP="000F1D74">
      <w:pPr>
        <w:pStyle w:val="Standard"/>
      </w:pPr>
    </w:p>
    <w:p w14:paraId="7A0CB0FC" w14:textId="77777777" w:rsidR="00813D3E" w:rsidRDefault="001C3459" w:rsidP="000F1D74">
      <w:pPr>
        <w:pStyle w:val="Standard"/>
      </w:pPr>
      <w:r>
        <w:t xml:space="preserve">Afin de promouvoir la diversité et combattre l’exclusion, les Archives nationales souhaitent mobiliser les entreprises dans le cadre de sa politique d’achats responsables. </w:t>
      </w:r>
    </w:p>
    <w:p w14:paraId="53EEA9E5" w14:textId="77777777" w:rsidR="00813D3E" w:rsidRDefault="00813D3E" w:rsidP="000F1D74">
      <w:pPr>
        <w:pStyle w:val="Standard"/>
      </w:pPr>
    </w:p>
    <w:p w14:paraId="05F89F78" w14:textId="77777777" w:rsidR="00813D3E" w:rsidRDefault="001C3459" w:rsidP="000F1D74">
      <w:pPr>
        <w:pStyle w:val="Standard"/>
      </w:pPr>
      <w:r>
        <w:t xml:space="preserve">En application de l’article L.2112-2 du code de la commande publique, les candidats doivent obligatoirement proposer une action permettant la formation d’un ou plusieurs élèves à besoins spécifiques, de 16 à 25 ans, suivi par un référent du ministère de l’Education nationale (enseignant, CPE, référent décrochage scolaire, intervenant SRE, coordonnateur de dispositifs relais ou d’Unité Localisée pour l’Inclusion Scolaire). </w:t>
      </w:r>
    </w:p>
    <w:p w14:paraId="2E0A79F0" w14:textId="77777777" w:rsidR="00813D3E" w:rsidRDefault="00813D3E" w:rsidP="000F1D74">
      <w:pPr>
        <w:pStyle w:val="Standard"/>
      </w:pPr>
    </w:p>
    <w:p w14:paraId="62F4C0A1" w14:textId="77777777" w:rsidR="00813D3E" w:rsidRDefault="001C3459" w:rsidP="000F1D74">
      <w:pPr>
        <w:pStyle w:val="Standard"/>
      </w:pPr>
      <w:r>
        <w:t xml:space="preserve">Dans le cahier des charges, cette exigence se présente sous la forme d’un volume horaire minimum et constitue une condition d’exécution du présent marché. </w:t>
      </w:r>
    </w:p>
    <w:p w14:paraId="628ED586" w14:textId="77777777" w:rsidR="00813D3E" w:rsidRDefault="001C3459" w:rsidP="000F1D74">
      <w:pPr>
        <w:pStyle w:val="Standard"/>
      </w:pPr>
      <w:r>
        <w:t xml:space="preserve">Le volume horaire minimum est à réaliser pendant la période ferme du marché ou sur une période de reconduction. Néanmoins, les candidats peuvent dépasser ce volume horaire s’ils le souhaitent. </w:t>
      </w:r>
    </w:p>
    <w:p w14:paraId="1CA26B3F" w14:textId="77777777" w:rsidR="00813D3E" w:rsidRDefault="00813D3E" w:rsidP="000F1D74">
      <w:pPr>
        <w:pStyle w:val="Standard"/>
      </w:pPr>
    </w:p>
    <w:p w14:paraId="1DF90324" w14:textId="77777777" w:rsidR="00813D3E" w:rsidRDefault="001C3459" w:rsidP="000F1D74">
      <w:pPr>
        <w:pStyle w:val="Standard"/>
      </w:pPr>
      <w:r>
        <w:t>L’offre déposée par les candidats doit obligatoirement contenir la « Fiche entreprise » annexée au règlement de la consultation (</w:t>
      </w:r>
      <w:r>
        <w:rPr>
          <w:i/>
        </w:rPr>
        <w:t>Annexe RC n°1 - Clause sociale de formation (CSF) - Fiche entreprise</w:t>
      </w:r>
      <w:r>
        <w:t>), complétée précisément et de manière adaptée au public concerné.</w:t>
      </w:r>
    </w:p>
    <w:p w14:paraId="74FA38D8" w14:textId="77777777" w:rsidR="00813D3E" w:rsidRDefault="00813D3E" w:rsidP="000F1D74">
      <w:pPr>
        <w:pStyle w:val="Standard"/>
      </w:pPr>
    </w:p>
    <w:p w14:paraId="3E639C39" w14:textId="77777777" w:rsidR="00813D3E" w:rsidRDefault="001C3459" w:rsidP="000F1D74">
      <w:pPr>
        <w:pStyle w:val="Standard"/>
      </w:pPr>
      <w:r>
        <w:t xml:space="preserve">Une offre qui ne présente pas une action de formation sous statut scolaire, selon les formes requises (« Fiche entreprise » remplie), est irrégulière. </w:t>
      </w:r>
    </w:p>
    <w:p w14:paraId="0E6D03F6" w14:textId="77777777" w:rsidR="00813D3E" w:rsidRDefault="00813D3E" w:rsidP="000F1D74">
      <w:pPr>
        <w:pStyle w:val="Standard"/>
      </w:pPr>
    </w:p>
    <w:p w14:paraId="073DB243" w14:textId="77777777" w:rsidR="00813D3E" w:rsidRDefault="001C3459" w:rsidP="000F1D74">
      <w:pPr>
        <w:pStyle w:val="Standard"/>
      </w:pPr>
      <w:r>
        <w:t xml:space="preserve">Pour plus d’informations sur la clause sociale, il convient de se reporter à l’Annexe RC n°2 - Clause sociale de formation (CSF) - Présentation du dispositif ; du présent règlement de la consultation. </w:t>
      </w:r>
    </w:p>
    <w:p w14:paraId="64EC692A" w14:textId="77777777" w:rsidR="00813D3E" w:rsidRDefault="00813D3E" w:rsidP="000F1D74">
      <w:pPr>
        <w:pStyle w:val="Standard"/>
      </w:pPr>
    </w:p>
    <w:p w14:paraId="5C8B4C45" w14:textId="77777777" w:rsidR="00813D3E" w:rsidRDefault="001C3459" w:rsidP="000F1D74">
      <w:pPr>
        <w:pStyle w:val="Standard"/>
      </w:pPr>
      <w:r>
        <w:t xml:space="preserve">A titre supplémentaire, s’ils le souhaitent, les candidats peuvent proposer d’autres projets permettant d’enrichir leur offre sociale. </w:t>
      </w:r>
    </w:p>
    <w:p w14:paraId="66F9CF00" w14:textId="2F414B00" w:rsidR="00813D3E" w:rsidRDefault="001C3459" w:rsidP="00B07DF1">
      <w:pPr>
        <w:pStyle w:val="Titre2"/>
        <w:ind w:left="1134"/>
      </w:pPr>
      <w:bookmarkStart w:id="13" w:name="_Toc200698780"/>
      <w:r>
        <w:t>Considérations environnementales</w:t>
      </w:r>
      <w:bookmarkEnd w:id="13"/>
    </w:p>
    <w:p w14:paraId="18872E56" w14:textId="77777777" w:rsidR="00813D3E" w:rsidRDefault="00813D3E" w:rsidP="000F1D74">
      <w:pPr>
        <w:pStyle w:val="Standard"/>
      </w:pPr>
    </w:p>
    <w:p w14:paraId="15094BF9" w14:textId="77777777" w:rsidR="00813D3E" w:rsidRDefault="001C3459" w:rsidP="000F1D74">
      <w:pPr>
        <w:pStyle w:val="Titre3"/>
      </w:pPr>
      <w:r>
        <w:t>Considérations environnementales</w:t>
      </w:r>
    </w:p>
    <w:p w14:paraId="20B441D0" w14:textId="77777777" w:rsidR="00813D3E" w:rsidRDefault="00813D3E" w:rsidP="000F1D74">
      <w:pPr>
        <w:pStyle w:val="Standard"/>
      </w:pPr>
    </w:p>
    <w:p w14:paraId="3E4D7E70" w14:textId="77777777" w:rsidR="00813D3E" w:rsidRDefault="001C3459" w:rsidP="000F1D74">
      <w:pPr>
        <w:pStyle w:val="Standard"/>
      </w:pPr>
      <w:r>
        <w:t>Dans une volonté de protection de l’environnement, le présent marché public comprend un critère environnemental comme critère d’attribution.</w:t>
      </w:r>
    </w:p>
    <w:p w14:paraId="3DF8592B" w14:textId="77777777" w:rsidR="00813D3E" w:rsidRDefault="00813D3E" w:rsidP="000F1D74">
      <w:pPr>
        <w:pStyle w:val="Standard"/>
      </w:pPr>
    </w:p>
    <w:p w14:paraId="7B818F39" w14:textId="77777777" w:rsidR="00813D3E" w:rsidRDefault="001C3459" w:rsidP="000F1D74">
      <w:pPr>
        <w:pStyle w:val="Standard"/>
      </w:pPr>
      <w:r>
        <w:t>Par dérogation à l’article 36.2 du CCAG/Travaux, si le titulaire n’a pas procédé à l’évacuation des déchets provenant de l’opération commandée, il sera fait application des dispositions de l’article 37.2 du CCAG/Travaux et d’une pénalité de 50,00 € par jour calendaire de retard constaté à compter de la notification de la mise en demeure du titulaire jusqu’à l’évacuation effective des déchets et, à défaut, jusqu’à la prise en charge des déchets par un autre prestataire.</w:t>
      </w:r>
    </w:p>
    <w:p w14:paraId="34607E49" w14:textId="77777777" w:rsidR="00813D3E" w:rsidRDefault="00813D3E" w:rsidP="000F1D74">
      <w:pPr>
        <w:pStyle w:val="Standard"/>
      </w:pPr>
    </w:p>
    <w:p w14:paraId="74D984AB" w14:textId="77777777" w:rsidR="00813D3E" w:rsidRDefault="001C3459" w:rsidP="000F1D74">
      <w:pPr>
        <w:pStyle w:val="Titre3"/>
      </w:pPr>
      <w:r>
        <w:t xml:space="preserve">Clause impact carbone </w:t>
      </w:r>
    </w:p>
    <w:p w14:paraId="57C37F44" w14:textId="77777777" w:rsidR="00813D3E" w:rsidRDefault="00813D3E" w:rsidP="000F1D74">
      <w:pPr>
        <w:pStyle w:val="Standard"/>
      </w:pPr>
    </w:p>
    <w:p w14:paraId="01F64A52" w14:textId="77777777" w:rsidR="00813D3E" w:rsidRDefault="001C3459" w:rsidP="000F1D74">
      <w:pPr>
        <w:pStyle w:val="Standard"/>
      </w:pPr>
      <w:r>
        <w:lastRenderedPageBreak/>
        <w:t xml:space="preserve">En application de l’article L 229-25 du code de l’environnement, le titulaire s’engage à fournir aux Archives nationales le bilan carbone engendré par les prestations réalisées dans le cadre du marché objet de la consultation. </w:t>
      </w:r>
    </w:p>
    <w:p w14:paraId="608DCD81" w14:textId="77777777" w:rsidR="00813D3E" w:rsidRDefault="00813D3E" w:rsidP="000F1D74">
      <w:pPr>
        <w:pStyle w:val="Standard"/>
      </w:pPr>
    </w:p>
    <w:p w14:paraId="3B11C407" w14:textId="77777777" w:rsidR="00813D3E" w:rsidRDefault="001C3459" w:rsidP="000F1D74">
      <w:pPr>
        <w:pStyle w:val="Standard"/>
      </w:pPr>
      <w:r>
        <w:t xml:space="preserve">La réalisation d’un bilan d'émissions de gaz à effet de serre (BEGES) a pour but d’évaluer la quantité de gaz à effet de serre dans l’atmosphère issue des activités des entreprises et de les réduire. </w:t>
      </w:r>
    </w:p>
    <w:p w14:paraId="339A1C2E" w14:textId="77777777" w:rsidR="00813D3E" w:rsidRDefault="001C3459" w:rsidP="000F1D74">
      <w:pPr>
        <w:pStyle w:val="Standard"/>
      </w:pPr>
      <w:r>
        <w:t xml:space="preserve">Pour accompagner les entreprises dans cette démarche, plusieurs ressources sont mises à disposition. Le ministère de l’économie accompagne les personnes morales et recense des ressources sur les bilans de gaz à effet de serre, propose des ressources réglementaires et méthodologiques permettant aux entreprises d’évaluer </w:t>
      </w:r>
      <w:proofErr w:type="gramStart"/>
      <w:r>
        <w:t>leur empreinte carbones</w:t>
      </w:r>
      <w:proofErr w:type="gramEnd"/>
      <w:r>
        <w:t xml:space="preserve"> et le cas échéant des pistes pour la réduire :   </w:t>
      </w:r>
      <w:hyperlink r:id="rId9" w:history="1">
        <w:r>
          <w:rPr>
            <w:rStyle w:val="Lienhypertexte"/>
          </w:rPr>
          <w:t>https://www.economie.gouv.fr/cedef/bilan-carbone-entreprise</w:t>
        </w:r>
      </w:hyperlink>
    </w:p>
    <w:p w14:paraId="3A37F02C" w14:textId="77777777" w:rsidR="00813D3E" w:rsidRDefault="00813D3E" w:rsidP="000F1D74">
      <w:pPr>
        <w:pStyle w:val="Standard"/>
      </w:pPr>
    </w:p>
    <w:p w14:paraId="0F058B33" w14:textId="77777777" w:rsidR="00813D3E" w:rsidRDefault="001C3459" w:rsidP="000F1D74">
      <w:pPr>
        <w:pStyle w:val="Standard"/>
      </w:pPr>
      <w:r>
        <w:t xml:space="preserve">Les informations relatives aux procédures et en particulier les méthodes éditées par le ministère de la transition écologique et les guides sectoriels réalisés avec </w:t>
      </w:r>
      <w:proofErr w:type="spellStart"/>
      <w:r>
        <w:t>l'Ademe</w:t>
      </w:r>
      <w:proofErr w:type="spellEnd"/>
      <w:r>
        <w:t xml:space="preserve"> : </w:t>
      </w:r>
      <w:hyperlink r:id="rId10" w:history="1">
        <w:r>
          <w:rPr>
            <w:rStyle w:val="Lienhypertexte"/>
          </w:rPr>
          <w:t>https://bilans-ges.ademe.fr/ressources/etapes-dun-bilan-ges</w:t>
        </w:r>
      </w:hyperlink>
    </w:p>
    <w:p w14:paraId="62B9D461" w14:textId="77777777" w:rsidR="00813D3E" w:rsidRDefault="00813D3E" w:rsidP="000F1D74">
      <w:pPr>
        <w:pStyle w:val="Standard"/>
      </w:pPr>
    </w:p>
    <w:p w14:paraId="0E157791" w14:textId="5B0728CB" w:rsidR="00813D3E" w:rsidRDefault="001C3459" w:rsidP="00B07DF1">
      <w:pPr>
        <w:pStyle w:val="Titre2"/>
        <w:ind w:left="1134"/>
      </w:pPr>
      <w:bookmarkStart w:id="14" w:name="_Toc200698781"/>
      <w:r>
        <w:t>Traitement de données à caractère personnel</w:t>
      </w:r>
      <w:bookmarkEnd w:id="14"/>
    </w:p>
    <w:p w14:paraId="68989F7C" w14:textId="77777777" w:rsidR="00813D3E" w:rsidRDefault="00813D3E" w:rsidP="000F1D74">
      <w:pPr>
        <w:pStyle w:val="Standard"/>
      </w:pPr>
    </w:p>
    <w:p w14:paraId="4CA3FEC3" w14:textId="77777777" w:rsidR="007D3729" w:rsidRPr="00631E03" w:rsidRDefault="007D3729" w:rsidP="007D3729">
      <w:pPr>
        <w:pStyle w:val="Standard"/>
      </w:pPr>
      <w:r w:rsidRPr="00631E03">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w:t>
      </w:r>
    </w:p>
    <w:p w14:paraId="4A716557" w14:textId="77777777" w:rsidR="007D3729" w:rsidRPr="00631E03" w:rsidRDefault="007D3729" w:rsidP="007D3729">
      <w:pPr>
        <w:pStyle w:val="Standard"/>
      </w:pPr>
      <w:r w:rsidRPr="00631E03">
        <w:br/>
      </w:r>
      <w:r w:rsidRPr="00631E03">
        <w:rPr>
          <w:b/>
        </w:rPr>
        <w:t>Identité et coordonnées du responsable de traitement et de son représentant :</w:t>
      </w:r>
    </w:p>
    <w:p w14:paraId="7B49A706" w14:textId="77777777" w:rsidR="007D3729" w:rsidRPr="00631E03" w:rsidRDefault="007D3729" w:rsidP="007D3729">
      <w:pPr>
        <w:pStyle w:val="Standard"/>
      </w:pPr>
      <w:r w:rsidRPr="00631E03">
        <w:br/>
        <w:t>Ministère de la culture</w:t>
      </w:r>
    </w:p>
    <w:p w14:paraId="53998B03" w14:textId="77777777" w:rsidR="007D3729" w:rsidRPr="00631E03" w:rsidRDefault="007D3729" w:rsidP="007D3729">
      <w:pPr>
        <w:pStyle w:val="Standard"/>
      </w:pPr>
      <w:r w:rsidRPr="00631E03">
        <w:t>182, rue Saint Honoré</w:t>
      </w:r>
    </w:p>
    <w:p w14:paraId="4476D96A" w14:textId="77777777" w:rsidR="007D3729" w:rsidRPr="00631E03" w:rsidRDefault="007D3729" w:rsidP="007D3729">
      <w:pPr>
        <w:pStyle w:val="Standard"/>
      </w:pPr>
      <w:r w:rsidRPr="00631E03">
        <w:t>75033 Paris cedex 01</w:t>
      </w:r>
    </w:p>
    <w:p w14:paraId="1E7FA3DB" w14:textId="77777777" w:rsidR="007D3729" w:rsidRPr="00631E03" w:rsidRDefault="007D3729" w:rsidP="007D3729">
      <w:pPr>
        <w:pStyle w:val="Standard"/>
      </w:pPr>
      <w:r w:rsidRPr="00631E03">
        <w:t>Représenté par le secrétaire général</w:t>
      </w:r>
    </w:p>
    <w:p w14:paraId="21BDD510" w14:textId="77777777" w:rsidR="007D3729" w:rsidRPr="00631E03" w:rsidRDefault="007D3729" w:rsidP="007D3729">
      <w:pPr>
        <w:pStyle w:val="Standard"/>
      </w:pPr>
      <w:r w:rsidRPr="00631E03">
        <w:br/>
      </w:r>
      <w:r w:rsidRPr="00631E03">
        <w:rPr>
          <w:b/>
        </w:rPr>
        <w:t>Responsable de Traitement Opérationnel (RTO) :</w:t>
      </w:r>
    </w:p>
    <w:p w14:paraId="0AA38BC0" w14:textId="77777777" w:rsidR="007D3729" w:rsidRPr="00631E03" w:rsidRDefault="007D3729" w:rsidP="007D3729">
      <w:pPr>
        <w:pStyle w:val="Standard"/>
      </w:pPr>
      <w:r w:rsidRPr="00631E03">
        <w:t>Le service à compétence nationale Archives nationales</w:t>
      </w:r>
    </w:p>
    <w:p w14:paraId="3F34FC6C" w14:textId="77777777" w:rsidR="007D3729" w:rsidRPr="00631E03" w:rsidRDefault="007D3729" w:rsidP="007D3729">
      <w:pPr>
        <w:pStyle w:val="Standard"/>
      </w:pPr>
      <w:r w:rsidRPr="00631E03">
        <w:t>Représenté par son directeur</w:t>
      </w:r>
    </w:p>
    <w:p w14:paraId="6EC4937F" w14:textId="77777777" w:rsidR="007D3729" w:rsidRPr="00631E03" w:rsidRDefault="007D3729" w:rsidP="007D3729">
      <w:pPr>
        <w:pStyle w:val="Standard"/>
      </w:pPr>
    </w:p>
    <w:p w14:paraId="065B6E4B" w14:textId="77777777" w:rsidR="007D3729" w:rsidRPr="00631E03" w:rsidRDefault="007D3729" w:rsidP="007D3729">
      <w:pPr>
        <w:pStyle w:val="Standard"/>
      </w:pPr>
      <w:r w:rsidRPr="00631E03">
        <w:t>Coordonnées du délégué à la protection des données :</w:t>
      </w:r>
    </w:p>
    <w:p w14:paraId="7CA2F029" w14:textId="77777777" w:rsidR="007D3729" w:rsidRPr="00631E03" w:rsidRDefault="00807C07" w:rsidP="007D3729">
      <w:pPr>
        <w:pStyle w:val="Standard"/>
      </w:pPr>
      <w:hyperlink r:id="rId11" w:history="1">
        <w:r w:rsidR="007D3729" w:rsidRPr="00631E03">
          <w:rPr>
            <w:rStyle w:val="Lienhypertexte"/>
          </w:rPr>
          <w:t>delegue-protection-donnees@culture.gouv.fr</w:t>
        </w:r>
      </w:hyperlink>
      <w:r w:rsidR="007D3729" w:rsidRPr="00631E03">
        <w:br/>
      </w:r>
    </w:p>
    <w:p w14:paraId="11E44896" w14:textId="77777777" w:rsidR="007D3729" w:rsidRPr="00631E03" w:rsidRDefault="007D3729" w:rsidP="007D3729">
      <w:pPr>
        <w:pStyle w:val="Standard"/>
      </w:pPr>
      <w:r w:rsidRPr="00631E03">
        <w:br/>
      </w:r>
      <w:r w:rsidRPr="00631E03">
        <w:rPr>
          <w:b/>
        </w:rPr>
        <w:t>Base juridique des traitements </w:t>
      </w:r>
      <w:r w:rsidRPr="00631E03">
        <w:t>: b) et c) de l'article 6.1 du RGPD</w:t>
      </w:r>
    </w:p>
    <w:p w14:paraId="7DC16759" w14:textId="77777777" w:rsidR="007D3729" w:rsidRPr="00631E03" w:rsidRDefault="007D3729" w:rsidP="007D3729">
      <w:pPr>
        <w:pStyle w:val="Standard"/>
      </w:pPr>
      <w:r w:rsidRPr="00631E03">
        <w:br/>
      </w:r>
      <w:r w:rsidRPr="00631E03">
        <w:rPr>
          <w:b/>
        </w:rPr>
        <w:t>Finalités des traitements</w:t>
      </w:r>
      <w:r w:rsidRPr="00631E03">
        <w:t xml:space="preserve"> : suivi de la présente procédure de passation, attribution du marché public </w:t>
      </w:r>
      <w:proofErr w:type="gramStart"/>
      <w:r w:rsidRPr="00631E03">
        <w:t>et  obligations</w:t>
      </w:r>
      <w:proofErr w:type="gramEnd"/>
      <w:r w:rsidRPr="00631E03">
        <w:t xml:space="preserve"> légales en matière de durée d'utilité administrative (DUA) applicable aux marchés publics.</w:t>
      </w:r>
    </w:p>
    <w:p w14:paraId="7FA6BEC2" w14:textId="77777777" w:rsidR="007D3729" w:rsidRPr="00631E03" w:rsidRDefault="007D3729" w:rsidP="007D3729">
      <w:pPr>
        <w:pStyle w:val="Standard"/>
      </w:pPr>
      <w:r w:rsidRPr="00631E03">
        <w:br/>
      </w:r>
      <w:r w:rsidRPr="00631E03">
        <w:rPr>
          <w:b/>
        </w:rPr>
        <w:t>Destinataires ou catégorie de destinataires </w:t>
      </w:r>
      <w:r w:rsidRPr="00631E03">
        <w:t>: les données à caractère personnel concernées sont destinées exclusivement aux agents de l'Acheteur en charge de la passation de la procédure de marché puis de l'exécution du présent contrat.</w:t>
      </w:r>
    </w:p>
    <w:p w14:paraId="3AF11B60" w14:textId="77777777" w:rsidR="007D3729" w:rsidRPr="00631E03" w:rsidRDefault="007D3729" w:rsidP="007D3729">
      <w:pPr>
        <w:pStyle w:val="Standard"/>
      </w:pPr>
      <w:r w:rsidRPr="00631E03">
        <w:br/>
      </w:r>
      <w:r w:rsidRPr="00631E03">
        <w:rPr>
          <w:b/>
        </w:rPr>
        <w:t>Durée de conservation </w:t>
      </w:r>
      <w:r w:rsidRPr="00631E03">
        <w:t>: ces données sont conservées pendant toute la durée de la procédure de passation et d'exécution du contrat ainsi que durant la DUA applicable au contrat.</w:t>
      </w:r>
    </w:p>
    <w:p w14:paraId="4EB4184D" w14:textId="77777777" w:rsidR="007D3729" w:rsidRPr="00631E03" w:rsidRDefault="007D3729" w:rsidP="007D3729">
      <w:pPr>
        <w:pStyle w:val="Standard"/>
      </w:pPr>
      <w:r w:rsidRPr="00631E03">
        <w:lastRenderedPageBreak/>
        <w:br/>
        <w:t>Conformément aux dispositions des articles 15 à 21 du RGPD, les personnes dont les données à caractère personnel sont collectées disposent notamment d'un droit d'accès, de transparence et information, de rectification et de limitation des informations qui les concernent. L'exercice des droits d'information et d'accès aux données à caractère personnel peut être effectué auprès du délégué à la protection des données.</w:t>
      </w:r>
    </w:p>
    <w:p w14:paraId="6E15276C" w14:textId="77777777" w:rsidR="007D3729" w:rsidRPr="00631E03" w:rsidRDefault="007D3729" w:rsidP="007D3729">
      <w:pPr>
        <w:pStyle w:val="Standard"/>
      </w:pPr>
      <w:r w:rsidRPr="00631E03">
        <w:rPr>
          <w:u w:val="single"/>
        </w:rPr>
        <w:br/>
        <w:t>Pour exercer vos droits :</w:t>
      </w:r>
    </w:p>
    <w:p w14:paraId="3C965830" w14:textId="5F151D40" w:rsidR="007D3729" w:rsidRPr="00631E03" w:rsidRDefault="007D3729" w:rsidP="007D3729">
      <w:pPr>
        <w:pStyle w:val="Standard"/>
      </w:pPr>
      <w:r w:rsidRPr="00631E03">
        <w:t xml:space="preserve">- par courrier électronique à l’adresse suivante : </w:t>
      </w:r>
      <w:hyperlink r:id="rId12" w:history="1">
        <w:r w:rsidRPr="00631E03">
          <w:rPr>
            <w:rStyle w:val="Lienhypertexte"/>
          </w:rPr>
          <w:t>marches.archives-nationales@culture.gouv.fr</w:t>
        </w:r>
      </w:hyperlink>
      <w:r w:rsidRPr="00631E03">
        <w:rPr>
          <w:u w:val="single"/>
        </w:rPr>
        <w:t xml:space="preserve"> </w:t>
      </w:r>
      <w:r w:rsidRPr="00631E03">
        <w:t xml:space="preserve">ou par courrier postal à l’adresse suivante : Direction administrative et financière / service juridique – 59 rue Guynemer – 90001 Pierrefitte sur Seine </w:t>
      </w:r>
      <w:proofErr w:type="gramStart"/>
      <w:r w:rsidRPr="00631E03">
        <w:t>–  93</w:t>
      </w:r>
      <w:proofErr w:type="gramEnd"/>
      <w:r w:rsidRPr="00631E03">
        <w:t> 383</w:t>
      </w:r>
      <w:r>
        <w:t xml:space="preserve">– Saint-Denis </w:t>
      </w:r>
      <w:r w:rsidRPr="00631E03">
        <w:t>ou auprès du Délégué à la protection des données</w:t>
      </w:r>
    </w:p>
    <w:p w14:paraId="6EC21050" w14:textId="77777777" w:rsidR="007D3729" w:rsidRPr="00631E03" w:rsidRDefault="007D3729" w:rsidP="007D3729">
      <w:pPr>
        <w:pStyle w:val="Standard"/>
      </w:pPr>
      <w:r w:rsidRPr="00631E03">
        <w:t xml:space="preserve">- par courrier électronique à l’adresse suivante : </w:t>
      </w:r>
      <w:r w:rsidRPr="00631E03">
        <w:rPr>
          <w:u w:val="single"/>
        </w:rPr>
        <w:t>delegue-protection-donnees@culture.gouv.fr</w:t>
      </w:r>
      <w:r w:rsidRPr="00631E03">
        <w:t xml:space="preserve"> ou par courrier postal à l’adresse suivante : Monsieur le Délégué à la protection des données </w:t>
      </w:r>
      <w:proofErr w:type="gramStart"/>
      <w:r w:rsidRPr="00631E03">
        <w:t>–  182</w:t>
      </w:r>
      <w:proofErr w:type="gramEnd"/>
      <w:r w:rsidRPr="00631E03">
        <w:t>, rue Saint-Honoré – 75033 Paris cedex 01, en justifiant de votre identité par tout moyen.</w:t>
      </w:r>
    </w:p>
    <w:p w14:paraId="25F8B5F7" w14:textId="77777777" w:rsidR="007D3729" w:rsidRPr="00631E03" w:rsidRDefault="007D3729" w:rsidP="007D3729">
      <w:pPr>
        <w:pStyle w:val="Standard"/>
      </w:pPr>
    </w:p>
    <w:p w14:paraId="51698398" w14:textId="77777777" w:rsidR="007D3729" w:rsidRPr="00631E03" w:rsidRDefault="007D3729" w:rsidP="007D3729">
      <w:pPr>
        <w:pStyle w:val="Standard"/>
      </w:pPr>
      <w:r w:rsidRPr="00631E03">
        <w:t>Si vous estimez, après nous avoir contactés, que vos droits relatifs à la réglementation sur la protection des données ne sont pas respectés, vous avez le droit d’introduire une réclamation auprès de la Commission Nationale de l’Informatique et des Libertés (CNIL), autorité de contrôle en charge du respect des obligations en matière de données à caractère personnel.</w:t>
      </w:r>
    </w:p>
    <w:p w14:paraId="6F0EED8A" w14:textId="77777777" w:rsidR="007D3729" w:rsidRDefault="007D3729" w:rsidP="000F1D74">
      <w:pPr>
        <w:pStyle w:val="Standard"/>
      </w:pPr>
    </w:p>
    <w:p w14:paraId="33CBABEC" w14:textId="3E7278C8" w:rsidR="00813D3E" w:rsidRDefault="001C3459" w:rsidP="00B07DF1">
      <w:pPr>
        <w:pStyle w:val="Titre2"/>
        <w:ind w:left="1134"/>
      </w:pPr>
      <w:bookmarkStart w:id="15" w:name="_Toc200698782"/>
      <w:r>
        <w:t>Protection du secret des affaires</w:t>
      </w:r>
      <w:bookmarkEnd w:id="15"/>
    </w:p>
    <w:p w14:paraId="278F5B98" w14:textId="77777777" w:rsidR="00813D3E" w:rsidRDefault="00813D3E" w:rsidP="000F1D74">
      <w:pPr>
        <w:pStyle w:val="Standard"/>
      </w:pPr>
    </w:p>
    <w:p w14:paraId="41B9AE69" w14:textId="77777777" w:rsidR="00813D3E" w:rsidRDefault="001C3459" w:rsidP="000F1D74">
      <w:pPr>
        <w:pStyle w:val="Standard"/>
      </w:pPr>
      <w:r>
        <w:t>Le titulaire met en œuvre les moyens appropriés afin de garder confidentiels les informations, les documents et les objets auxquels il a accès lors de l'exécution du marché, sans qu’il soit besoin d’en expliciter systématiquement le caractère confidentiel.</w:t>
      </w:r>
    </w:p>
    <w:p w14:paraId="0B64C3F8" w14:textId="77777777" w:rsidR="00813D3E" w:rsidRDefault="001C3459" w:rsidP="000F1D74">
      <w:pPr>
        <w:pStyle w:val="Standard"/>
      </w:pPr>
      <w:r>
        <w:t>Ces informations, documents ou objets ne peuvent être, sans autorisation expresse de l’acheteur, divulgués, publiés, communiqués à des tiers ou être utilisés directement par le titulaire, hors du marché ou à l'issue de son exécution.</w:t>
      </w:r>
    </w:p>
    <w:p w14:paraId="33BEC20F" w14:textId="77777777" w:rsidR="00813D3E" w:rsidRDefault="001C3459" w:rsidP="000F1D74">
      <w:pPr>
        <w:pStyle w:val="Standard"/>
      </w:pPr>
      <w:r>
        <w:t>Le titulaire s’engage à faire respecter ces obligations à l’ensemble de son personnel, le cas échéant à ses sous-traitants et fournisseurs.</w:t>
      </w:r>
    </w:p>
    <w:p w14:paraId="38277F6F" w14:textId="77777777" w:rsidR="00813D3E" w:rsidRDefault="001C3459" w:rsidP="000F1D74">
      <w:pPr>
        <w:pStyle w:val="Standard"/>
      </w:pPr>
      <w:r>
        <w:t>L’acheteur peut demander, à tout moment, au titulaire, de lui retourner les éléments ou supports d’informations confidentielles qui lui auraient été fournis, sans en conserver aucune copie ou trace.</w:t>
      </w:r>
    </w:p>
    <w:p w14:paraId="5E5091D3" w14:textId="77777777" w:rsidR="00813D3E" w:rsidRDefault="001C3459" w:rsidP="000F1D74">
      <w:pPr>
        <w:pStyle w:val="Standard"/>
      </w:pPr>
      <w:r>
        <w:t>La violation de l’obligation de confidentialité par le titulaire peut entraîner la résiliation du marché aux torts du titulaire.</w:t>
      </w:r>
    </w:p>
    <w:p w14:paraId="53F736F3" w14:textId="77777777" w:rsidR="00813D3E" w:rsidRDefault="00813D3E" w:rsidP="000F1D74">
      <w:pPr>
        <w:pStyle w:val="Standard"/>
      </w:pPr>
    </w:p>
    <w:p w14:paraId="4E03E650" w14:textId="77777777" w:rsidR="00813D3E" w:rsidRDefault="001C3459" w:rsidP="000F1D74">
      <w:pPr>
        <w:pStyle w:val="Standard"/>
      </w:pPr>
      <w:r>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14:paraId="06A76355" w14:textId="77777777" w:rsidR="00813D3E" w:rsidRDefault="00813D3E" w:rsidP="000F1D74">
      <w:pPr>
        <w:pStyle w:val="Standard"/>
      </w:pPr>
    </w:p>
    <w:p w14:paraId="5E9A664E" w14:textId="77777777" w:rsidR="00813D3E" w:rsidRDefault="001C3459" w:rsidP="000F1D74">
      <w:pPr>
        <w:pStyle w:val="Standard"/>
      </w:pPr>
      <w:r>
        <w:t>L'acheteur s'engage, le cas échéant, à obtenir de ce tiers toutes les assurances nécessaires quant à la mise en œuvre par ce dernier et ses éventuels sous-traitants de mesures effectives de protection des informations couvertes par le secret des affaires.</w:t>
      </w:r>
    </w:p>
    <w:p w14:paraId="6453A18A" w14:textId="77777777" w:rsidR="00813D3E" w:rsidRDefault="001C3459" w:rsidP="000F1D74">
      <w:pPr>
        <w:pStyle w:val="Standard"/>
      </w:pPr>
      <w:r>
        <w:t>L'acheteur informe le titulaire par écrit 15 jours avant de divulguer de telles informations, en précisant le motif, la durée ainsi que les informations et documents concernés.</w:t>
      </w:r>
    </w:p>
    <w:p w14:paraId="776917DA" w14:textId="77777777" w:rsidR="00813D3E" w:rsidRDefault="00813D3E" w:rsidP="000F1D74">
      <w:pPr>
        <w:pStyle w:val="Standard"/>
      </w:pPr>
    </w:p>
    <w:p w14:paraId="15C4F58B" w14:textId="77777777" w:rsidR="00813D3E" w:rsidRDefault="00813D3E" w:rsidP="000F1D74">
      <w:pPr>
        <w:pStyle w:val="Standard"/>
      </w:pPr>
    </w:p>
    <w:p w14:paraId="400C85FA" w14:textId="4375C98D" w:rsidR="00813D3E" w:rsidRDefault="001C3459" w:rsidP="000F1D74">
      <w:pPr>
        <w:pStyle w:val="Titre1"/>
      </w:pPr>
      <w:bookmarkStart w:id="16" w:name="_Toc200698783"/>
      <w:r>
        <w:t>INFORMATION DES CANDIDATS</w:t>
      </w:r>
      <w:bookmarkEnd w:id="16"/>
    </w:p>
    <w:p w14:paraId="3B7C8F4D" w14:textId="2C60C764" w:rsidR="00813D3E" w:rsidRDefault="001C3459" w:rsidP="00B07DF1">
      <w:pPr>
        <w:pStyle w:val="Titre2"/>
        <w:ind w:left="1134"/>
      </w:pPr>
      <w:bookmarkStart w:id="17" w:name="_Toc200698784"/>
      <w:r>
        <w:t>Contenu des documents de la consultation</w:t>
      </w:r>
      <w:bookmarkEnd w:id="17"/>
    </w:p>
    <w:p w14:paraId="349261C1" w14:textId="77777777" w:rsidR="00813D3E" w:rsidRDefault="00813D3E" w:rsidP="000F1D74">
      <w:pPr>
        <w:pStyle w:val="Standard"/>
      </w:pPr>
    </w:p>
    <w:p w14:paraId="6EBCE85A" w14:textId="77777777" w:rsidR="00813D3E" w:rsidRDefault="001C3459" w:rsidP="000F1D74">
      <w:pPr>
        <w:pStyle w:val="Standard"/>
      </w:pPr>
      <w:r>
        <w:lastRenderedPageBreak/>
        <w:t>Les documents de la consultation mis à disposition sont les suivants :</w:t>
      </w:r>
    </w:p>
    <w:p w14:paraId="352DE955" w14:textId="77777777" w:rsidR="00B07DF1" w:rsidRDefault="00B07DF1" w:rsidP="000F1D74">
      <w:pPr>
        <w:pStyle w:val="Standard"/>
      </w:pPr>
    </w:p>
    <w:p w14:paraId="602AAA39" w14:textId="3D5D204B" w:rsidR="00813D3E" w:rsidRDefault="001C3459" w:rsidP="00B07DF1">
      <w:pPr>
        <w:pStyle w:val="Standard"/>
        <w:spacing w:before="0"/>
        <w:ind w:left="706"/>
      </w:pPr>
      <w:r>
        <w:t>•l’acte d’engagement pour un candidat unique ou en groupement (AE)</w:t>
      </w:r>
    </w:p>
    <w:p w14:paraId="5FD12B57" w14:textId="38ACC2DA" w:rsidR="00813D3E" w:rsidRDefault="001C3459" w:rsidP="00B07DF1">
      <w:pPr>
        <w:pStyle w:val="Standard"/>
        <w:spacing w:before="0"/>
        <w:ind w:left="706"/>
      </w:pPr>
      <w:r>
        <w:t>•le bordereau de prix unitaires (BPU)</w:t>
      </w:r>
    </w:p>
    <w:p w14:paraId="76789240" w14:textId="56BBE45C" w:rsidR="00813D3E" w:rsidRDefault="001C3459" w:rsidP="00B07DF1">
      <w:pPr>
        <w:pStyle w:val="Standard"/>
        <w:spacing w:before="0"/>
        <w:ind w:left="706"/>
      </w:pPr>
      <w:r>
        <w:t>•le détail quantitatif et estimatif (DQE)</w:t>
      </w:r>
    </w:p>
    <w:p w14:paraId="0A8FA5CD" w14:textId="50AA8113" w:rsidR="00813D3E" w:rsidRDefault="001C3459" w:rsidP="00B07DF1">
      <w:pPr>
        <w:pStyle w:val="Standard"/>
        <w:spacing w:before="0"/>
        <w:ind w:left="706"/>
      </w:pPr>
      <w:r>
        <w:t xml:space="preserve">•le cahier des clauses administratives particulières (CCAP) dont seul l’exemplaire conservé par le pouvoir adjudicateur fait foi ; et son annexe consignes de sécurité du site de </w:t>
      </w:r>
      <w:r w:rsidR="0010552B">
        <w:t>Paris</w:t>
      </w:r>
    </w:p>
    <w:p w14:paraId="604FD27B" w14:textId="35F7E6E9" w:rsidR="00813D3E" w:rsidRDefault="001C3459" w:rsidP="0010552B">
      <w:pPr>
        <w:pStyle w:val="Standard"/>
        <w:spacing w:before="0"/>
        <w:ind w:left="706"/>
      </w:pPr>
      <w:r>
        <w:t>•le cahier des clauses techniques particulières (CCTP) dont seul l’exemplaire conservé par le pouvoir adjudicateur fait foi ;</w:t>
      </w:r>
    </w:p>
    <w:p w14:paraId="714A9884" w14:textId="1960B026" w:rsidR="00813D3E" w:rsidRDefault="001C3459" w:rsidP="00B07DF1">
      <w:pPr>
        <w:pStyle w:val="Standard"/>
        <w:spacing w:before="0"/>
        <w:ind w:left="706"/>
      </w:pPr>
      <w:r>
        <w:t>•le présent règlement de consultation (RC)</w:t>
      </w:r>
    </w:p>
    <w:p w14:paraId="55C9E601" w14:textId="755E819F" w:rsidR="00813D3E" w:rsidRDefault="001C3459" w:rsidP="00B07DF1">
      <w:pPr>
        <w:pStyle w:val="Standard"/>
        <w:spacing w:before="0"/>
        <w:ind w:left="706"/>
      </w:pPr>
      <w:r>
        <w:t xml:space="preserve">•le cadre de réponse (annexe </w:t>
      </w:r>
      <w:r w:rsidR="00A31EAA">
        <w:t>3</w:t>
      </w:r>
      <w:r>
        <w:t xml:space="preserve"> au RC)</w:t>
      </w:r>
    </w:p>
    <w:p w14:paraId="636B982E" w14:textId="075F568C" w:rsidR="00813D3E" w:rsidRDefault="001C3459" w:rsidP="00B07DF1">
      <w:pPr>
        <w:pStyle w:val="Standard"/>
        <w:spacing w:before="0"/>
        <w:ind w:left="706"/>
      </w:pPr>
      <w:r>
        <w:t>•clause sociale de formation (annexes 1 et 2 au RC)</w:t>
      </w:r>
    </w:p>
    <w:p w14:paraId="31B9F966" w14:textId="77777777" w:rsidR="00813D3E" w:rsidRDefault="00813D3E" w:rsidP="000F1D74">
      <w:pPr>
        <w:pStyle w:val="Standard"/>
      </w:pPr>
    </w:p>
    <w:p w14:paraId="46A18BFB" w14:textId="77777777" w:rsidR="00813D3E" w:rsidRDefault="001C3459" w:rsidP="000F1D74">
      <w:pPr>
        <w:pStyle w:val="Standard"/>
      </w:pPr>
      <w:r>
        <w:t>De plus, sont joints les documents administratifs suivants :</w:t>
      </w:r>
    </w:p>
    <w:p w14:paraId="3E83F26D" w14:textId="3DF7AF90" w:rsidR="00813D3E" w:rsidRDefault="001C3459" w:rsidP="000F1D74">
      <w:pPr>
        <w:pStyle w:val="Standard"/>
        <w:numPr>
          <w:ilvl w:val="0"/>
          <w:numId w:val="33"/>
        </w:numPr>
      </w:pPr>
      <w:r>
        <w:t>DC1 lettre de candidature, DC2 déclaration du candidat, DC4 déclaration de sous-traitance et leurs notices explicatives ;</w:t>
      </w:r>
    </w:p>
    <w:p w14:paraId="66F81C0F" w14:textId="7C91684E" w:rsidR="00813D3E" w:rsidRDefault="001C3459" w:rsidP="000F1D74">
      <w:pPr>
        <w:pStyle w:val="Standard"/>
        <w:numPr>
          <w:ilvl w:val="0"/>
          <w:numId w:val="33"/>
        </w:numPr>
      </w:pPr>
      <w:r>
        <w:t>Modèle d’attestation sur l’honneur.</w:t>
      </w:r>
    </w:p>
    <w:p w14:paraId="57594AD5" w14:textId="62FC3D64" w:rsidR="00813D3E" w:rsidRDefault="001C3459" w:rsidP="00B07DF1">
      <w:pPr>
        <w:pStyle w:val="Titre2"/>
        <w:ind w:left="1134"/>
      </w:pPr>
      <w:bookmarkStart w:id="18" w:name="_Toc200698785"/>
      <w:r>
        <w:t>Principes généraux sur les échanges électroniques</w:t>
      </w:r>
      <w:bookmarkEnd w:id="18"/>
    </w:p>
    <w:p w14:paraId="1798AFFD" w14:textId="77777777" w:rsidR="00813D3E" w:rsidRDefault="00813D3E" w:rsidP="000F1D74">
      <w:pPr>
        <w:pStyle w:val="Standard"/>
      </w:pPr>
    </w:p>
    <w:p w14:paraId="57A431E2" w14:textId="77777777" w:rsidR="00813D3E" w:rsidRDefault="001C3459" w:rsidP="000F1D74">
      <w:pPr>
        <w:pStyle w:val="Standard"/>
      </w:pPr>
      <w:r>
        <w:t xml:space="preserve">Les documents de la consultation sont accessibles uniquement par voie électronique, sur la plate-forme des achats de l’État (PLACE) </w:t>
      </w:r>
      <w:hyperlink r:id="rId13" w:history="1">
        <w:r>
          <w:rPr>
            <w:rStyle w:val="Lienhypertexte"/>
          </w:rPr>
          <w:t>www.marches-publics.gouv.fr</w:t>
        </w:r>
      </w:hyperlink>
      <w:r>
        <w:t xml:space="preserve"> </w:t>
      </w:r>
    </w:p>
    <w:p w14:paraId="511A950D" w14:textId="77777777" w:rsidR="00813D3E" w:rsidRDefault="00813D3E" w:rsidP="000F1D74">
      <w:pPr>
        <w:pStyle w:val="Standard"/>
      </w:pPr>
    </w:p>
    <w:p w14:paraId="03D4E76C" w14:textId="77777777" w:rsidR="00813D3E" w:rsidRDefault="001C3459" w:rsidP="000F1D74">
      <w:pPr>
        <w:pStyle w:val="Standard"/>
      </w:pPr>
      <w:r>
        <w:t xml:space="preserve">Pour cette consultation, seuls sont autorisés les dépôts électroniques à l'adresse suivante : </w:t>
      </w:r>
      <w:hyperlink r:id="rId14" w:history="1">
        <w:r>
          <w:rPr>
            <w:rStyle w:val="Lienhypertexte"/>
          </w:rPr>
          <w:t>https://www.marches-publics.gouv.fr</w:t>
        </w:r>
      </w:hyperlink>
      <w:r>
        <w:t xml:space="preserve"> </w:t>
      </w:r>
    </w:p>
    <w:p w14:paraId="19BEC997" w14:textId="77777777" w:rsidR="00813D3E" w:rsidRDefault="00813D3E" w:rsidP="000F1D74">
      <w:pPr>
        <w:pStyle w:val="Standard"/>
      </w:pPr>
    </w:p>
    <w:p w14:paraId="474877E7" w14:textId="77777777" w:rsidR="00813D3E" w:rsidRDefault="001C3459" w:rsidP="000F1D74">
      <w:pPr>
        <w:pStyle w:val="Standard"/>
      </w:pPr>
      <w:r>
        <w:t>En cas d'envois de plis successifs et conformément à l’arrêt "Société TDS" du Conseil d’Etat du 20 décembre 2021, l’acheteur considèrera le dernier pli réceptionné avant la date limite de remise des plis comme pli à prendre en compte au titre de l’offre et la candidature du soumissionnaire. Néanmoins, l’acheteur accepte d’ouvrir les plis précédents transmis par le même soumissionnaire s’ils s’avèrent complémentaires du dernier pli envoyé. Chaque pli sera donc ouvert si les circonstances l’exigent, tout en respectant le principe d’égalité de traitement des candidats.</w:t>
      </w:r>
    </w:p>
    <w:p w14:paraId="422CAEC9" w14:textId="77777777" w:rsidR="00813D3E" w:rsidRDefault="00813D3E" w:rsidP="000F1D74">
      <w:pPr>
        <w:pStyle w:val="Standard"/>
      </w:pPr>
    </w:p>
    <w:p w14:paraId="473A3501" w14:textId="77777777" w:rsidR="00813D3E" w:rsidRDefault="001C3459" w:rsidP="000F1D74">
      <w:pPr>
        <w:pStyle w:val="Standard"/>
      </w:pPr>
      <w:r>
        <w:t>Aucun envoi papier, par télécopie ou courriel ne sera accepté.</w:t>
      </w:r>
    </w:p>
    <w:p w14:paraId="1F1034FE" w14:textId="77777777" w:rsidR="00813D3E" w:rsidRDefault="00813D3E" w:rsidP="000F1D74">
      <w:pPr>
        <w:pStyle w:val="Standard"/>
      </w:pPr>
    </w:p>
    <w:p w14:paraId="4BCDAEA4" w14:textId="1C5044B9" w:rsidR="00813D3E" w:rsidRDefault="001C3459" w:rsidP="000F1D74">
      <w:pPr>
        <w:pStyle w:val="Standard"/>
      </w:pPr>
      <w:r>
        <w:t xml:space="preserve">Les candidats ou les soumissionnaires trouveront sur le site www.marches-publics.gouv.fr un </w:t>
      </w:r>
      <w:r>
        <w:rPr>
          <w:rFonts w:ascii="Cambria Math" w:hAnsi="Cambria Math" w:cs="Cambria Math"/>
        </w:rPr>
        <w:t>≪</w:t>
      </w:r>
      <w:r>
        <w:t>guide utilisateur</w:t>
      </w:r>
      <w:r>
        <w:rPr>
          <w:rFonts w:ascii="Cambria Math" w:hAnsi="Cambria Math" w:cs="Cambria Math"/>
        </w:rPr>
        <w:t>≫</w:t>
      </w:r>
      <w:r>
        <w:t xml:space="preserve"> t</w:t>
      </w:r>
      <w:r>
        <w:rPr>
          <w:rFonts w:cs="Arial"/>
        </w:rPr>
        <w:t>é</w:t>
      </w:r>
      <w:r>
        <w:t>l</w:t>
      </w:r>
      <w:r>
        <w:rPr>
          <w:rFonts w:cs="Arial"/>
        </w:rPr>
        <w:t>é</w:t>
      </w:r>
      <w:r>
        <w:t>chargeable qui pr</w:t>
      </w:r>
      <w:r>
        <w:rPr>
          <w:rFonts w:cs="Arial"/>
        </w:rPr>
        <w:t>é</w:t>
      </w:r>
      <w:r>
        <w:t>cise les conditions d</w:t>
      </w:r>
      <w:r>
        <w:rPr>
          <w:rFonts w:cs="Arial"/>
        </w:rPr>
        <w:t>’</w:t>
      </w:r>
      <w:r>
        <w:t>utilisations de la plate-forme des achats de l’État, notamment les prérequis techniques et certificats électroniques.</w:t>
      </w:r>
    </w:p>
    <w:p w14:paraId="2CB1B686" w14:textId="77777777" w:rsidR="00813D3E" w:rsidRDefault="001C3459" w:rsidP="000F1D74">
      <w:pPr>
        <w:pStyle w:val="Standard"/>
      </w:pPr>
      <w:r>
        <w:t>Les frais d’accès au réseau et de recours à la signature électronique sont à la charge de chaque candidat/soumissionnaire.</w:t>
      </w:r>
    </w:p>
    <w:p w14:paraId="38B41091" w14:textId="77777777" w:rsidR="00813D3E" w:rsidRDefault="00813D3E" w:rsidP="000F1D74">
      <w:pPr>
        <w:pStyle w:val="Standard"/>
      </w:pPr>
    </w:p>
    <w:p w14:paraId="6EEC5501" w14:textId="77777777" w:rsidR="00813D3E" w:rsidRDefault="001C3459" w:rsidP="000F1D74">
      <w:pPr>
        <w:pStyle w:val="Standard"/>
      </w:pPr>
      <w:r>
        <w:t xml:space="preserve">Les candidats sont invités à tester la configuration de leur poste de travail et répondre </w:t>
      </w:r>
      <w:proofErr w:type="spellStart"/>
      <w:proofErr w:type="gramStart"/>
      <w:r>
        <w:t>a</w:t>
      </w:r>
      <w:proofErr w:type="spellEnd"/>
      <w:proofErr w:type="gramEnd"/>
      <w:r>
        <w:t xml:space="preserve"> une consultation test, afin de s’assurer du bon fonctionnement de l’environnement informatique.</w:t>
      </w:r>
    </w:p>
    <w:p w14:paraId="7B85E864" w14:textId="77777777" w:rsidR="00813D3E" w:rsidRDefault="001C3459" w:rsidP="000F1D74">
      <w:pPr>
        <w:pStyle w:val="Standard"/>
      </w:pPr>
      <w:r>
        <w:t>Ils disposent sur le site d’une aide qui expose le mode opératoire relatif au dépôt des plis électroniques.</w:t>
      </w:r>
    </w:p>
    <w:p w14:paraId="5B314D39" w14:textId="77777777" w:rsidR="00813D3E" w:rsidRDefault="001C3459" w:rsidP="000F1D74">
      <w:pPr>
        <w:pStyle w:val="Standard"/>
      </w:pPr>
      <w:r>
        <w:t xml:space="preserve">Plusieurs documents et informations sont disponibles </w:t>
      </w:r>
      <w:proofErr w:type="spellStart"/>
      <w:proofErr w:type="gramStart"/>
      <w:r>
        <w:t>a</w:t>
      </w:r>
      <w:proofErr w:type="spellEnd"/>
      <w:proofErr w:type="gramEnd"/>
      <w:r>
        <w:t xml:space="preserve"> la rubrique </w:t>
      </w:r>
      <w:r>
        <w:rPr>
          <w:rFonts w:ascii="Cambria Math" w:hAnsi="Cambria Math" w:cs="Cambria Math"/>
        </w:rPr>
        <w:t>≪</w:t>
      </w:r>
      <w:r>
        <w:t xml:space="preserve"> aide </w:t>
      </w:r>
      <w:r>
        <w:rPr>
          <w:rFonts w:ascii="Cambria Math" w:hAnsi="Cambria Math" w:cs="Cambria Math"/>
        </w:rPr>
        <w:t>≫</w:t>
      </w:r>
      <w:r>
        <w:t xml:space="preserve"> de PLACE :</w:t>
      </w:r>
    </w:p>
    <w:p w14:paraId="0D6C5828" w14:textId="77777777" w:rsidR="00813D3E" w:rsidRDefault="001C3459" w:rsidP="000F1D74">
      <w:pPr>
        <w:pStyle w:val="Standard"/>
      </w:pPr>
      <w:r>
        <w:t>– Manuel d’utilisation afin de faciliter le maniement de la plate-forme ;</w:t>
      </w:r>
    </w:p>
    <w:p w14:paraId="107E9ED9" w14:textId="77777777" w:rsidR="00813D3E" w:rsidRDefault="001C3459" w:rsidP="000F1D74">
      <w:pPr>
        <w:pStyle w:val="Standard"/>
      </w:pPr>
      <w:r>
        <w:t>– Assistance téléphonique ;</w:t>
      </w:r>
    </w:p>
    <w:p w14:paraId="64A093AB" w14:textId="77777777" w:rsidR="00813D3E" w:rsidRDefault="001C3459" w:rsidP="000F1D74">
      <w:pPr>
        <w:pStyle w:val="Standard"/>
      </w:pPr>
      <w:r>
        <w:t>– Module d'autoformation à destination des candidats ;</w:t>
      </w:r>
    </w:p>
    <w:p w14:paraId="7F4DE0BB" w14:textId="77777777" w:rsidR="00813D3E" w:rsidRDefault="001C3459" w:rsidP="000F1D74">
      <w:pPr>
        <w:pStyle w:val="Standard"/>
      </w:pPr>
      <w:r>
        <w:t>– Foire aux questions ;</w:t>
      </w:r>
    </w:p>
    <w:p w14:paraId="69B36F6D" w14:textId="77777777" w:rsidR="00813D3E" w:rsidRDefault="001C3459" w:rsidP="000F1D74">
      <w:pPr>
        <w:pStyle w:val="Standard"/>
      </w:pPr>
      <w:r>
        <w:t>– Outils informatiques.</w:t>
      </w:r>
    </w:p>
    <w:p w14:paraId="23C68E6D" w14:textId="77777777" w:rsidR="00813D3E" w:rsidRDefault="00813D3E" w:rsidP="000F1D74">
      <w:pPr>
        <w:pStyle w:val="Standard"/>
      </w:pPr>
    </w:p>
    <w:p w14:paraId="1352BFAC" w14:textId="77777777" w:rsidR="00813D3E" w:rsidRDefault="001C3459" w:rsidP="000F1D74">
      <w:pPr>
        <w:pStyle w:val="Standard"/>
      </w:pPr>
      <w:r>
        <w:t xml:space="preserve">Après le dépôt du pli sur la plate-forme, un message indique que l’opération de dépôt du pli a été réalisée </w:t>
      </w:r>
      <w:r>
        <w:lastRenderedPageBreak/>
        <w:t>avec succès, puis un accusé de réception est adressé au candidat/soumissionnaire par courrier électronique donnant à son dépôt une date et une heure certaines, la date et l’heure de fin de réception faisant référence.</w:t>
      </w:r>
    </w:p>
    <w:p w14:paraId="688FD551" w14:textId="77777777" w:rsidR="00813D3E" w:rsidRDefault="001C3459" w:rsidP="000F1D74">
      <w:pPr>
        <w:pStyle w:val="Standard"/>
      </w:pPr>
      <w:r>
        <w:t>L’absence de message de confirmation de bonne réception ou d’accusé de réception électronique signifie que la réponse n’est pas parvenue à l'acheteur.</w:t>
      </w:r>
    </w:p>
    <w:p w14:paraId="70F7683A" w14:textId="77777777" w:rsidR="00813D3E" w:rsidRDefault="001C3459" w:rsidP="000F1D74">
      <w:pPr>
        <w:pStyle w:val="Standard"/>
      </w:pPr>
      <w:r>
        <w:t xml:space="preserve">L’opérateur économique s'assure que les messages envoyés par la Plate-forme des achats de l’État (PLACE) notamment, </w:t>
      </w:r>
      <w:hyperlink r:id="rId15" w:history="1">
        <w:r>
          <w:rPr>
            <w:rStyle w:val="Lienhypertexte"/>
          </w:rPr>
          <w:t>nepasrepondre@marches-publics.gouv.fr</w:t>
        </w:r>
      </w:hyperlink>
      <w:r>
        <w:t>, ne sont pas traités comme des courriels indésirables.</w:t>
      </w:r>
    </w:p>
    <w:p w14:paraId="5E66772C" w14:textId="77777777" w:rsidR="00813D3E" w:rsidRDefault="00813D3E" w:rsidP="000F1D74">
      <w:pPr>
        <w:pStyle w:val="Standard"/>
      </w:pPr>
    </w:p>
    <w:p w14:paraId="1BF6C7CD" w14:textId="77777777" w:rsidR="00813D3E" w:rsidRDefault="001C3459" w:rsidP="000F1D74">
      <w:pPr>
        <w:pStyle w:val="Standard"/>
      </w:pPr>
      <w:r>
        <w:t>Présentation des dossiers et format des fichiers</w:t>
      </w:r>
    </w:p>
    <w:p w14:paraId="655BBDC4" w14:textId="77777777" w:rsidR="00813D3E" w:rsidRDefault="00813D3E" w:rsidP="000F1D74">
      <w:pPr>
        <w:pStyle w:val="Standard"/>
      </w:pPr>
    </w:p>
    <w:p w14:paraId="0B8BEE2F" w14:textId="77777777" w:rsidR="00813D3E" w:rsidRDefault="001C3459" w:rsidP="000F1D74">
      <w:pPr>
        <w:pStyle w:val="Standard"/>
      </w:pPr>
      <w:r>
        <w:t>Les formats acceptés sont les suivants : .</w:t>
      </w:r>
      <w:proofErr w:type="spellStart"/>
      <w:r>
        <w:t>pdf</w:t>
      </w:r>
      <w:proofErr w:type="spellEnd"/>
      <w:r>
        <w:t>, .doc, .</w:t>
      </w:r>
      <w:proofErr w:type="spellStart"/>
      <w:r>
        <w:t>xls</w:t>
      </w:r>
      <w:proofErr w:type="spellEnd"/>
      <w:r>
        <w:t>, .</w:t>
      </w:r>
      <w:proofErr w:type="spellStart"/>
      <w:r>
        <w:t>ppt</w:t>
      </w:r>
      <w:proofErr w:type="spellEnd"/>
      <w:r>
        <w:t xml:space="preserve">,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ainsi que les formats images .jpg, .png et les documents au format .html.</w:t>
      </w:r>
    </w:p>
    <w:p w14:paraId="123D3CB8" w14:textId="77777777" w:rsidR="00813D3E" w:rsidRDefault="001C3459" w:rsidP="000F1D74">
      <w:pPr>
        <w:pStyle w:val="Standard"/>
      </w:pPr>
      <w:r>
        <w:t>Le candidat ou le soumissionnaire ne doit pas utiliser de code actif dans sa réponse, tels que :</w:t>
      </w:r>
    </w:p>
    <w:p w14:paraId="524F28CC" w14:textId="77777777" w:rsidR="00813D3E" w:rsidRDefault="001C3459" w:rsidP="000F1D74">
      <w:pPr>
        <w:pStyle w:val="Standard"/>
      </w:pPr>
      <w:r>
        <w:t>– Formats exécutables, notamment : .exe, .com, .</w:t>
      </w:r>
      <w:proofErr w:type="spellStart"/>
      <w:r>
        <w:t>scr</w:t>
      </w:r>
      <w:proofErr w:type="spellEnd"/>
    </w:p>
    <w:p w14:paraId="41DCFEAA" w14:textId="77777777" w:rsidR="00813D3E" w:rsidRDefault="001C3459" w:rsidP="000F1D74">
      <w:pPr>
        <w:pStyle w:val="Standard"/>
      </w:pPr>
      <w:r>
        <w:t>– Macros ;</w:t>
      </w:r>
    </w:p>
    <w:p w14:paraId="56229074" w14:textId="77777777" w:rsidR="00813D3E" w:rsidRDefault="001C3459" w:rsidP="000F1D74">
      <w:pPr>
        <w:pStyle w:val="Standard"/>
      </w:pPr>
      <w:r>
        <w:t>– ActiveX, Applets, scripts</w:t>
      </w:r>
    </w:p>
    <w:p w14:paraId="070CA409" w14:textId="77777777" w:rsidR="00813D3E" w:rsidRDefault="001C3459" w:rsidP="000F1D74">
      <w:pPr>
        <w:pStyle w:val="Standard"/>
      </w:pPr>
      <w:r>
        <w:t>La taille de chaque fichier dépose par les entreprises ne peut excéder 1 Go.</w:t>
      </w:r>
    </w:p>
    <w:p w14:paraId="0AFDA458" w14:textId="77777777" w:rsidR="00813D3E" w:rsidRDefault="00813D3E" w:rsidP="000F1D74">
      <w:pPr>
        <w:pStyle w:val="Standard"/>
      </w:pPr>
    </w:p>
    <w:p w14:paraId="3F968ADA" w14:textId="77777777" w:rsidR="00813D3E" w:rsidRDefault="001C3459" w:rsidP="000F1D74">
      <w:pPr>
        <w:pStyle w:val="Standard"/>
      </w:pPr>
      <w:r>
        <w:t>Horodatage</w:t>
      </w:r>
    </w:p>
    <w:p w14:paraId="0D59A098" w14:textId="77777777" w:rsidR="00813D3E" w:rsidRDefault="001C3459" w:rsidP="000F1D74">
      <w:pPr>
        <w:pStyle w:val="Standard"/>
      </w:pPr>
      <w:r>
        <w:t xml:space="preserve">Les plis (candidatures et/ou offres) transmis par voie électronique sont horodatés. Les plis reçus après la date et l’heure </w:t>
      </w:r>
      <w:proofErr w:type="gramStart"/>
      <w:r>
        <w:t>limite fixées</w:t>
      </w:r>
      <w:proofErr w:type="gramEnd"/>
      <w:r>
        <w:t xml:space="preserve"> par la présente consultation sont considérés comme hors délai et sont rejetés. En cas d’indisponibilité de la plate-forme, la date et l’heure limite de remise des plis peuvent être modifiées.</w:t>
      </w:r>
    </w:p>
    <w:p w14:paraId="4272A110" w14:textId="77777777" w:rsidR="00813D3E" w:rsidRDefault="00813D3E" w:rsidP="000F1D74">
      <w:pPr>
        <w:pStyle w:val="Standard"/>
      </w:pPr>
    </w:p>
    <w:p w14:paraId="4299C558" w14:textId="77777777" w:rsidR="00813D3E" w:rsidRDefault="001C3459" w:rsidP="000F1D74">
      <w:pPr>
        <w:pStyle w:val="Standard"/>
      </w:pPr>
      <w:r>
        <w:t>Copie de sauvegarde</w:t>
      </w:r>
    </w:p>
    <w:p w14:paraId="20349557" w14:textId="77777777" w:rsidR="00813D3E" w:rsidRDefault="001C3459" w:rsidP="000F1D74">
      <w:pPr>
        <w:pStyle w:val="Standard"/>
      </w:pPr>
      <w:r>
        <w:t>Le candidat ou le soumissionnaire peut faire parvenir une copie de sauvegarde dans les délais impartis pour la remise des candidatures ou des offres.</w:t>
      </w:r>
    </w:p>
    <w:p w14:paraId="1C51F250" w14:textId="77777777" w:rsidR="00813D3E" w:rsidRDefault="00813D3E" w:rsidP="000F1D74">
      <w:pPr>
        <w:pStyle w:val="Standard"/>
      </w:pPr>
    </w:p>
    <w:p w14:paraId="0EC9BA63" w14:textId="77777777" w:rsidR="00813D3E" w:rsidRDefault="001C3459" w:rsidP="000F1D74">
      <w:pPr>
        <w:pStyle w:val="Standard"/>
      </w:pPr>
      <w:r>
        <w:t>La copie de sauvegarde, transmise à l'acheteur sur support papier ou sur support physique électronique doit être placée dans un pli comportant les mentions suivantes :</w:t>
      </w:r>
    </w:p>
    <w:p w14:paraId="6C001AD7" w14:textId="77777777" w:rsidR="00813D3E" w:rsidRDefault="001C3459" w:rsidP="000F1D74">
      <w:pPr>
        <w:pStyle w:val="Standard"/>
      </w:pPr>
      <w:r>
        <w:t>– « Copie de sauvegarde » ;</w:t>
      </w:r>
    </w:p>
    <w:p w14:paraId="5B1290C2" w14:textId="77777777" w:rsidR="00813D3E" w:rsidRDefault="001C3459" w:rsidP="000F1D74">
      <w:pPr>
        <w:pStyle w:val="Standard"/>
      </w:pPr>
      <w:r>
        <w:t>– Intitulé de la consultation ;</w:t>
      </w:r>
    </w:p>
    <w:p w14:paraId="7248369E" w14:textId="77777777" w:rsidR="00813D3E" w:rsidRDefault="001C3459" w:rsidP="000F1D74">
      <w:pPr>
        <w:pStyle w:val="Standard"/>
      </w:pPr>
      <w:r>
        <w:t>– Nom ou dénomination du candidat.</w:t>
      </w:r>
    </w:p>
    <w:p w14:paraId="57644AED" w14:textId="77777777" w:rsidR="00813D3E" w:rsidRDefault="00813D3E" w:rsidP="000F1D74">
      <w:pPr>
        <w:pStyle w:val="Standard"/>
      </w:pPr>
    </w:p>
    <w:p w14:paraId="3D9B45EE" w14:textId="77777777" w:rsidR="00813D3E" w:rsidRDefault="001C3459" w:rsidP="000F1D74">
      <w:pPr>
        <w:pStyle w:val="Standard"/>
      </w:pPr>
      <w:r>
        <w:t>La copie de sauvegarde ne peut être ouverte que dans les deux cas suivants :</w:t>
      </w:r>
    </w:p>
    <w:p w14:paraId="08D6A184" w14:textId="77777777" w:rsidR="00813D3E" w:rsidRDefault="001C3459" w:rsidP="000F1D74">
      <w:pPr>
        <w:pStyle w:val="Standard"/>
      </w:pPr>
      <w:r>
        <w:t>– en cas de détection d’un programme informatique malveillant dans les candidatures ou les offres transmises par voie électronique ;</w:t>
      </w:r>
    </w:p>
    <w:p w14:paraId="2CFF0791" w14:textId="77777777" w:rsidR="00813D3E" w:rsidRDefault="001C3459" w:rsidP="000F1D74">
      <w:pPr>
        <w:pStyle w:val="Standard"/>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4ED20B82" w14:textId="77777777" w:rsidR="00813D3E" w:rsidRDefault="00813D3E" w:rsidP="000F1D74">
      <w:pPr>
        <w:pStyle w:val="Standard"/>
      </w:pPr>
    </w:p>
    <w:p w14:paraId="6B105F27" w14:textId="77777777" w:rsidR="00813D3E" w:rsidRDefault="001C3459" w:rsidP="000F1D74">
      <w:pPr>
        <w:pStyle w:val="Standard"/>
      </w:pPr>
      <w:r>
        <w:t>Si un programme informatique malveillant est détecté, la copie de sauvegarde est écartée par l’acheteur.</w:t>
      </w:r>
    </w:p>
    <w:p w14:paraId="6E1F4EB4" w14:textId="77777777" w:rsidR="00813D3E" w:rsidRDefault="00813D3E" w:rsidP="000F1D74">
      <w:pPr>
        <w:pStyle w:val="Standard"/>
      </w:pPr>
    </w:p>
    <w:p w14:paraId="421B5331" w14:textId="77777777" w:rsidR="00813D3E" w:rsidRDefault="001C3459" w:rsidP="000F1D74">
      <w:pPr>
        <w:pStyle w:val="Standard"/>
      </w:pPr>
      <w:r>
        <w:t xml:space="preserve">Une copie de sauvegarde ouverte est conservée en cas d'ouverture conformément aux dispositions des articles R.2184-12 et R.2184-13 du code de la commande publique. Si au contraire elle n’a pas été ouverte ou si elle a été écartée </w:t>
      </w:r>
      <w:proofErr w:type="gramStart"/>
      <w:r>
        <w:t>suite à</w:t>
      </w:r>
      <w:proofErr w:type="gramEnd"/>
      <w:r>
        <w:t xml:space="preserve"> la détection d’un programme malveillant, celle-ci est détruite</w:t>
      </w:r>
    </w:p>
    <w:p w14:paraId="2D5345C2" w14:textId="77777777" w:rsidR="00813D3E" w:rsidRDefault="00813D3E" w:rsidP="000F1D74">
      <w:pPr>
        <w:pStyle w:val="Standard"/>
      </w:pPr>
    </w:p>
    <w:p w14:paraId="6EA7FDD6" w14:textId="77777777" w:rsidR="00813D3E" w:rsidRDefault="001C3459" w:rsidP="000F1D74">
      <w:pPr>
        <w:pStyle w:val="Standard"/>
      </w:pPr>
      <w:r>
        <w:t>L’envoi par courrier postal avec AR de la copie de sauvegarde s’effectue à l’adresse suivante :</w:t>
      </w:r>
    </w:p>
    <w:p w14:paraId="3DC1FD31" w14:textId="77777777" w:rsidR="00813D3E" w:rsidRPr="00CA3233" w:rsidRDefault="001C3459" w:rsidP="000F1D74">
      <w:pPr>
        <w:pStyle w:val="Standard"/>
        <w:rPr>
          <w:b/>
          <w:bCs w:val="0"/>
          <w:i/>
          <w:iCs w:val="0"/>
        </w:rPr>
      </w:pPr>
      <w:r w:rsidRPr="00CA3233">
        <w:rPr>
          <w:b/>
          <w:bCs w:val="0"/>
          <w:i/>
          <w:iCs w:val="0"/>
        </w:rPr>
        <w:t>Archives nationales</w:t>
      </w:r>
    </w:p>
    <w:p w14:paraId="561B23C8" w14:textId="77777777" w:rsidR="00813D3E" w:rsidRPr="00CA3233" w:rsidRDefault="001C3459" w:rsidP="000F1D74">
      <w:pPr>
        <w:pStyle w:val="Standard"/>
        <w:rPr>
          <w:b/>
          <w:bCs w:val="0"/>
          <w:i/>
          <w:iCs w:val="0"/>
        </w:rPr>
      </w:pPr>
      <w:r w:rsidRPr="00CA3233">
        <w:rPr>
          <w:b/>
          <w:bCs w:val="0"/>
          <w:i/>
          <w:iCs w:val="0"/>
        </w:rPr>
        <w:t>Direction administrative et financière – Service Juridique</w:t>
      </w:r>
    </w:p>
    <w:p w14:paraId="180D3FA9" w14:textId="77777777" w:rsidR="00A31EAA" w:rsidRDefault="001C3459" w:rsidP="000F1D74">
      <w:pPr>
        <w:pStyle w:val="Standard"/>
        <w:rPr>
          <w:b/>
          <w:bCs w:val="0"/>
          <w:i/>
          <w:iCs w:val="0"/>
        </w:rPr>
      </w:pPr>
      <w:r w:rsidRPr="00CA3233">
        <w:rPr>
          <w:b/>
          <w:bCs w:val="0"/>
          <w:i/>
          <w:iCs w:val="0"/>
        </w:rPr>
        <w:t xml:space="preserve">59, rue Guynemer </w:t>
      </w:r>
    </w:p>
    <w:p w14:paraId="6A388778" w14:textId="68917F1F" w:rsidR="00813D3E" w:rsidRPr="00CA3233" w:rsidRDefault="001C3459" w:rsidP="000F1D74">
      <w:pPr>
        <w:pStyle w:val="Standard"/>
        <w:rPr>
          <w:b/>
          <w:bCs w:val="0"/>
          <w:i/>
          <w:iCs w:val="0"/>
        </w:rPr>
      </w:pPr>
      <w:r w:rsidRPr="00CA3233">
        <w:rPr>
          <w:b/>
          <w:bCs w:val="0"/>
          <w:i/>
          <w:iCs w:val="0"/>
        </w:rPr>
        <w:t>90</w:t>
      </w:r>
      <w:r w:rsidR="00A31EAA">
        <w:rPr>
          <w:b/>
          <w:bCs w:val="0"/>
          <w:i/>
          <w:iCs w:val="0"/>
        </w:rPr>
        <w:t> </w:t>
      </w:r>
      <w:r w:rsidRPr="00CA3233">
        <w:rPr>
          <w:b/>
          <w:bCs w:val="0"/>
          <w:i/>
          <w:iCs w:val="0"/>
        </w:rPr>
        <w:t>001</w:t>
      </w:r>
      <w:r w:rsidR="00A31EAA">
        <w:rPr>
          <w:b/>
          <w:bCs w:val="0"/>
          <w:i/>
          <w:iCs w:val="0"/>
        </w:rPr>
        <w:t xml:space="preserve"> </w:t>
      </w:r>
      <w:r w:rsidR="00A31EAA" w:rsidRPr="00CA3233">
        <w:rPr>
          <w:b/>
          <w:bCs w:val="0"/>
          <w:i/>
          <w:iCs w:val="0"/>
        </w:rPr>
        <w:t>Pierrefitte-sur-Seine</w:t>
      </w:r>
    </w:p>
    <w:p w14:paraId="15B2024E" w14:textId="24EA99C5" w:rsidR="00813D3E" w:rsidRPr="00CA3233" w:rsidRDefault="001C3459" w:rsidP="000F1D74">
      <w:pPr>
        <w:pStyle w:val="Standard"/>
        <w:rPr>
          <w:b/>
          <w:bCs w:val="0"/>
          <w:i/>
          <w:iCs w:val="0"/>
        </w:rPr>
      </w:pPr>
      <w:r w:rsidRPr="00CA3233">
        <w:rPr>
          <w:b/>
          <w:bCs w:val="0"/>
          <w:i/>
          <w:iCs w:val="0"/>
        </w:rPr>
        <w:lastRenderedPageBreak/>
        <w:t xml:space="preserve">93 383 </w:t>
      </w:r>
      <w:r w:rsidR="00A31EAA">
        <w:rPr>
          <w:b/>
          <w:bCs w:val="0"/>
          <w:i/>
          <w:iCs w:val="0"/>
        </w:rPr>
        <w:t xml:space="preserve">Saint-Denis </w:t>
      </w:r>
      <w:r w:rsidRPr="00CA3233">
        <w:rPr>
          <w:b/>
          <w:bCs w:val="0"/>
          <w:i/>
          <w:iCs w:val="0"/>
        </w:rPr>
        <w:t>Cedex</w:t>
      </w:r>
    </w:p>
    <w:p w14:paraId="690F198A" w14:textId="4C70483A" w:rsidR="00813D3E" w:rsidRPr="00CA3233" w:rsidRDefault="001C3459" w:rsidP="000F1D74">
      <w:pPr>
        <w:pStyle w:val="Standard"/>
        <w:rPr>
          <w:b/>
          <w:bCs w:val="0"/>
          <w:i/>
          <w:iCs w:val="0"/>
        </w:rPr>
      </w:pPr>
      <w:r w:rsidRPr="00CA3233">
        <w:rPr>
          <w:b/>
          <w:bCs w:val="0"/>
          <w:i/>
          <w:iCs w:val="0"/>
        </w:rPr>
        <w:t xml:space="preserve">Avec la mention ; “Copie de sauvegarde – </w:t>
      </w:r>
      <w:r w:rsidR="00B07DF1" w:rsidRPr="00CA3233">
        <w:rPr>
          <w:b/>
          <w:bCs w:val="0"/>
          <w:i/>
          <w:iCs w:val="0"/>
        </w:rPr>
        <w:t xml:space="preserve">2025/009 </w:t>
      </w:r>
      <w:r w:rsidR="00CA3233" w:rsidRPr="00CA3233">
        <w:rPr>
          <w:b/>
          <w:bCs w:val="0"/>
          <w:i/>
          <w:iCs w:val="0"/>
        </w:rPr>
        <w:t>Travaux d’installation de stores, dispositifs de protection des baies vitrées du site parisien des Archives nationales</w:t>
      </w:r>
      <w:r w:rsidR="00CA3233">
        <w:rPr>
          <w:b/>
          <w:bCs w:val="0"/>
          <w:i/>
          <w:iCs w:val="0"/>
        </w:rPr>
        <w:t>.</w:t>
      </w:r>
    </w:p>
    <w:p w14:paraId="0353AD9C" w14:textId="77777777" w:rsidR="00813D3E" w:rsidRDefault="00813D3E" w:rsidP="000F1D74">
      <w:pPr>
        <w:pStyle w:val="Standard"/>
      </w:pPr>
    </w:p>
    <w:p w14:paraId="3C37F16B" w14:textId="77777777" w:rsidR="00813D3E" w:rsidRDefault="001C3459" w:rsidP="000F1D74">
      <w:pPr>
        <w:pStyle w:val="Standard"/>
      </w:pPr>
      <w:r>
        <w:t>Antivirus</w:t>
      </w:r>
    </w:p>
    <w:p w14:paraId="4935751B" w14:textId="77777777" w:rsidR="00813D3E" w:rsidRDefault="001C3459" w:rsidP="000F1D74">
      <w:pPr>
        <w:pStyle w:val="Standard"/>
      </w:pPr>
      <w:r>
        <w:t>Le candidat ou le soumissionnaire doit s’assurer que les fichiers transmis ne comportent pas de virus.</w:t>
      </w:r>
    </w:p>
    <w:p w14:paraId="22DA787C" w14:textId="77777777" w:rsidR="00813D3E" w:rsidRDefault="001C3459" w:rsidP="000F1D74">
      <w:pPr>
        <w:pStyle w:val="Standard"/>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324CE133" w14:textId="51033CBD" w:rsidR="00813D3E" w:rsidRDefault="001C3459" w:rsidP="000F28AF">
      <w:pPr>
        <w:pStyle w:val="Titre2"/>
        <w:ind w:left="1134"/>
      </w:pPr>
      <w:bookmarkStart w:id="19" w:name="_Toc200698786"/>
      <w:r>
        <w:t>Echanges électroniques (candidature et offre)</w:t>
      </w:r>
      <w:bookmarkEnd w:id="19"/>
    </w:p>
    <w:p w14:paraId="4A682530" w14:textId="77777777" w:rsidR="00813D3E" w:rsidRDefault="00813D3E" w:rsidP="000F1D74">
      <w:pPr>
        <w:pStyle w:val="Standard"/>
      </w:pPr>
    </w:p>
    <w:p w14:paraId="18677D1A" w14:textId="67B3B85C" w:rsidR="00813D3E" w:rsidRDefault="001C3459" w:rsidP="000F1D74">
      <w:pPr>
        <w:pStyle w:val="Standard"/>
      </w:pPr>
      <w:r>
        <w:t xml:space="preserve">Les plis devront être transmis au plus tard le </w:t>
      </w:r>
      <w:r w:rsidR="00BB31A0">
        <w:rPr>
          <w:b/>
          <w:bCs w:val="0"/>
          <w:shd w:val="clear" w:color="auto" w:fill="FFFF00"/>
        </w:rPr>
        <w:t>18</w:t>
      </w:r>
      <w:r w:rsidR="00B07DF1" w:rsidRPr="00B07DF1">
        <w:rPr>
          <w:b/>
          <w:bCs w:val="0"/>
          <w:shd w:val="clear" w:color="auto" w:fill="FFFF00"/>
        </w:rPr>
        <w:t>/07/2025</w:t>
      </w:r>
      <w:r>
        <w:rPr>
          <w:shd w:val="clear" w:color="auto" w:fill="FFFF00"/>
        </w:rPr>
        <w:t xml:space="preserve"> </w:t>
      </w:r>
      <w:r w:rsidRPr="00050380">
        <w:rPr>
          <w:b/>
          <w:bCs w:val="0"/>
          <w:shd w:val="clear" w:color="auto" w:fill="FFFF00"/>
        </w:rPr>
        <w:t>à 15h00</w:t>
      </w:r>
      <w:r w:rsidRPr="00050380">
        <w:rPr>
          <w:b/>
          <w:bCs w:val="0"/>
        </w:rPr>
        <w:t>.</w:t>
      </w:r>
    </w:p>
    <w:p w14:paraId="5537200B" w14:textId="77777777" w:rsidR="00813D3E" w:rsidRDefault="00813D3E" w:rsidP="000F1D74">
      <w:pPr>
        <w:pStyle w:val="Standard"/>
      </w:pPr>
    </w:p>
    <w:p w14:paraId="3ED5186B" w14:textId="77777777" w:rsidR="00813D3E" w:rsidRDefault="001C3459" w:rsidP="000F1D74">
      <w:pPr>
        <w:pStyle w:val="Standard"/>
      </w:pPr>
      <w:r>
        <w:t>Seuls peuvent être ouverts les plis qui ont été reçus au plus tard à la date et à l’heure limites mentionnées ci-dessus. Les plis qui sont reçus ou remis après ces date et heure ne sont pas ouverts.</w:t>
      </w:r>
    </w:p>
    <w:p w14:paraId="10169338" w14:textId="77777777" w:rsidR="00813D3E" w:rsidRDefault="001C3459" w:rsidP="000F1D74">
      <w:pPr>
        <w:pStyle w:val="Standard"/>
      </w:pPr>
      <w:r>
        <w:t>Les plis et la “copie de sauvegarde” parvenus hors délai sont inscrits au registre des dépôts et sont rejetés.</w:t>
      </w:r>
    </w:p>
    <w:p w14:paraId="4D1A96B9" w14:textId="77777777" w:rsidR="00813D3E" w:rsidRDefault="00813D3E" w:rsidP="000F1D74">
      <w:pPr>
        <w:pStyle w:val="Standard"/>
      </w:pPr>
    </w:p>
    <w:p w14:paraId="101506B6" w14:textId="77777777" w:rsidR="00813D3E" w:rsidRDefault="001C3459" w:rsidP="000F1D74">
      <w:pPr>
        <w:pStyle w:val="Standard"/>
      </w:pPr>
      <w:r>
        <w:t xml:space="preserve">Pendant la phase de consultation, les candidats peuvent faire parvenir leurs questions et les demandes de renseignements complémentaires sur la plate-forme des achats de l’État (PLACE) : </w:t>
      </w:r>
      <w:hyperlink r:id="rId16" w:history="1">
        <w:r>
          <w:rPr>
            <w:rStyle w:val="Lienhypertexte"/>
          </w:rPr>
          <w:t>https://www.marches-publics.gouv.fr</w:t>
        </w:r>
      </w:hyperlink>
      <w:r>
        <w:t xml:space="preserve"> </w:t>
      </w:r>
    </w:p>
    <w:p w14:paraId="11AF1CE2" w14:textId="77777777" w:rsidR="00813D3E" w:rsidRDefault="00813D3E" w:rsidP="000F1D74">
      <w:pPr>
        <w:pStyle w:val="Standard"/>
      </w:pPr>
    </w:p>
    <w:p w14:paraId="05F3B663" w14:textId="29859A41" w:rsidR="00813D3E" w:rsidRDefault="001C3459" w:rsidP="000F1D74">
      <w:pPr>
        <w:pStyle w:val="Standard"/>
      </w:pPr>
      <w:r>
        <w:t xml:space="preserve">Les réponses aux demandes de renseignements complémentaires reçues en temps utile, au plus tard le </w:t>
      </w:r>
      <w:r w:rsidR="00BB31A0">
        <w:rPr>
          <w:b/>
          <w:bCs w:val="0"/>
          <w:shd w:val="clear" w:color="auto" w:fill="FFFF00"/>
        </w:rPr>
        <w:t>01</w:t>
      </w:r>
      <w:r w:rsidR="00B07DF1" w:rsidRPr="00B07DF1">
        <w:rPr>
          <w:b/>
          <w:bCs w:val="0"/>
          <w:shd w:val="clear" w:color="auto" w:fill="FFFF00"/>
        </w:rPr>
        <w:t>/0</w:t>
      </w:r>
      <w:r w:rsidR="00BB31A0">
        <w:rPr>
          <w:b/>
          <w:bCs w:val="0"/>
          <w:shd w:val="clear" w:color="auto" w:fill="FFFF00"/>
        </w:rPr>
        <w:t>7</w:t>
      </w:r>
      <w:r w:rsidR="00B07DF1" w:rsidRPr="00B07DF1">
        <w:rPr>
          <w:b/>
          <w:bCs w:val="0"/>
          <w:shd w:val="clear" w:color="auto" w:fill="FFFF00"/>
        </w:rPr>
        <w:t>/2025</w:t>
      </w:r>
      <w:r>
        <w:t>, sont transmises aux opérateurs économiques au plus tard 6 jours avant la date limite de réception des offres.</w:t>
      </w:r>
    </w:p>
    <w:p w14:paraId="71A8B4DA" w14:textId="77777777" w:rsidR="00813D3E" w:rsidRDefault="00813D3E" w:rsidP="000F1D74">
      <w:pPr>
        <w:pStyle w:val="Standard"/>
      </w:pPr>
    </w:p>
    <w:p w14:paraId="702EF492" w14:textId="77777777" w:rsidR="00813D3E" w:rsidRDefault="001C3459" w:rsidP="000F1D74">
      <w:pPr>
        <w:pStyle w:val="Standard"/>
      </w:pPr>
      <w:r>
        <w:t>Des modifications peuvent être apportées aux documents de la consultation au plus tard 6 jours avant la date limite de réception des offres. Les modifications sont communiquées aux seuls opérateurs économiques dûment identifiés lors du retrait des documents de la consultation.</w:t>
      </w:r>
    </w:p>
    <w:p w14:paraId="54697C19" w14:textId="77777777" w:rsidR="00813D3E" w:rsidRDefault="001C3459" w:rsidP="000F1D74">
      <w:pPr>
        <w:pStyle w:val="Standard"/>
      </w:pPr>
      <w:r>
        <w:tab/>
      </w:r>
    </w:p>
    <w:p w14:paraId="6DCABD0C" w14:textId="77777777" w:rsidR="00813D3E" w:rsidRDefault="001C3459" w:rsidP="000F1D74">
      <w:pPr>
        <w:pStyle w:val="Standard"/>
      </w:pPr>
      <w: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15C359C4" w14:textId="7F29A468" w:rsidR="00813D3E" w:rsidRDefault="001C3459" w:rsidP="000F28AF">
      <w:pPr>
        <w:pStyle w:val="Titre2"/>
        <w:ind w:left="1134"/>
      </w:pPr>
      <w:bookmarkStart w:id="20" w:name="_Toc200698787"/>
      <w:r>
        <w:t xml:space="preserve">Visite </w:t>
      </w:r>
      <w:r w:rsidR="0049469B">
        <w:t xml:space="preserve">obligatoire </w:t>
      </w:r>
      <w:r>
        <w:t>sur site</w:t>
      </w:r>
      <w:bookmarkEnd w:id="20"/>
      <w:r w:rsidR="0049469B">
        <w:t xml:space="preserve"> </w:t>
      </w:r>
    </w:p>
    <w:p w14:paraId="025776F8" w14:textId="77777777" w:rsidR="00813D3E" w:rsidRDefault="00813D3E" w:rsidP="000F1D74">
      <w:pPr>
        <w:pStyle w:val="Standard"/>
      </w:pPr>
    </w:p>
    <w:p w14:paraId="707BB57F" w14:textId="710837F1" w:rsidR="00813D3E" w:rsidRDefault="001C3459" w:rsidP="000F1D74">
      <w:pPr>
        <w:pStyle w:val="Standard"/>
      </w:pPr>
      <w:r>
        <w:t xml:space="preserve">Afin de prendre connaissance des contraintes relatives à l'exécution des prestations, les candidats doivent obligatoirement être présents à la visite de site qui sera organisée le </w:t>
      </w:r>
      <w:r w:rsidR="00BB31A0">
        <w:rPr>
          <w:b/>
          <w:bCs w:val="0"/>
          <w:shd w:val="clear" w:color="auto" w:fill="FFFF00"/>
        </w:rPr>
        <w:t>30</w:t>
      </w:r>
      <w:r w:rsidR="0049469B" w:rsidRPr="0049469B">
        <w:rPr>
          <w:b/>
          <w:bCs w:val="0"/>
          <w:shd w:val="clear" w:color="auto" w:fill="FFFF00"/>
        </w:rPr>
        <w:t>/06/2025</w:t>
      </w:r>
      <w:r w:rsidRPr="0049469B">
        <w:rPr>
          <w:b/>
          <w:bCs w:val="0"/>
          <w:shd w:val="clear" w:color="auto" w:fill="FFFF00"/>
        </w:rPr>
        <w:t xml:space="preserve"> à 10h30</w:t>
      </w:r>
      <w:r>
        <w:t xml:space="preserve"> à l'adresse suivante :</w:t>
      </w:r>
    </w:p>
    <w:p w14:paraId="1C247AE7" w14:textId="77777777" w:rsidR="00BB31A0" w:rsidRDefault="00BB31A0" w:rsidP="0049469B">
      <w:pPr>
        <w:pStyle w:val="Standard"/>
        <w:jc w:val="center"/>
        <w:rPr>
          <w:b/>
          <w:bCs w:val="0"/>
        </w:rPr>
      </w:pPr>
    </w:p>
    <w:p w14:paraId="681C325D" w14:textId="6357033F" w:rsidR="00813D3E" w:rsidRPr="0049469B" w:rsidRDefault="001C3459" w:rsidP="0049469B">
      <w:pPr>
        <w:pStyle w:val="Standard"/>
        <w:jc w:val="center"/>
        <w:rPr>
          <w:b/>
          <w:bCs w:val="0"/>
        </w:rPr>
      </w:pPr>
      <w:r w:rsidRPr="0049469B">
        <w:rPr>
          <w:b/>
          <w:bCs w:val="0"/>
        </w:rPr>
        <w:t>Archives nationales</w:t>
      </w:r>
    </w:p>
    <w:p w14:paraId="4E9D0670" w14:textId="55D7A8FB" w:rsidR="00813D3E" w:rsidRPr="0049469B" w:rsidRDefault="001C3459" w:rsidP="0049469B">
      <w:pPr>
        <w:pStyle w:val="Standard"/>
        <w:jc w:val="center"/>
        <w:rPr>
          <w:b/>
          <w:bCs w:val="0"/>
        </w:rPr>
      </w:pPr>
      <w:r w:rsidRPr="0049469B">
        <w:rPr>
          <w:b/>
          <w:bCs w:val="0"/>
        </w:rPr>
        <w:t>60 rue des Franc-Bourgeois</w:t>
      </w:r>
    </w:p>
    <w:p w14:paraId="790CD5FE" w14:textId="77777777" w:rsidR="00813D3E" w:rsidRPr="0049469B" w:rsidRDefault="001C3459" w:rsidP="0049469B">
      <w:pPr>
        <w:pStyle w:val="Standard"/>
        <w:jc w:val="center"/>
        <w:rPr>
          <w:b/>
          <w:bCs w:val="0"/>
        </w:rPr>
      </w:pPr>
      <w:r w:rsidRPr="0049469B">
        <w:rPr>
          <w:b/>
          <w:bCs w:val="0"/>
        </w:rPr>
        <w:t>75004 Paris</w:t>
      </w:r>
    </w:p>
    <w:p w14:paraId="7C7A7345" w14:textId="77777777" w:rsidR="00813D3E" w:rsidRDefault="00813D3E" w:rsidP="000F1D74">
      <w:pPr>
        <w:pStyle w:val="Standard"/>
      </w:pPr>
    </w:p>
    <w:p w14:paraId="7F0FE2CD" w14:textId="77777777" w:rsidR="000F28AF" w:rsidRDefault="000F28AF" w:rsidP="000F28AF">
      <w:pPr>
        <w:pStyle w:val="Standard"/>
      </w:pPr>
      <w:r>
        <w:t>Pour procéder à cette visite, il est conseillé aux candidats de se faire connaître au préalable auprès de :</w:t>
      </w:r>
    </w:p>
    <w:p w14:paraId="19F2D42E" w14:textId="59E1275E" w:rsidR="000F28AF" w:rsidRDefault="000F28AF" w:rsidP="000F28AF">
      <w:pPr>
        <w:pStyle w:val="Standard"/>
        <w:jc w:val="center"/>
      </w:pPr>
      <w:r w:rsidRPr="000F28AF">
        <w:rPr>
          <w:u w:val="single"/>
        </w:rPr>
        <w:t>Courriel</w:t>
      </w:r>
      <w:r>
        <w:t xml:space="preserve"> : </w:t>
      </w:r>
      <w:hyperlink r:id="rId17" w:history="1">
        <w:r w:rsidRPr="00BA7ABE">
          <w:rPr>
            <w:rStyle w:val="Lienhypertexte"/>
          </w:rPr>
          <w:t>marches.archives-nationales@culture.gouv.fr</w:t>
        </w:r>
      </w:hyperlink>
      <w:r>
        <w:t xml:space="preserve"> </w:t>
      </w:r>
    </w:p>
    <w:p w14:paraId="439187CD" w14:textId="59F2DEFA" w:rsidR="000F28AF" w:rsidRDefault="000F28AF" w:rsidP="000F28AF">
      <w:pPr>
        <w:pStyle w:val="Standard"/>
      </w:pPr>
      <w:r>
        <w:t xml:space="preserve"> </w:t>
      </w:r>
    </w:p>
    <w:p w14:paraId="00A523F8" w14:textId="627369E3" w:rsidR="00813D3E" w:rsidRDefault="001C3459" w:rsidP="000F28AF">
      <w:pPr>
        <w:pStyle w:val="Standard"/>
      </w:pPr>
      <w:r>
        <w:t xml:space="preserve">À l’issue de cette visite, ils reçoivent une attestation de visite. Les candidats joignent cette attestation dans leur réponse à la consultation.  L’offre d’un candidat n’ayant pas procédé à la visite préalable obligatoire sera éliminée. </w:t>
      </w:r>
    </w:p>
    <w:p w14:paraId="21B6E2CE" w14:textId="77777777" w:rsidR="0049469B" w:rsidRDefault="0049469B" w:rsidP="000F1D74">
      <w:pPr>
        <w:pStyle w:val="Standard"/>
      </w:pPr>
    </w:p>
    <w:p w14:paraId="45BEA228" w14:textId="40FDBDE9" w:rsidR="00813D3E" w:rsidRDefault="001C3459" w:rsidP="000F1D74">
      <w:pPr>
        <w:pStyle w:val="Titre1"/>
      </w:pPr>
      <w:bookmarkStart w:id="21" w:name="_Toc200698788"/>
      <w:r>
        <w:lastRenderedPageBreak/>
        <w:t>CANDIDATURE</w:t>
      </w:r>
      <w:bookmarkEnd w:id="21"/>
    </w:p>
    <w:p w14:paraId="3D5FAD80" w14:textId="2F767ADD" w:rsidR="00813D3E" w:rsidRDefault="001C3459" w:rsidP="00050380">
      <w:pPr>
        <w:pStyle w:val="Titre2"/>
        <w:ind w:left="1134"/>
      </w:pPr>
      <w:bookmarkStart w:id="22" w:name="_Toc200698789"/>
      <w:r>
        <w:t>Précisions concernant les groupements d’opérateurs économiques et la sous-traitance</w:t>
      </w:r>
      <w:bookmarkEnd w:id="22"/>
    </w:p>
    <w:p w14:paraId="1CA7D993" w14:textId="77777777" w:rsidR="00813D3E" w:rsidRDefault="00813D3E" w:rsidP="000F1D74">
      <w:pPr>
        <w:pStyle w:val="Standard"/>
      </w:pPr>
    </w:p>
    <w:p w14:paraId="6E529246" w14:textId="77777777" w:rsidR="00813D3E" w:rsidRDefault="001C3459" w:rsidP="000F1D74">
      <w:pPr>
        <w:pStyle w:val="Standard"/>
      </w:pPr>
      <w:r>
        <w:t>Un service de bourse à la cotraitance est proposé sur le portail « entreprises » du profil d’acheteur de l’État (Plateforme des achats de l’État : PLACE) utilisé par les ministères et les établissements publics d’État. Ce service entend faciliter les contacts des entreprises entre elles qui souhaitent répondre à des marchés publics de manière groupée sous la forme d’un groupement d’opérateurs économiques.</w:t>
      </w:r>
    </w:p>
    <w:p w14:paraId="70C27845" w14:textId="77777777" w:rsidR="00813D3E" w:rsidRDefault="001C3459" w:rsidP="000F1D74">
      <w:pPr>
        <w:pStyle w:val="Standard"/>
      </w:pPr>
      <w:r>
        <w:t>Des fiches explicatives et le mode d'emploi de ce service sont disponibles aux adresses suivantes :</w:t>
      </w:r>
    </w:p>
    <w:p w14:paraId="6F8CDE2F" w14:textId="77777777" w:rsidR="00813D3E" w:rsidRDefault="001C3459" w:rsidP="000F1D74">
      <w:pPr>
        <w:pStyle w:val="Standard"/>
      </w:pPr>
      <w:r>
        <w:t>https://www.marches-publics.gouv.fr/docs/outils-esr-2017/place/Bourse_cotraitance_mode_emploi6.pdf</w:t>
      </w:r>
    </w:p>
    <w:p w14:paraId="0A34994E" w14:textId="77777777" w:rsidR="00813D3E" w:rsidRDefault="00813D3E" w:rsidP="000F1D74">
      <w:pPr>
        <w:pStyle w:val="Standard"/>
      </w:pPr>
    </w:p>
    <w:p w14:paraId="1EE9EBED" w14:textId="77777777" w:rsidR="00813D3E" w:rsidRDefault="00807C07" w:rsidP="000F1D74">
      <w:pPr>
        <w:pStyle w:val="Standard"/>
      </w:pPr>
      <w:hyperlink r:id="rId18" w:history="1">
        <w:r w:rsidR="001C3459">
          <w:rPr>
            <w:rStyle w:val="Lienhypertexte"/>
          </w:rPr>
          <w:t>https://www.economie.gouv.fr/dae/bourse-a-cotraitance-service-pour-aider-entreprises</w:t>
        </w:r>
      </w:hyperlink>
      <w:r w:rsidR="001C3459">
        <w:t xml:space="preserve"> </w:t>
      </w:r>
    </w:p>
    <w:p w14:paraId="0F0CAB7B" w14:textId="77777777" w:rsidR="00813D3E" w:rsidRDefault="00813D3E" w:rsidP="000F1D74">
      <w:pPr>
        <w:pStyle w:val="Standard"/>
      </w:pPr>
    </w:p>
    <w:p w14:paraId="741B52FD" w14:textId="77777777" w:rsidR="00813D3E" w:rsidRDefault="001C3459" w:rsidP="000F1D74">
      <w:pPr>
        <w:pStyle w:val="Standard"/>
      </w:pPr>
      <w:r>
        <w:t>La forme du groupement n’est pas imposée au stade de la procédure de passation.</w:t>
      </w:r>
    </w:p>
    <w:p w14:paraId="0E636D0C" w14:textId="4D43CEF6" w:rsidR="00813D3E" w:rsidRDefault="001C3459" w:rsidP="000F1D74">
      <w:pPr>
        <w:pStyle w:val="Standard"/>
      </w:pPr>
      <w:r>
        <w:t xml:space="preserve">En cas de groupement conjoint, le mandataire est solidaire pour l'exécution du marché de chacun des membres du groupement pour ses obligations contractuelles à l'égard de l’acheteur. </w:t>
      </w:r>
    </w:p>
    <w:p w14:paraId="1B055A03" w14:textId="77777777" w:rsidR="00813D3E" w:rsidRDefault="001C3459" w:rsidP="00CA3233">
      <w:pPr>
        <w:pStyle w:val="Titre2"/>
      </w:pPr>
      <w:bookmarkStart w:id="23" w:name="_Toc200698790"/>
      <w:r>
        <w:t>Conditions de présentation</w:t>
      </w:r>
      <w:bookmarkEnd w:id="23"/>
    </w:p>
    <w:p w14:paraId="375AF078" w14:textId="77777777" w:rsidR="00813D3E" w:rsidRDefault="00813D3E" w:rsidP="000F1D74">
      <w:pPr>
        <w:pStyle w:val="Standard"/>
      </w:pPr>
    </w:p>
    <w:p w14:paraId="36C7FB18" w14:textId="77777777" w:rsidR="00813D3E" w:rsidRDefault="001C3459" w:rsidP="000F1D74">
      <w:pPr>
        <w:pStyle w:val="Standard"/>
      </w:pPr>
      <w:r>
        <w:t>Dans le cadre de la consultation, le maître d’ouvrage autorise le candidat à présenter plusieurs offres en agissant à la fois :</w:t>
      </w:r>
    </w:p>
    <w:p w14:paraId="30F896D8" w14:textId="77777777" w:rsidR="00813D3E" w:rsidRDefault="00813D3E" w:rsidP="000F1D74">
      <w:pPr>
        <w:pStyle w:val="Standard"/>
      </w:pPr>
    </w:p>
    <w:p w14:paraId="4BBFAF1D" w14:textId="77777777" w:rsidR="00813D3E" w:rsidRDefault="001C3459" w:rsidP="000F1D74">
      <w:pPr>
        <w:pStyle w:val="Standard"/>
      </w:pPr>
      <w:r>
        <w:t xml:space="preserve">- en qualité de candidat individuel et de membre d’un ou plusieurs groupements d’opérateurs </w:t>
      </w:r>
      <w:proofErr w:type="gramStart"/>
      <w:r>
        <w:t>économiques;</w:t>
      </w:r>
      <w:proofErr w:type="gramEnd"/>
    </w:p>
    <w:p w14:paraId="13ADD2CA" w14:textId="77777777" w:rsidR="00813D3E" w:rsidRDefault="001C3459" w:rsidP="000F1D74">
      <w:pPr>
        <w:pStyle w:val="Standard"/>
      </w:pPr>
      <w:r>
        <w:t>- en qualité de membres de plusieurs groupements d’opérateurs économiques.</w:t>
      </w:r>
    </w:p>
    <w:p w14:paraId="0E7C4E67" w14:textId="77777777" w:rsidR="00813D3E" w:rsidRDefault="00813D3E" w:rsidP="000F1D74">
      <w:pPr>
        <w:pStyle w:val="Standard"/>
      </w:pPr>
    </w:p>
    <w:p w14:paraId="77412AC4" w14:textId="3D67803E" w:rsidR="00813D3E" w:rsidRDefault="001C3459" w:rsidP="000F1D74">
      <w:pPr>
        <w:pStyle w:val="Standard"/>
      </w:pPr>
      <w:r>
        <w:t xml:space="preserve">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 </w:t>
      </w:r>
    </w:p>
    <w:p w14:paraId="42BE967A" w14:textId="77777777" w:rsidR="00813D3E" w:rsidRDefault="001C3459" w:rsidP="00CA3233">
      <w:pPr>
        <w:pStyle w:val="Titre2"/>
      </w:pPr>
      <w:bookmarkStart w:id="24" w:name="_Toc200698791"/>
      <w:r>
        <w:t>Précisions concernant la sous-traitance</w:t>
      </w:r>
      <w:bookmarkEnd w:id="24"/>
    </w:p>
    <w:p w14:paraId="249F9599" w14:textId="77777777" w:rsidR="00813D3E" w:rsidRDefault="00813D3E" w:rsidP="000F1D74">
      <w:pPr>
        <w:pStyle w:val="Standard"/>
      </w:pPr>
    </w:p>
    <w:p w14:paraId="193AC8CE" w14:textId="77777777" w:rsidR="00813D3E" w:rsidRDefault="001C3459" w:rsidP="000F1D74">
      <w:pPr>
        <w:pStyle w:val="Standard"/>
      </w:pPr>
      <w:r>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7F363F7A" w14:textId="77777777" w:rsidR="00813D3E" w:rsidRDefault="00813D3E" w:rsidP="000F1D74">
      <w:pPr>
        <w:pStyle w:val="Standard"/>
      </w:pPr>
    </w:p>
    <w:p w14:paraId="5F2E37CF" w14:textId="2236693F" w:rsidR="00813D3E" w:rsidRDefault="001C3459" w:rsidP="000F1D74">
      <w:pPr>
        <w:pStyle w:val="Standard"/>
      </w:pPr>
      <w:r>
        <w:t>Si le candidat souhaite déclarer un ou plusieurs sous-traitant(s) au stade de la candidature, son attention est attirée sur le fait qu’il lui sera interdit de sous-traiter plus de 50 % de la valeur totale du marché à des opérateurs économiques originaires d’un pays tiers faisant l’objet d’une mesure relevant de l</w:t>
      </w:r>
      <w:r w:rsidR="00BF7158" w:rsidRPr="00BF7158">
        <w:t>’instrument européen relatif aux marchés publics internationaux — IMPI</w:t>
      </w:r>
      <w:r w:rsidR="00BF7158">
        <w:t>.</w:t>
      </w:r>
    </w:p>
    <w:p w14:paraId="0B1FF038" w14:textId="77777777" w:rsidR="00813D3E" w:rsidRDefault="00813D3E" w:rsidP="000F1D74">
      <w:pPr>
        <w:pStyle w:val="Standard"/>
      </w:pPr>
    </w:p>
    <w:p w14:paraId="7F3B6492" w14:textId="159616E5" w:rsidR="00813D3E" w:rsidRDefault="001C3459" w:rsidP="000F1D74">
      <w:pPr>
        <w:pStyle w:val="Standard"/>
      </w:pPr>
      <w:r>
        <w:t>Dans l’hypothèse où le candidat présenterait des actes de sous-traitance dans lesquels plus de 50 % du montant total du marché serait sous-traité à des opérateurs économiques originaires d’un pays tiers faisant l’objet d’une mesure relevant de l'IMPI, une régularisation de la candidature pourra être demandée par l’acheteur.</w:t>
      </w:r>
    </w:p>
    <w:p w14:paraId="248E3BD6" w14:textId="45F07D37" w:rsidR="00813D3E" w:rsidRDefault="001C3459" w:rsidP="000F1D74">
      <w:pPr>
        <w:pStyle w:val="Titre2"/>
      </w:pPr>
      <w:bookmarkStart w:id="25" w:name="_Toc200698792"/>
      <w:r>
        <w:lastRenderedPageBreak/>
        <w:t>Motifs d'exclusion</w:t>
      </w:r>
      <w:bookmarkEnd w:id="25"/>
    </w:p>
    <w:p w14:paraId="7F9A51E3" w14:textId="77777777" w:rsidR="00813D3E" w:rsidRDefault="00813D3E" w:rsidP="000F1D74">
      <w:pPr>
        <w:pStyle w:val="Standard"/>
      </w:pPr>
    </w:p>
    <w:p w14:paraId="5E4466CD" w14:textId="5372689B" w:rsidR="00813D3E" w:rsidRDefault="001C3459" w:rsidP="000F1D74">
      <w:pPr>
        <w:pStyle w:val="Standard"/>
      </w:pPr>
      <w:r>
        <w:t>Conformément aux dispositions du code de la commande publique relative aux exclusions de plein droit et aux exclusions à l'appréciation du maître d'</w:t>
      </w:r>
      <w:r w:rsidR="006C0846">
        <w:t>ouvrage</w:t>
      </w:r>
      <w:r>
        <w:t xml:space="preserve">, les personnes se trouvant dans un des cas d'exclusion </w:t>
      </w:r>
      <w:r w:rsidR="006C0846">
        <w:t xml:space="preserve">de plein droit </w:t>
      </w:r>
      <w:r>
        <w:t>sont exclues de la procédure.</w:t>
      </w:r>
    </w:p>
    <w:p w14:paraId="0128B1B3" w14:textId="77777777" w:rsidR="00813D3E" w:rsidRDefault="00813D3E" w:rsidP="000F1D74">
      <w:pPr>
        <w:pStyle w:val="Standard"/>
      </w:pPr>
    </w:p>
    <w:p w14:paraId="1135D0BC" w14:textId="77777777" w:rsidR="00813D3E" w:rsidRDefault="001C3459" w:rsidP="000F1D74">
      <w:pPr>
        <w:pStyle w:val="Standard"/>
      </w:pPr>
      <w:r>
        <w:t>Lorsqu'un opérateur économique se trouve, en cours de procédure, en situation d'exclusion, il en informe sans délai le maître d'ouvrage qui l'exclut pour ce motif.</w:t>
      </w:r>
    </w:p>
    <w:p w14:paraId="58957252" w14:textId="77777777" w:rsidR="00813D3E" w:rsidRDefault="00813D3E" w:rsidP="000F1D74">
      <w:pPr>
        <w:pStyle w:val="Standard"/>
      </w:pPr>
    </w:p>
    <w:p w14:paraId="784F97B4" w14:textId="77777777" w:rsidR="00813D3E" w:rsidRDefault="001C3459" w:rsidP="000F1D74">
      <w:pPr>
        <w:pStyle w:val="Standard"/>
      </w:pPr>
      <w:r>
        <w:t xml:space="preserve">En cas d'exclusion à l'appréciation de l'acheteur, l'opérateur économique présente, à la demande du maître d'ouvrage, ses observations afin d'établir qu'il a pris les mesures nécessaires ou encore que sa participation à la présente consultation </w:t>
      </w:r>
      <w:proofErr w:type="gramStart"/>
      <w:r>
        <w:t>n'est</w:t>
      </w:r>
      <w:proofErr w:type="gramEnd"/>
      <w:r>
        <w:t xml:space="preserve"> pas susceptible de porter atteinte à l'égalité de traitement.</w:t>
      </w:r>
    </w:p>
    <w:p w14:paraId="207BC9BB" w14:textId="77777777" w:rsidR="00813D3E" w:rsidRDefault="00813D3E" w:rsidP="000F1D74">
      <w:pPr>
        <w:pStyle w:val="Standard"/>
      </w:pPr>
    </w:p>
    <w:p w14:paraId="47F6CFCB" w14:textId="77777777" w:rsidR="00813D3E" w:rsidRDefault="00813D3E" w:rsidP="000F1D74">
      <w:pPr>
        <w:pStyle w:val="Standard"/>
      </w:pPr>
    </w:p>
    <w:p w14:paraId="628E75D0" w14:textId="77777777" w:rsidR="00813D3E" w:rsidRDefault="001C3459" w:rsidP="000F1D74">
      <w:pPr>
        <w:pStyle w:val="Standard"/>
      </w:pPr>
      <w:r>
        <w:t>Lorsque le motif d'exclusion de la procédure de passation concerne un des membres du groupement, le maître d'ouvrage exige son remplacement par une personne qui ne fait pas l'objet d'un motif d'exclusion dans un délai de dix jours à compter de la réception de cette demande par le mandataire du groupement. A défaut, le groupement est exclu de la procédure.</w:t>
      </w:r>
    </w:p>
    <w:p w14:paraId="0E4A88F4" w14:textId="77777777" w:rsidR="00813D3E" w:rsidRDefault="00813D3E" w:rsidP="000F1D74">
      <w:pPr>
        <w:pStyle w:val="Standard"/>
      </w:pPr>
    </w:p>
    <w:p w14:paraId="5C74AAB1" w14:textId="77777777" w:rsidR="00813D3E" w:rsidRDefault="001C3459" w:rsidP="000F1D74">
      <w:pPr>
        <w:pStyle w:val="Standard"/>
      </w:pPr>
      <w:r>
        <w:t>Les personnes à l'encontre desquelles il existe un motif d'exclusion ne peuvent être acceptées en tant que sous-traitant.</w:t>
      </w:r>
    </w:p>
    <w:p w14:paraId="02C52F08" w14:textId="77777777" w:rsidR="00813D3E" w:rsidRDefault="00813D3E" w:rsidP="000F1D74">
      <w:pPr>
        <w:pStyle w:val="Standard"/>
      </w:pPr>
    </w:p>
    <w:p w14:paraId="61A9FA81" w14:textId="77777777" w:rsidR="00813D3E" w:rsidRDefault="001C3459" w:rsidP="000F1D74">
      <w:pPr>
        <w:pStyle w:val="Standard"/>
      </w:pPr>
      <w:r>
        <w:t>Lorsque le sous-traitant à l'encontre duquel il existe un motif d'exclusion est présenté au stade de la candidature, le maître d'ouvrage exige son remplacement par une personne qui ne fait pas l'objet d'un motif d'exclusion, dans un délai de dix jours à compter de la réception de cette demande par le candidat. A défaut, le candidat est exclu de la procédure.</w:t>
      </w:r>
    </w:p>
    <w:p w14:paraId="11FD8A17" w14:textId="77777777" w:rsidR="00813D3E" w:rsidRDefault="00813D3E" w:rsidP="000F1D74">
      <w:pPr>
        <w:pStyle w:val="Standard"/>
      </w:pPr>
    </w:p>
    <w:p w14:paraId="6D9671D7" w14:textId="11E4AD55" w:rsidR="000B65A3" w:rsidRDefault="000B65A3" w:rsidP="000B65A3">
      <w:pPr>
        <w:pStyle w:val="Titre2"/>
      </w:pPr>
      <w:bookmarkStart w:id="26" w:name="_Toc200698793"/>
      <w:r w:rsidRPr="000B65A3">
        <w:t>Candidature sous forme de DUME</w:t>
      </w:r>
      <w:bookmarkEnd w:id="26"/>
    </w:p>
    <w:p w14:paraId="0EA67721" w14:textId="77777777" w:rsidR="000B65A3" w:rsidRDefault="000B65A3" w:rsidP="000B65A3">
      <w:pPr>
        <w:pStyle w:val="Standard"/>
      </w:pPr>
    </w:p>
    <w:p w14:paraId="6273462D" w14:textId="77777777" w:rsidR="000B65A3" w:rsidRDefault="000B65A3" w:rsidP="000B65A3">
      <w:pPr>
        <w:pStyle w:val="Standard"/>
      </w:pPr>
      <w:bookmarkStart w:id="27" w:name="_Hlk181870880"/>
      <w:r>
        <w:t>Les candidats peuvent présenter leur candidature en renseignant le formulaire DUME accessible :</w:t>
      </w:r>
    </w:p>
    <w:p w14:paraId="7B581A44" w14:textId="77777777" w:rsidR="000B65A3" w:rsidRDefault="000B65A3" w:rsidP="000B65A3">
      <w:pPr>
        <w:pStyle w:val="Standard"/>
      </w:pPr>
      <w:r>
        <w:t>- depuis le service exposé de PLACE</w:t>
      </w:r>
    </w:p>
    <w:p w14:paraId="7DF48E72" w14:textId="77777777" w:rsidR="000B65A3" w:rsidRDefault="000B65A3" w:rsidP="000B65A3">
      <w:pPr>
        <w:pStyle w:val="Standard"/>
      </w:pPr>
      <w:r>
        <w:t xml:space="preserve">- depuis l'adresse URL suivante : </w:t>
      </w:r>
      <w:hyperlink r:id="rId19" w:history="1">
        <w:r>
          <w:rPr>
            <w:rStyle w:val="Lienhypertexte"/>
          </w:rPr>
          <w:t>https://dume.chorus-pro.gouv.fr</w:t>
        </w:r>
      </w:hyperlink>
      <w:r>
        <w:t xml:space="preserve"> </w:t>
      </w:r>
    </w:p>
    <w:p w14:paraId="2A09B369" w14:textId="77777777" w:rsidR="000B65A3" w:rsidRDefault="000B65A3" w:rsidP="000B65A3">
      <w:pPr>
        <w:pStyle w:val="Standard"/>
      </w:pPr>
      <w:r>
        <w:t>Les parties II (informations concernant l'opérateur économique), III (motifs d'exclusion), IV (critères de sélection) et le cas échéant V (réduction du nombre de candidats qualifiés) du formulaire sont à renseigner.</w:t>
      </w:r>
    </w:p>
    <w:p w14:paraId="513490B2" w14:textId="77777777" w:rsidR="000B65A3" w:rsidRDefault="000B65A3" w:rsidP="000B65A3">
      <w:pPr>
        <w:pStyle w:val="Standard"/>
      </w:pPr>
    </w:p>
    <w:p w14:paraId="689FD66D" w14:textId="77777777" w:rsidR="000B65A3" w:rsidRDefault="000B65A3" w:rsidP="000B65A3">
      <w:pPr>
        <w:pStyle w:val="Standard"/>
      </w:pPr>
      <w:r>
        <w:t xml:space="preserve">Des renseignements complémentaires au sujet du DUME électronique sont disponibles à l'adresse URL suivante : </w:t>
      </w:r>
      <w:hyperlink r:id="rId20" w:history="1">
        <w:r>
          <w:rPr>
            <w:rStyle w:val="Lienhypertexte"/>
          </w:rPr>
          <w:t>https://communaute.chorus-pro.gouv.fr/pour-les-entreprises/</w:t>
        </w:r>
      </w:hyperlink>
      <w:r>
        <w:t xml:space="preserve"> </w:t>
      </w:r>
    </w:p>
    <w:p w14:paraId="56F204AA" w14:textId="77777777" w:rsidR="000B65A3" w:rsidRDefault="000B65A3" w:rsidP="000B65A3">
      <w:pPr>
        <w:pStyle w:val="Standard"/>
      </w:pPr>
    </w:p>
    <w:p w14:paraId="1DA9CB45" w14:textId="77777777" w:rsidR="000B65A3" w:rsidRDefault="000B65A3" w:rsidP="000B65A3">
      <w:pPr>
        <w:pStyle w:val="Standard"/>
      </w:pPr>
      <w:r>
        <w:t>Si le groupement d'opérateurs économiques présente sa candidature sous la forme du DUME, chacun des membres du groupement doit fournir un DUME distinct.</w:t>
      </w:r>
    </w:p>
    <w:p w14:paraId="15E7E3EB" w14:textId="77777777" w:rsidR="000B65A3" w:rsidRDefault="000B65A3" w:rsidP="000B65A3">
      <w:pPr>
        <w:pStyle w:val="Standard"/>
      </w:pPr>
    </w:p>
    <w:p w14:paraId="7C1F7DA4" w14:textId="77777777" w:rsidR="000B65A3" w:rsidRDefault="000B65A3" w:rsidP="000B65A3">
      <w:pPr>
        <w:pStyle w:val="Standard"/>
      </w:pPr>
      <w:r>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w:t>
      </w:r>
      <w:proofErr w:type="gramStart"/>
      <w:r>
        <w:t>sections  A</w:t>
      </w:r>
      <w:proofErr w:type="gramEnd"/>
      <w:r>
        <w:t xml:space="preserve"> et B de la partie II ainsi que celles de la partie III et, le cas échéant, les parties IV et V.</w:t>
      </w:r>
    </w:p>
    <w:p w14:paraId="5F240386" w14:textId="77777777" w:rsidR="000B65A3" w:rsidRDefault="000B65A3" w:rsidP="000B65A3">
      <w:pPr>
        <w:pStyle w:val="Standard"/>
      </w:pPr>
      <w:r>
        <w:t xml:space="preserve">Le candidat remet également l'imprimé DC 4 (Déclaration de sous-traitance, </w:t>
      </w:r>
      <w:hyperlink r:id="rId21" w:history="1">
        <w:r>
          <w:rPr>
            <w:rStyle w:val="Lienhypertexte"/>
          </w:rPr>
          <w:t>https://www.economie.gouv.fr/daj/formulaires-mise-a-jour-formulaire-declaration-sous-traitance-dans-marches-publics</w:t>
        </w:r>
      </w:hyperlink>
      <w:r>
        <w:t xml:space="preserve"> ) dûment rempli par le sous-traitant et le candidat.   </w:t>
      </w:r>
    </w:p>
    <w:p w14:paraId="03A80AC5" w14:textId="77777777" w:rsidR="000B65A3" w:rsidRDefault="000B65A3" w:rsidP="000B65A3">
      <w:pPr>
        <w:pStyle w:val="Standard"/>
      </w:pPr>
    </w:p>
    <w:p w14:paraId="60B1C7EF" w14:textId="77777777" w:rsidR="000B65A3" w:rsidRDefault="000B65A3" w:rsidP="000B65A3">
      <w:pPr>
        <w:pStyle w:val="Standard"/>
      </w:pPr>
      <w:r>
        <w:t xml:space="preserve">Si le candidat ne s'appuie pas sur de la sous-traitance pour faire acte de candidature mais qu'il a l'intention de </w:t>
      </w:r>
      <w:r>
        <w:lastRenderedPageBreak/>
        <w:t>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w:t>
      </w:r>
      <w:bookmarkEnd w:id="27"/>
      <w:r>
        <w:t>.</w:t>
      </w:r>
    </w:p>
    <w:p w14:paraId="3FECF762" w14:textId="77777777" w:rsidR="000B65A3" w:rsidRPr="000B65A3" w:rsidRDefault="000B65A3" w:rsidP="000B65A3">
      <w:pPr>
        <w:pStyle w:val="Standard"/>
      </w:pPr>
    </w:p>
    <w:p w14:paraId="46A747C2" w14:textId="5D14A7B5" w:rsidR="00813D3E" w:rsidRDefault="001C3459" w:rsidP="00CA3233">
      <w:pPr>
        <w:pStyle w:val="Titre2"/>
      </w:pPr>
      <w:bookmarkStart w:id="28" w:name="_Toc200698794"/>
      <w:r>
        <w:t>Candidature avec les formulaires DC1 et DC2</w:t>
      </w:r>
      <w:bookmarkEnd w:id="28"/>
    </w:p>
    <w:p w14:paraId="1A78A82F" w14:textId="77777777" w:rsidR="00813D3E" w:rsidRDefault="00813D3E" w:rsidP="000F1D74">
      <w:pPr>
        <w:pStyle w:val="Standard"/>
      </w:pPr>
    </w:p>
    <w:p w14:paraId="21D8CA39" w14:textId="77777777" w:rsidR="00813D3E" w:rsidRDefault="001C3459" w:rsidP="000F1D74">
      <w:pPr>
        <w:pStyle w:val="Standard"/>
      </w:pPr>
      <w:r>
        <w:t>Les candidats transmettent les renseignements suivants des formulaires DC1 et DC2.</w:t>
      </w:r>
    </w:p>
    <w:p w14:paraId="14D2BA8F" w14:textId="77777777" w:rsidR="00813D3E" w:rsidRDefault="00813D3E" w:rsidP="000F1D74">
      <w:pPr>
        <w:pStyle w:val="Standard"/>
      </w:pPr>
    </w:p>
    <w:p w14:paraId="734BCF38" w14:textId="77777777" w:rsidR="00813D3E" w:rsidRDefault="001C3459" w:rsidP="000F1D74">
      <w:pPr>
        <w:pStyle w:val="Standard"/>
      </w:pPr>
      <w:r>
        <w:t>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w:t>
      </w:r>
    </w:p>
    <w:p w14:paraId="3E599E4A" w14:textId="77777777" w:rsidR="00813D3E" w:rsidRDefault="00813D3E" w:rsidP="000F1D74">
      <w:pPr>
        <w:pStyle w:val="Standard"/>
      </w:pPr>
    </w:p>
    <w:p w14:paraId="0F1A5BF8" w14:textId="77777777" w:rsidR="00813D3E" w:rsidRDefault="001C3459" w:rsidP="000F1D74">
      <w:pPr>
        <w:pStyle w:val="Standard"/>
      </w:pPr>
      <w:r>
        <w:t xml:space="preserve">Déclaration du candidat ou formulaire DC2 téléchargeable à partir du lien </w:t>
      </w:r>
      <w:hyperlink r:id="rId22" w:history="1">
        <w:r>
          <w:rPr>
            <w:rStyle w:val="Lienhypertexte"/>
          </w:rPr>
          <w:t>https://www.economie.gouv.fr/daj/formulaires-declaration-du-candidat</w:t>
        </w:r>
      </w:hyperlink>
      <w:r>
        <w:t xml:space="preserve"> ou équivalent, dûment rempli et </w:t>
      </w:r>
      <w:proofErr w:type="gramStart"/>
      <w:r>
        <w:t>daté;</w:t>
      </w:r>
      <w:proofErr w:type="gramEnd"/>
      <w:r>
        <w:t xml:space="preserve"> en cas de candidature groupée, le DC2 est rempli par chaque membre du groupement.</w:t>
      </w:r>
    </w:p>
    <w:p w14:paraId="0146FFD5" w14:textId="77777777" w:rsidR="00813D3E" w:rsidRDefault="00813D3E" w:rsidP="000F1D74">
      <w:pPr>
        <w:pStyle w:val="Standard"/>
      </w:pPr>
    </w:p>
    <w:p w14:paraId="3019C22A" w14:textId="466F0DB5" w:rsidR="00813D3E" w:rsidRDefault="001C3459" w:rsidP="000F1D74">
      <w:pPr>
        <w:pStyle w:val="Titre2"/>
      </w:pPr>
      <w:bookmarkStart w:id="29" w:name="_Toc200698795"/>
      <w:r>
        <w:t>Examen des candidatures</w:t>
      </w:r>
      <w:bookmarkEnd w:id="29"/>
    </w:p>
    <w:p w14:paraId="673AA012" w14:textId="77777777" w:rsidR="00813D3E" w:rsidRDefault="00813D3E" w:rsidP="000F1D74">
      <w:pPr>
        <w:pStyle w:val="Standard"/>
      </w:pPr>
    </w:p>
    <w:p w14:paraId="4F1BB212" w14:textId="77777777" w:rsidR="00813D3E" w:rsidRDefault="001C3459" w:rsidP="000F1D74">
      <w:pPr>
        <w:pStyle w:val="Standard"/>
      </w:pPr>
      <w:r>
        <w:t>En application des dispositions de l’article R.2161-4 du code de la commande publique, le maître d’ouvrage décide d’examiner les offres avant les candidatures.</w:t>
      </w:r>
    </w:p>
    <w:p w14:paraId="748B4D14" w14:textId="77777777" w:rsidR="00813D3E" w:rsidRDefault="001C3459" w:rsidP="000F1D74">
      <w:pPr>
        <w:pStyle w:val="Standard"/>
      </w:pPr>
      <w:r>
        <w:t>Si le maître d’ouvrage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1F18F1BA" w14:textId="77777777" w:rsidR="00813D3E" w:rsidRDefault="001C3459" w:rsidP="000F1D74">
      <w:pPr>
        <w:pStyle w:val="Standard"/>
      </w:pPr>
      <w:r>
        <w:t>Ce délai est précisé avec la demande de complément.</w:t>
      </w:r>
    </w:p>
    <w:p w14:paraId="1AFE30FC" w14:textId="77777777" w:rsidR="00813D3E" w:rsidRDefault="001C3459" w:rsidP="000F1D74">
      <w:pPr>
        <w:pStyle w:val="Standard"/>
      </w:pPr>
      <w:r>
        <w:t>Les candidatures incomplètes ou demeurées incomplètes à la suite d’une demande de compléments sont éliminées.</w:t>
      </w:r>
    </w:p>
    <w:p w14:paraId="24A9E0CE" w14:textId="77777777" w:rsidR="00813D3E" w:rsidRDefault="00813D3E" w:rsidP="000F1D74">
      <w:pPr>
        <w:pStyle w:val="Standard"/>
      </w:pPr>
    </w:p>
    <w:p w14:paraId="24220D96" w14:textId="77777777" w:rsidR="00813D3E" w:rsidRDefault="001C3459" w:rsidP="000F1D74">
      <w:pPr>
        <w:pStyle w:val="Standard"/>
      </w:pPr>
      <w:r>
        <w:t>Conformément à l’article R.2161-4 du code de la commande publique, seule la candidature de l’attributaire pressenti du marché public fera l’objet d’une analyse détaillée selon les critères suivants :</w:t>
      </w:r>
    </w:p>
    <w:p w14:paraId="497009A9" w14:textId="77777777" w:rsidR="00813D3E" w:rsidRDefault="001C3459" w:rsidP="000F1D74">
      <w:pPr>
        <w:pStyle w:val="Standard"/>
      </w:pPr>
      <w:r>
        <w:t>• capacités professionnelles à réaliser les prestations (références et certificats de qualification indiqués ci-dessous) ;</w:t>
      </w:r>
    </w:p>
    <w:p w14:paraId="6A2F6DE3" w14:textId="77777777" w:rsidR="00813D3E" w:rsidRDefault="001C3459" w:rsidP="000F1D74">
      <w:pPr>
        <w:pStyle w:val="Standard"/>
      </w:pPr>
      <w:r>
        <w:t>• capacités techniques à réaliser les prestations (moyens humains) ;</w:t>
      </w:r>
    </w:p>
    <w:p w14:paraId="389780F8" w14:textId="77777777" w:rsidR="00813D3E" w:rsidRDefault="001C3459" w:rsidP="000F1D74">
      <w:pPr>
        <w:pStyle w:val="Standard"/>
      </w:pPr>
      <w:r>
        <w:t>• capacités financières à réaliser les prestations (chiffre d’affaires).</w:t>
      </w:r>
    </w:p>
    <w:p w14:paraId="273B8C54" w14:textId="77777777" w:rsidR="00813D3E" w:rsidRDefault="001C3459" w:rsidP="000F1D74">
      <w:pPr>
        <w:pStyle w:val="Titre3"/>
      </w:pPr>
      <w:r>
        <w:t>Vérification des conditions de participation : liste des documents justificatifs</w:t>
      </w:r>
    </w:p>
    <w:p w14:paraId="32832B03" w14:textId="77777777" w:rsidR="00813D3E" w:rsidRDefault="00813D3E" w:rsidP="000F1D74">
      <w:pPr>
        <w:pStyle w:val="Standard"/>
      </w:pPr>
    </w:p>
    <w:p w14:paraId="6D15EA47" w14:textId="77777777" w:rsidR="00813D3E" w:rsidRDefault="001C3459" w:rsidP="000F1D74">
      <w:pPr>
        <w:pStyle w:val="Standard"/>
      </w:pPr>
      <w:r>
        <w:t>Les documents justificatifs concernant les aptitudes et capacités sont :</w:t>
      </w:r>
    </w:p>
    <w:p w14:paraId="7CC99DF9" w14:textId="77777777" w:rsidR="00813D3E" w:rsidRDefault="00813D3E" w:rsidP="000F1D74">
      <w:pPr>
        <w:pStyle w:val="Standard"/>
      </w:pPr>
    </w:p>
    <w:p w14:paraId="5DBE6725" w14:textId="77777777" w:rsidR="00813D3E" w:rsidRDefault="001C3459" w:rsidP="000F1D74">
      <w:pPr>
        <w:pStyle w:val="Standard"/>
        <w:numPr>
          <w:ilvl w:val="0"/>
          <w:numId w:val="20"/>
        </w:numPr>
      </w:pPr>
      <w:r>
        <w:t>La lettre de candidature et de désignation du mandataire par ses cotraitants (exemple formulaire DC1 modèle joint) obligatoire en cas de groupement ;</w:t>
      </w:r>
    </w:p>
    <w:p w14:paraId="6C87E2DC" w14:textId="77777777" w:rsidR="00813D3E" w:rsidRDefault="001C3459" w:rsidP="000F1D74">
      <w:pPr>
        <w:pStyle w:val="Standard"/>
        <w:numPr>
          <w:ilvl w:val="0"/>
          <w:numId w:val="20"/>
        </w:numPr>
      </w:pPr>
      <w:r>
        <w:t>Une déclaration sur l’honneur pour justifier que le candidat n’entre dans aucun des cas mentionnés à l’article R2143-3 du code de la commande publique et qu’il est en règle au regard des articles L.5212-1 à L.5212-11 du code du travail concernant l’emploi des travailleurs handicapés (modèle joint) ;</w:t>
      </w:r>
    </w:p>
    <w:p w14:paraId="34170BC2" w14:textId="77777777" w:rsidR="00813D3E" w:rsidRDefault="001C3459" w:rsidP="000F1D74">
      <w:pPr>
        <w:pStyle w:val="Standard"/>
        <w:numPr>
          <w:ilvl w:val="0"/>
          <w:numId w:val="20"/>
        </w:numPr>
      </w:pPr>
      <w:r>
        <w:t>Une déclaration concernant le chiffre d’affaires global réalisé au cours de la dernière année d’exercice exemple : DC2 modèle joint ;</w:t>
      </w:r>
    </w:p>
    <w:p w14:paraId="732AD270" w14:textId="05CA3AE6" w:rsidR="00813D3E" w:rsidRDefault="001C3459" w:rsidP="000F1D74">
      <w:pPr>
        <w:pStyle w:val="Standard"/>
        <w:numPr>
          <w:ilvl w:val="0"/>
          <w:numId w:val="20"/>
        </w:numPr>
      </w:pPr>
      <w:r>
        <w:t>La liste des princip</w:t>
      </w:r>
      <w:r w:rsidR="006C0846">
        <w:t>aux travaux</w:t>
      </w:r>
      <w:r>
        <w:t xml:space="preserve"> – références – de même nature effectuées au cours des trois </w:t>
      </w:r>
      <w:r>
        <w:lastRenderedPageBreak/>
        <w:t>dernières années, indiquant le montant, la date et le destinataire public ou privé (exemple : DC2 modèle joint) Cette liste peut être complétée par des références datant de plus de 3 ans si elles sont pertinentes par rapport à l'objet du marché ;</w:t>
      </w:r>
    </w:p>
    <w:p w14:paraId="4CD7FF09" w14:textId="77777777" w:rsidR="00813D3E" w:rsidRDefault="001C3459" w:rsidP="000F1D74">
      <w:pPr>
        <w:pStyle w:val="Standard"/>
        <w:numPr>
          <w:ilvl w:val="0"/>
          <w:numId w:val="20"/>
        </w:numPr>
      </w:pPr>
      <w:r>
        <w:t xml:space="preserve">Une déclaration indiquant les effectifs moyens annuels du candidat pour la dernière année d’exercice (exemple : DC2 modèle joint) ; </w:t>
      </w:r>
    </w:p>
    <w:p w14:paraId="16ABD89C" w14:textId="65D9BFFC" w:rsidR="00813D3E" w:rsidRPr="001B22A0" w:rsidRDefault="001C3459" w:rsidP="000F1D74">
      <w:pPr>
        <w:pStyle w:val="Standard"/>
        <w:numPr>
          <w:ilvl w:val="0"/>
          <w:numId w:val="20"/>
        </w:numPr>
      </w:pPr>
      <w:r w:rsidRPr="001B22A0">
        <w:t>Les certificats de qualification professionnelle suivants ou équivalents :</w:t>
      </w:r>
      <w:r w:rsidR="001B22A0" w:rsidRPr="001B22A0">
        <w:t xml:space="preserve"> </w:t>
      </w:r>
      <w:r w:rsidRPr="001B22A0">
        <w:t>Qualification 4532 : Fabrication et pose de stores intérieurs (vénitiens, à enroulement, à bandes verticales, plissés) et de stores extérieurs (bannes, à projection, verticaux, pergola, corbeille, moustiquaire, brise-soleils) à partir d'éléments de bois, de métal, de plastique et de textile, ou autres matières y compris motorisation et automatisation à destination des secteurs Collectif, Résidentiel, Tertiaire et industriel. Mention "RGE" possible</w:t>
      </w:r>
    </w:p>
    <w:p w14:paraId="59A1881A" w14:textId="77777777" w:rsidR="00813D3E" w:rsidRDefault="00813D3E" w:rsidP="000F1D74">
      <w:pPr>
        <w:pStyle w:val="Standard"/>
      </w:pPr>
    </w:p>
    <w:p w14:paraId="24EF2676" w14:textId="77777777" w:rsidR="00813D3E" w:rsidRDefault="001C3459" w:rsidP="000F1D74">
      <w:pPr>
        <w:pStyle w:val="Standard"/>
      </w:pPr>
      <w:r>
        <w:t>Attention : Concernant la production de certificats de qualification professionnelle, il est rappelé aux candidats que la preuve de leur capacité peut être apportée par tout moyen, notamment par des certificats d’identité professionnelle ou des références de prestations de travaux attestant de la compétence du candidat à réaliser la prestation.</w:t>
      </w:r>
    </w:p>
    <w:p w14:paraId="05A34E9E" w14:textId="77777777" w:rsidR="00813D3E" w:rsidRDefault="001C3459" w:rsidP="000F1D74">
      <w:pPr>
        <w:pStyle w:val="Standard"/>
      </w:pPr>
      <w:r>
        <w:t>Si, pour une raison justifiée, le candidat n’est pas en mesure de produire les renseignements et documents demandés par l’acheteur, il est autorisé à prouver sa capacité économique et financière ou professionnelle par tout autre moyen considère comme approprié par l'acheteur</w:t>
      </w:r>
    </w:p>
    <w:p w14:paraId="650BBD64" w14:textId="77777777" w:rsidR="00813D3E" w:rsidRDefault="001C3459" w:rsidP="000F1D74">
      <w:pPr>
        <w:pStyle w:val="Titre3"/>
      </w:pPr>
      <w:r>
        <w:t>Vérification des motifs d'exclusion</w:t>
      </w:r>
    </w:p>
    <w:p w14:paraId="0E6D95CD" w14:textId="77777777" w:rsidR="00813D3E" w:rsidRDefault="00813D3E" w:rsidP="000F1D74">
      <w:pPr>
        <w:pStyle w:val="Standard"/>
      </w:pPr>
    </w:p>
    <w:p w14:paraId="1D187F3D" w14:textId="77777777" w:rsidR="00813D3E" w:rsidRDefault="001C3459" w:rsidP="000F1D74">
      <w:pPr>
        <w:pStyle w:val="Standard"/>
      </w:pPr>
      <w:r>
        <w:t>En application des dispositions de R.2144-4 du code de la commande publique, le maître d'ouvrage n'exige que du seul soumissionnaire auquel il est envisagé d'attribuer le marché public qu'il justifie ne pas se trouver dans un des cas des motifs d'exclusion.</w:t>
      </w:r>
    </w:p>
    <w:p w14:paraId="4FD60F9D" w14:textId="77777777" w:rsidR="00813D3E" w:rsidRDefault="00813D3E" w:rsidP="000F1D74">
      <w:pPr>
        <w:pStyle w:val="Standard"/>
      </w:pPr>
    </w:p>
    <w:p w14:paraId="6221ECAC" w14:textId="249EEA3E" w:rsidR="00813D3E" w:rsidRDefault="001C3459" w:rsidP="000F1D74">
      <w:pPr>
        <w:pStyle w:val="Titre1"/>
      </w:pPr>
      <w:bookmarkStart w:id="30" w:name="_Toc200698796"/>
      <w:r>
        <w:t>OFFRE</w:t>
      </w:r>
      <w:bookmarkEnd w:id="30"/>
    </w:p>
    <w:p w14:paraId="4A817F3D" w14:textId="6033344D" w:rsidR="00813D3E" w:rsidRDefault="001C3459" w:rsidP="000F1D74">
      <w:pPr>
        <w:pStyle w:val="Titre2"/>
      </w:pPr>
      <w:bookmarkStart w:id="31" w:name="_Toc200698797"/>
      <w:r>
        <w:t>Présentation de l'offre</w:t>
      </w:r>
      <w:bookmarkEnd w:id="31"/>
    </w:p>
    <w:p w14:paraId="64FB318E" w14:textId="77777777" w:rsidR="00813D3E" w:rsidRDefault="00813D3E" w:rsidP="000F1D74">
      <w:pPr>
        <w:pStyle w:val="Standard"/>
      </w:pPr>
    </w:p>
    <w:p w14:paraId="13A91218" w14:textId="77777777" w:rsidR="00813D3E" w:rsidRDefault="001C3459" w:rsidP="000F1D74">
      <w:pPr>
        <w:pStyle w:val="Standard"/>
      </w:pPr>
      <w:r>
        <w:t>L’offre du candidat comporte les pièces suivantes :</w:t>
      </w:r>
    </w:p>
    <w:p w14:paraId="5827DFB6" w14:textId="77777777" w:rsidR="00813D3E" w:rsidRDefault="001C3459" w:rsidP="000F1D74">
      <w:pPr>
        <w:pStyle w:val="Standard"/>
      </w:pPr>
      <w:r>
        <w:t>- l’acte d’engagement dûment complété ;</w:t>
      </w:r>
    </w:p>
    <w:p w14:paraId="0CBE1D6A" w14:textId="17B9A0C4" w:rsidR="00813D3E" w:rsidRDefault="001C3459" w:rsidP="000F1D74">
      <w:pPr>
        <w:pStyle w:val="Standard"/>
      </w:pPr>
      <w:r>
        <w:t xml:space="preserve">- le cadre de réponse technique (Annexe </w:t>
      </w:r>
      <w:r w:rsidR="006C0846">
        <w:t>3</w:t>
      </w:r>
      <w:r>
        <w:t>) complété par le candidat et répondant au cahier des clauses administratives particulières et au cahier des clauses techniques particulières, incluant notamment : une description technique détaillée des solutions proposées ;</w:t>
      </w:r>
    </w:p>
    <w:p w14:paraId="747B2C3E" w14:textId="77777777" w:rsidR="00813D3E" w:rsidRDefault="001C3459" w:rsidP="000F1D74">
      <w:pPr>
        <w:pStyle w:val="Standard"/>
      </w:pPr>
      <w:r>
        <w:t>- le bordereau de prix (BPU) dûment complété ;</w:t>
      </w:r>
    </w:p>
    <w:p w14:paraId="345D4454" w14:textId="77777777" w:rsidR="00813D3E" w:rsidRDefault="001C3459" w:rsidP="000F1D74">
      <w:pPr>
        <w:pStyle w:val="Standard"/>
      </w:pPr>
      <w:r>
        <w:t>- le détail quantitatif et estimatif (DQE) dûment complété ;</w:t>
      </w:r>
    </w:p>
    <w:p w14:paraId="79132374" w14:textId="77777777" w:rsidR="00813D3E" w:rsidRDefault="001C3459" w:rsidP="000F1D74">
      <w:pPr>
        <w:pStyle w:val="Standard"/>
      </w:pPr>
      <w:r>
        <w:t>-le cas échéant, la demande d’acceptation des sous-traitants et d’agrément de leurs conditions de paiement ; la part des prestations que le soumissionnaire a l’intention de sous-traiter,</w:t>
      </w:r>
    </w:p>
    <w:p w14:paraId="6E440A48" w14:textId="77777777" w:rsidR="00813D3E" w:rsidRDefault="001C3459" w:rsidP="000F1D74">
      <w:pPr>
        <w:pStyle w:val="Standard"/>
      </w:pPr>
      <w:r>
        <w:t>- l'annexe 1 « FICHE ENTREPRISE – Proposition d’un parcours pour un jeune en situation de décrochage scolaire » où sont présentées les missions pouvant être confiées au bénéficiaire de la clause.</w:t>
      </w:r>
    </w:p>
    <w:p w14:paraId="434B50C9" w14:textId="77777777" w:rsidR="00813D3E" w:rsidRDefault="001C3459" w:rsidP="000F1D74">
      <w:pPr>
        <w:pStyle w:val="Standard"/>
      </w:pPr>
      <w:r>
        <w:t>- l’attestation de visite obligatoire, signée par un représentant du maître d’ouvrage.</w:t>
      </w:r>
    </w:p>
    <w:p w14:paraId="48697BCD" w14:textId="4D6FF95E" w:rsidR="006C0846" w:rsidRDefault="006C0846" w:rsidP="000F1D74">
      <w:pPr>
        <w:pStyle w:val="Standard"/>
      </w:pPr>
      <w:r>
        <w:t>-Le RIB.</w:t>
      </w:r>
    </w:p>
    <w:p w14:paraId="3B6706C3" w14:textId="77777777" w:rsidR="00813D3E" w:rsidRDefault="00813D3E" w:rsidP="000F1D74">
      <w:pPr>
        <w:pStyle w:val="Standard"/>
      </w:pPr>
    </w:p>
    <w:p w14:paraId="7A7B3536" w14:textId="7FC67247" w:rsidR="00813D3E" w:rsidRDefault="001C3459" w:rsidP="000F1D74">
      <w:pPr>
        <w:pStyle w:val="Titre2"/>
      </w:pPr>
      <w:bookmarkStart w:id="32" w:name="_Toc200698798"/>
      <w:r>
        <w:t>Examen des offres</w:t>
      </w:r>
      <w:bookmarkEnd w:id="32"/>
    </w:p>
    <w:p w14:paraId="63B558AB" w14:textId="77777777" w:rsidR="00813D3E" w:rsidRDefault="00813D3E" w:rsidP="000F1D74">
      <w:pPr>
        <w:pStyle w:val="Standard"/>
      </w:pPr>
    </w:p>
    <w:p w14:paraId="3F17824B" w14:textId="77777777" w:rsidR="00813D3E" w:rsidRDefault="001C3459" w:rsidP="000F1D74">
      <w:pPr>
        <w:pStyle w:val="Standard"/>
      </w:pPr>
      <w:r>
        <w:t>Les offres inappropriées, irrégulières ou inacceptables, sont éliminées.</w:t>
      </w:r>
    </w:p>
    <w:p w14:paraId="03EE5FDA" w14:textId="76B29B5D" w:rsidR="00813D3E" w:rsidRDefault="001C3459" w:rsidP="000F1D74">
      <w:pPr>
        <w:pStyle w:val="Standard"/>
      </w:pPr>
      <w:r>
        <w:t>Toutefois, le maître d'ouvrage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6ADFD12F" w14:textId="78923104" w:rsidR="00813D3E" w:rsidRDefault="001C3459" w:rsidP="000F1D74">
      <w:pPr>
        <w:pStyle w:val="Titre2"/>
      </w:pPr>
      <w:bookmarkStart w:id="33" w:name="_Toc200698799"/>
      <w:r>
        <w:lastRenderedPageBreak/>
        <w:t>Critères d'attribution</w:t>
      </w:r>
      <w:bookmarkEnd w:id="33"/>
    </w:p>
    <w:p w14:paraId="2768F19C" w14:textId="77777777" w:rsidR="00813D3E" w:rsidRDefault="00813D3E" w:rsidP="000F1D74">
      <w:pPr>
        <w:pStyle w:val="Standard"/>
      </w:pPr>
    </w:p>
    <w:p w14:paraId="0009B921" w14:textId="77777777" w:rsidR="00813D3E" w:rsidRDefault="001C3459" w:rsidP="000F1D74">
      <w:pPr>
        <w:pStyle w:val="Standard"/>
      </w:pPr>
      <w:r>
        <w:t>Les critères d'attribution sont listés dans le tableau suivant :</w:t>
      </w:r>
    </w:p>
    <w:p w14:paraId="100FD718" w14:textId="77777777" w:rsidR="00813D3E" w:rsidRDefault="00813D3E" w:rsidP="000F1D74">
      <w:pPr>
        <w:pStyle w:val="Standard"/>
      </w:pPr>
    </w:p>
    <w:tbl>
      <w:tblPr>
        <w:tblW w:w="9638" w:type="dxa"/>
        <w:tblLayout w:type="fixed"/>
        <w:tblCellMar>
          <w:left w:w="10" w:type="dxa"/>
          <w:right w:w="10" w:type="dxa"/>
        </w:tblCellMar>
        <w:tblLook w:val="04A0" w:firstRow="1" w:lastRow="0" w:firstColumn="1" w:lastColumn="0" w:noHBand="0" w:noVBand="1"/>
      </w:tblPr>
      <w:tblGrid>
        <w:gridCol w:w="7227"/>
        <w:gridCol w:w="2411"/>
      </w:tblGrid>
      <w:tr w:rsidR="00813D3E" w14:paraId="1AE03F37" w14:textId="77777777" w:rsidTr="00B1030D">
        <w:tc>
          <w:tcPr>
            <w:tcW w:w="7227" w:type="dxa"/>
            <w:tcBorders>
              <w:top w:val="single" w:sz="2" w:space="0" w:color="000000"/>
              <w:left w:val="single" w:sz="2" w:space="0" w:color="000000"/>
              <w:bottom w:val="single" w:sz="2" w:space="0" w:color="000000"/>
            </w:tcBorders>
            <w:shd w:val="clear" w:color="auto" w:fill="C0C0C0"/>
            <w:tcMar>
              <w:top w:w="55" w:type="dxa"/>
              <w:left w:w="55" w:type="dxa"/>
              <w:bottom w:w="55" w:type="dxa"/>
              <w:right w:w="55" w:type="dxa"/>
            </w:tcMar>
          </w:tcPr>
          <w:p w14:paraId="4ABB7EB9" w14:textId="77777777" w:rsidR="00813D3E" w:rsidRDefault="001C3459">
            <w:pPr>
              <w:widowControl/>
              <w:suppressLineNumbers/>
              <w:spacing w:before="120" w:after="120"/>
              <w:jc w:val="center"/>
              <w:textAlignment w:val="center"/>
              <w:rPr>
                <w:rFonts w:ascii="Arial" w:eastAsia="Arial" w:hAnsi="Arial" w:cs="Arial"/>
                <w:b/>
                <w:bCs/>
                <w:iCs/>
                <w:sz w:val="20"/>
                <w:szCs w:val="20"/>
                <w:lang w:eastAsia="zh-CN" w:bidi="hi-IN"/>
              </w:rPr>
            </w:pPr>
            <w:r>
              <w:rPr>
                <w:rFonts w:ascii="Arial" w:eastAsia="Arial" w:hAnsi="Arial" w:cs="Arial"/>
                <w:b/>
                <w:bCs/>
                <w:iCs/>
                <w:sz w:val="20"/>
                <w:szCs w:val="20"/>
                <w:lang w:eastAsia="zh-CN" w:bidi="hi-IN"/>
              </w:rPr>
              <w:t>Critères</w:t>
            </w:r>
          </w:p>
        </w:tc>
        <w:tc>
          <w:tcPr>
            <w:tcW w:w="2411" w:type="dxa"/>
            <w:tcBorders>
              <w:top w:val="single" w:sz="2" w:space="0" w:color="000000"/>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14:paraId="15F95FE3" w14:textId="77777777" w:rsidR="00813D3E" w:rsidRDefault="001C3459">
            <w:pPr>
              <w:widowControl/>
              <w:suppressLineNumbers/>
              <w:spacing w:before="120" w:after="120"/>
              <w:jc w:val="center"/>
              <w:textAlignment w:val="center"/>
              <w:rPr>
                <w:rFonts w:ascii="Arial" w:eastAsia="Arial" w:hAnsi="Arial" w:cs="Arial"/>
                <w:b/>
                <w:bCs/>
                <w:iCs/>
                <w:sz w:val="20"/>
                <w:szCs w:val="20"/>
                <w:lang w:eastAsia="zh-CN" w:bidi="hi-IN"/>
              </w:rPr>
            </w:pPr>
            <w:r>
              <w:rPr>
                <w:rFonts w:ascii="Arial" w:eastAsia="Arial" w:hAnsi="Arial" w:cs="Arial"/>
                <w:b/>
                <w:bCs/>
                <w:iCs/>
                <w:sz w:val="20"/>
                <w:szCs w:val="20"/>
                <w:lang w:eastAsia="zh-CN" w:bidi="hi-IN"/>
              </w:rPr>
              <w:t>Pondération</w:t>
            </w:r>
          </w:p>
        </w:tc>
      </w:tr>
      <w:tr w:rsidR="00813D3E" w14:paraId="273B85DE" w14:textId="77777777" w:rsidTr="00B1030D">
        <w:tc>
          <w:tcPr>
            <w:tcW w:w="7227" w:type="dxa"/>
            <w:tcBorders>
              <w:left w:val="single" w:sz="2" w:space="0" w:color="000000"/>
              <w:bottom w:val="single" w:sz="4" w:space="0" w:color="000000"/>
            </w:tcBorders>
            <w:shd w:val="clear" w:color="auto" w:fill="auto"/>
            <w:tcMar>
              <w:top w:w="55" w:type="dxa"/>
              <w:left w:w="55" w:type="dxa"/>
              <w:bottom w:w="55" w:type="dxa"/>
              <w:right w:w="55" w:type="dxa"/>
            </w:tcMar>
          </w:tcPr>
          <w:p w14:paraId="27E5D9DA" w14:textId="77777777" w:rsidR="00813D3E" w:rsidRPr="001B22A0" w:rsidRDefault="001C3459">
            <w:pPr>
              <w:widowControl/>
              <w:suppressLineNumbers/>
              <w:spacing w:before="120" w:after="120"/>
              <w:jc w:val="both"/>
              <w:textAlignment w:val="center"/>
              <w:rPr>
                <w:rFonts w:ascii="Arial" w:hAnsi="Arial"/>
                <w:bCs/>
                <w:iCs/>
                <w:sz w:val="20"/>
              </w:rPr>
            </w:pPr>
            <w:r w:rsidRPr="001B22A0">
              <w:rPr>
                <w:rFonts w:ascii="Arial" w:hAnsi="Arial"/>
                <w:bCs/>
                <w:iCs/>
                <w:sz w:val="20"/>
              </w:rPr>
              <w:t>Qualité de l'offre</w:t>
            </w:r>
          </w:p>
        </w:tc>
        <w:tc>
          <w:tcPr>
            <w:tcW w:w="2411" w:type="dxa"/>
            <w:tcBorders>
              <w:left w:val="single" w:sz="2" w:space="0" w:color="000000"/>
              <w:bottom w:val="single" w:sz="4" w:space="0" w:color="000000"/>
              <w:right w:val="single" w:sz="2" w:space="0" w:color="000000"/>
            </w:tcBorders>
            <w:shd w:val="clear" w:color="auto" w:fill="auto"/>
            <w:tcMar>
              <w:top w:w="55" w:type="dxa"/>
              <w:left w:w="55" w:type="dxa"/>
              <w:bottom w:w="55" w:type="dxa"/>
              <w:right w:w="55" w:type="dxa"/>
            </w:tcMar>
          </w:tcPr>
          <w:p w14:paraId="37E354DD" w14:textId="77777777" w:rsidR="00813D3E" w:rsidRPr="001B22A0" w:rsidRDefault="001C3459" w:rsidP="00B1030D">
            <w:pPr>
              <w:widowControl/>
              <w:suppressLineNumbers/>
              <w:spacing w:before="120" w:after="120"/>
              <w:jc w:val="center"/>
              <w:textAlignment w:val="center"/>
              <w:rPr>
                <w:rFonts w:ascii="Arial" w:hAnsi="Arial"/>
                <w:bCs/>
                <w:iCs/>
                <w:sz w:val="20"/>
              </w:rPr>
            </w:pPr>
            <w:r w:rsidRPr="001B22A0">
              <w:rPr>
                <w:rFonts w:ascii="Arial" w:hAnsi="Arial"/>
                <w:bCs/>
                <w:iCs/>
                <w:sz w:val="20"/>
              </w:rPr>
              <w:t>50%</w:t>
            </w:r>
          </w:p>
        </w:tc>
      </w:tr>
      <w:tr w:rsidR="00813D3E" w14:paraId="52A5BB73" w14:textId="77777777" w:rsidTr="00B1030D">
        <w:tc>
          <w:tcPr>
            <w:tcW w:w="72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82E2CC" w14:textId="77777777" w:rsidR="00813D3E" w:rsidRPr="001B22A0" w:rsidRDefault="001C3459">
            <w:pPr>
              <w:widowControl/>
              <w:suppressLineNumbers/>
              <w:spacing w:before="120" w:after="120"/>
              <w:jc w:val="both"/>
              <w:textAlignment w:val="center"/>
              <w:rPr>
                <w:rFonts w:ascii="Arial" w:hAnsi="Arial"/>
                <w:bCs/>
                <w:iCs/>
                <w:sz w:val="20"/>
              </w:rPr>
            </w:pPr>
            <w:r w:rsidRPr="001B22A0">
              <w:rPr>
                <w:rFonts w:ascii="Arial" w:hAnsi="Arial"/>
                <w:bCs/>
                <w:iCs/>
                <w:sz w:val="20"/>
              </w:rPr>
              <w:t>Prix de l'offre</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0435878" w14:textId="77777777" w:rsidR="00813D3E" w:rsidRPr="001B22A0" w:rsidRDefault="001C3459" w:rsidP="00B1030D">
            <w:pPr>
              <w:widowControl/>
              <w:suppressLineNumbers/>
              <w:spacing w:before="120" w:after="120"/>
              <w:jc w:val="center"/>
              <w:textAlignment w:val="center"/>
              <w:rPr>
                <w:rFonts w:ascii="Arial" w:hAnsi="Arial"/>
                <w:bCs/>
                <w:iCs/>
                <w:sz w:val="20"/>
              </w:rPr>
            </w:pPr>
            <w:r w:rsidRPr="001B22A0">
              <w:rPr>
                <w:rFonts w:ascii="Arial" w:hAnsi="Arial"/>
                <w:bCs/>
                <w:iCs/>
                <w:sz w:val="20"/>
              </w:rPr>
              <w:t>40%</w:t>
            </w:r>
          </w:p>
        </w:tc>
      </w:tr>
      <w:tr w:rsidR="00CA3233" w14:paraId="5635E9EB" w14:textId="77777777" w:rsidTr="00B1030D">
        <w:tc>
          <w:tcPr>
            <w:tcW w:w="72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AEFE56" w14:textId="0109B780" w:rsidR="00CA3233" w:rsidRPr="001B22A0" w:rsidRDefault="00CA3233" w:rsidP="00CA3233">
            <w:pPr>
              <w:widowControl/>
              <w:suppressLineNumbers/>
              <w:spacing w:before="120" w:after="120"/>
              <w:jc w:val="both"/>
              <w:textAlignment w:val="center"/>
              <w:rPr>
                <w:rFonts w:ascii="Arial" w:hAnsi="Arial"/>
                <w:bCs/>
                <w:iCs/>
                <w:sz w:val="20"/>
              </w:rPr>
            </w:pPr>
            <w:r w:rsidRPr="001B22A0">
              <w:rPr>
                <w:rFonts w:ascii="Arial" w:hAnsi="Arial"/>
                <w:bCs/>
                <w:iCs/>
                <w:sz w:val="20"/>
              </w:rPr>
              <w:t>Performances environnementales</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15FE08B" w14:textId="6CD1660A" w:rsidR="00CA3233" w:rsidRPr="001B22A0" w:rsidRDefault="00CA3233" w:rsidP="00CA3233">
            <w:pPr>
              <w:widowControl/>
              <w:suppressLineNumbers/>
              <w:spacing w:before="120" w:after="120"/>
              <w:jc w:val="center"/>
              <w:textAlignment w:val="center"/>
              <w:rPr>
                <w:rFonts w:ascii="Arial" w:hAnsi="Arial"/>
                <w:bCs/>
                <w:iCs/>
                <w:sz w:val="20"/>
              </w:rPr>
            </w:pPr>
            <w:r w:rsidRPr="001B22A0">
              <w:rPr>
                <w:rFonts w:ascii="Arial" w:hAnsi="Arial"/>
                <w:bCs/>
                <w:iCs/>
                <w:sz w:val="20"/>
              </w:rPr>
              <w:t>10%</w:t>
            </w:r>
          </w:p>
        </w:tc>
      </w:tr>
    </w:tbl>
    <w:p w14:paraId="3B150C09" w14:textId="77777777" w:rsidR="00813D3E" w:rsidRDefault="00813D3E" w:rsidP="000F1D74">
      <w:pPr>
        <w:pStyle w:val="Standard"/>
      </w:pPr>
    </w:p>
    <w:p w14:paraId="317B8645" w14:textId="77777777" w:rsidR="00813D3E" w:rsidRDefault="00813D3E" w:rsidP="000F1D74">
      <w:pPr>
        <w:pStyle w:val="Standard"/>
      </w:pPr>
    </w:p>
    <w:p w14:paraId="6ADAC61A" w14:textId="08CC17DB" w:rsidR="00813D3E" w:rsidRDefault="001C3459" w:rsidP="000F1D74">
      <w:pPr>
        <w:pStyle w:val="Titre2"/>
      </w:pPr>
      <w:bookmarkStart w:id="34" w:name="_Toc200698800"/>
      <w:r>
        <w:t>Méthode de notation des offres</w:t>
      </w:r>
      <w:bookmarkEnd w:id="34"/>
    </w:p>
    <w:p w14:paraId="65EEC6C2" w14:textId="77777777" w:rsidR="00813D3E" w:rsidRDefault="00813D3E" w:rsidP="000F1D74">
      <w:pPr>
        <w:pStyle w:val="Standard"/>
      </w:pPr>
    </w:p>
    <w:p w14:paraId="402802E3" w14:textId="77777777" w:rsidR="00813D3E" w:rsidRPr="001B22A0" w:rsidRDefault="001C3459" w:rsidP="0052066E">
      <w:pPr>
        <w:pStyle w:val="Paragraphedeliste"/>
        <w:widowControl/>
        <w:numPr>
          <w:ilvl w:val="0"/>
          <w:numId w:val="25"/>
        </w:numPr>
        <w:spacing w:before="57"/>
        <w:jc w:val="both"/>
        <w:textAlignment w:val="center"/>
        <w:rPr>
          <w:rFonts w:ascii="Arial" w:hAnsi="Arial"/>
          <w:b/>
          <w:iCs/>
          <w:sz w:val="20"/>
          <w:u w:val="single"/>
        </w:rPr>
      </w:pPr>
      <w:r w:rsidRPr="001B22A0">
        <w:rPr>
          <w:rFonts w:ascii="Arial" w:hAnsi="Arial"/>
          <w:b/>
          <w:iCs/>
          <w:sz w:val="20"/>
          <w:u w:val="single"/>
        </w:rPr>
        <w:t>Méthode de notation du critère de la qualité :</w:t>
      </w:r>
    </w:p>
    <w:p w14:paraId="5A0394DB" w14:textId="7B7C3A0E" w:rsidR="00813D3E" w:rsidRPr="00B1030D" w:rsidRDefault="00813D3E">
      <w:pPr>
        <w:widowControl/>
        <w:spacing w:before="57"/>
        <w:jc w:val="both"/>
        <w:textAlignment w:val="center"/>
        <w:rPr>
          <w:rFonts w:ascii="Arial" w:eastAsia="Arial" w:hAnsi="Arial" w:cs="Arial"/>
          <w:sz w:val="20"/>
          <w:szCs w:val="20"/>
          <w:highlight w:val="yellow"/>
        </w:rPr>
      </w:pPr>
    </w:p>
    <w:p w14:paraId="1A8BD9C8" w14:textId="718C1C1B" w:rsidR="003271A5" w:rsidRPr="001B22A0" w:rsidRDefault="003271A5" w:rsidP="003271A5">
      <w:pPr>
        <w:widowControl/>
        <w:spacing w:before="57"/>
        <w:jc w:val="both"/>
        <w:textAlignment w:val="center"/>
        <w:rPr>
          <w:rFonts w:ascii="Arial" w:hAnsi="Arial"/>
          <w:bCs/>
          <w:iCs/>
          <w:sz w:val="20"/>
        </w:rPr>
      </w:pPr>
      <w:r w:rsidRPr="001B22A0">
        <w:rPr>
          <w:rFonts w:ascii="Arial" w:hAnsi="Arial"/>
          <w:bCs/>
          <w:iCs/>
          <w:sz w:val="20"/>
        </w:rPr>
        <w:t xml:space="preserve">Le critère qualité de l'offre sera jugé sur la base de </w:t>
      </w:r>
      <w:r w:rsidR="00D75759" w:rsidRPr="001B22A0">
        <w:rPr>
          <w:rFonts w:ascii="Arial" w:hAnsi="Arial"/>
          <w:bCs/>
          <w:iCs/>
          <w:sz w:val="20"/>
        </w:rPr>
        <w:t>4</w:t>
      </w:r>
      <w:r w:rsidRPr="001B22A0">
        <w:rPr>
          <w:rFonts w:ascii="Arial" w:hAnsi="Arial"/>
          <w:bCs/>
          <w:iCs/>
          <w:sz w:val="20"/>
        </w:rPr>
        <w:t xml:space="preserve"> sous-critères :</w:t>
      </w:r>
    </w:p>
    <w:p w14:paraId="022E9717" w14:textId="77777777" w:rsidR="003271A5" w:rsidRPr="001B22A0" w:rsidRDefault="003271A5" w:rsidP="003271A5">
      <w:pPr>
        <w:widowControl/>
        <w:spacing w:before="57"/>
        <w:jc w:val="both"/>
        <w:textAlignment w:val="center"/>
        <w:rPr>
          <w:rFonts w:ascii="Arial" w:hAnsi="Arial"/>
          <w:bCs/>
          <w:iCs/>
          <w:sz w:val="20"/>
        </w:rPr>
      </w:pPr>
    </w:p>
    <w:p w14:paraId="31342AB8"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
          <w:iCs/>
          <w:kern w:val="3"/>
          <w:sz w:val="20"/>
          <w:szCs w:val="24"/>
          <w:u w:val="single"/>
          <w:lang w:val="fr-FR" w:eastAsia="ja-JP" w:bidi="fa-IR"/>
        </w:rPr>
        <w:t>SOUS CRITERE 1</w:t>
      </w:r>
      <w:r w:rsidRPr="00E374D6">
        <w:rPr>
          <w:rFonts w:ascii="Arial" w:eastAsia="Andale Sans UI" w:hAnsi="Arial" w:cs="Tahoma"/>
          <w:bCs/>
          <w:iCs/>
          <w:kern w:val="3"/>
          <w:sz w:val="20"/>
          <w:szCs w:val="24"/>
          <w:lang w:val="fr-FR" w:eastAsia="ja-JP" w:bidi="fa-IR"/>
        </w:rPr>
        <w:t xml:space="preserve"> – Qualité et quantité des moyens humains affectés à l'exécution des travaux Notée sur 10 et comptant pour 30 % de la note relative à la qualité de l’offre</w:t>
      </w:r>
    </w:p>
    <w:p w14:paraId="3957AD1C"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xml:space="preserve">- Présentation de l’équipe intervenante adaptée à la prestation, </w:t>
      </w:r>
    </w:p>
    <w:p w14:paraId="7398E3F6"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formations / qualifications (CV),</w:t>
      </w:r>
    </w:p>
    <w:p w14:paraId="4B6E3792" w14:textId="77777777" w:rsid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xml:space="preserve">- personnel d’encadrement </w:t>
      </w:r>
    </w:p>
    <w:p w14:paraId="3BE5201D"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p>
    <w:p w14:paraId="5E56C8C2"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
          <w:iCs/>
          <w:kern w:val="3"/>
          <w:sz w:val="20"/>
          <w:szCs w:val="24"/>
          <w:u w:val="single"/>
          <w:lang w:val="fr-FR" w:eastAsia="ja-JP" w:bidi="fa-IR"/>
        </w:rPr>
        <w:t>SOUS CRITERE – 2</w:t>
      </w:r>
      <w:r w:rsidRPr="00E374D6">
        <w:rPr>
          <w:rFonts w:ascii="Arial" w:eastAsia="Andale Sans UI" w:hAnsi="Arial" w:cs="Tahoma"/>
          <w:bCs/>
          <w:iCs/>
          <w:kern w:val="3"/>
          <w:sz w:val="20"/>
          <w:szCs w:val="24"/>
          <w:lang w:val="fr-FR" w:eastAsia="ja-JP" w:bidi="fa-IR"/>
        </w:rPr>
        <w:t xml:space="preserve"> - Qualité de préparation, d’organisation et de suivi prévu pour l’exécution des prestations en milieu occupé Notée sur 10 et comptant pour 30 % de la note relative à la qualité de l’offre</w:t>
      </w:r>
    </w:p>
    <w:p w14:paraId="4260A9D2"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La méthodologie et l’organisation détaillées retenues pour l’exécution des prestations en milieu occupé ;</w:t>
      </w:r>
    </w:p>
    <w:p w14:paraId="115FB3FC"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Mesures prévues pour assurer la sécurité / l’hygiène ;</w:t>
      </w:r>
    </w:p>
    <w:p w14:paraId="1F888418" w14:textId="77777777" w:rsid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Prévention et réduction des risques.</w:t>
      </w:r>
    </w:p>
    <w:p w14:paraId="2A83D371"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p>
    <w:p w14:paraId="53405360"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
          <w:iCs/>
          <w:kern w:val="3"/>
          <w:sz w:val="20"/>
          <w:szCs w:val="24"/>
          <w:u w:val="single"/>
          <w:lang w:val="fr-FR" w:eastAsia="ja-JP" w:bidi="fa-IR"/>
        </w:rPr>
        <w:t>SOUS CRITERE – 3</w:t>
      </w:r>
      <w:r w:rsidRPr="00E374D6">
        <w:rPr>
          <w:rFonts w:ascii="Arial" w:eastAsia="Andale Sans UI" w:hAnsi="Arial" w:cs="Tahoma"/>
          <w:bCs/>
          <w:iCs/>
          <w:kern w:val="3"/>
          <w:sz w:val="20"/>
          <w:szCs w:val="24"/>
          <w:lang w:val="fr-FR" w:eastAsia="ja-JP" w:bidi="fa-IR"/>
        </w:rPr>
        <w:t xml:space="preserve"> - Qualité des moyens matériels / matériaux – Notée sur 10 et comptant pour 30 % de la note relative à la qualité de l’offre</w:t>
      </w:r>
    </w:p>
    <w:p w14:paraId="65CB6EBA"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Fiches techniques des toiles, des mécanismes, de l’outillage et des engins…</w:t>
      </w:r>
    </w:p>
    <w:p w14:paraId="4863C224" w14:textId="77777777" w:rsid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Des matériels et de l’équipement affectés pour les travaux par phase de travaux y compris l’ensemble des EPI et EPC.</w:t>
      </w:r>
    </w:p>
    <w:p w14:paraId="7D77A35B"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p>
    <w:p w14:paraId="361BC07C" w14:textId="77777777" w:rsid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
          <w:iCs/>
          <w:kern w:val="3"/>
          <w:sz w:val="20"/>
          <w:szCs w:val="24"/>
          <w:u w:val="single"/>
          <w:lang w:val="fr-FR" w:eastAsia="ja-JP" w:bidi="fa-IR"/>
        </w:rPr>
        <w:t>SOUS CRITERE – 4</w:t>
      </w:r>
      <w:r w:rsidRPr="00E374D6">
        <w:rPr>
          <w:rFonts w:ascii="Arial" w:eastAsia="Andale Sans UI" w:hAnsi="Arial" w:cs="Tahoma"/>
          <w:bCs/>
          <w:iCs/>
          <w:kern w:val="3"/>
          <w:sz w:val="20"/>
          <w:szCs w:val="24"/>
          <w:lang w:val="fr-FR" w:eastAsia="ja-JP" w:bidi="fa-IR"/>
        </w:rPr>
        <w:t xml:space="preserve"> – Délais d’exécution – Notée sur 10 et comptant pour 10 % de la note relative à la qualité de l’offre</w:t>
      </w:r>
    </w:p>
    <w:p w14:paraId="61B433FB"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Délai de prise de côtes ;</w:t>
      </w:r>
    </w:p>
    <w:p w14:paraId="593B0357" w14:textId="77777777" w:rsidR="00E374D6" w:rsidRP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Délai d’approvisionnement du matériel ;</w:t>
      </w:r>
    </w:p>
    <w:p w14:paraId="018727B0" w14:textId="47FC14AB" w:rsidR="00E374D6" w:rsidRDefault="00E374D6" w:rsidP="00E374D6">
      <w:pPr>
        <w:pStyle w:val="Sansinterligne"/>
        <w:jc w:val="both"/>
        <w:rPr>
          <w:rFonts w:ascii="Arial" w:eastAsia="Andale Sans UI" w:hAnsi="Arial" w:cs="Tahoma"/>
          <w:bCs/>
          <w:iCs/>
          <w:kern w:val="3"/>
          <w:sz w:val="20"/>
          <w:szCs w:val="24"/>
          <w:lang w:val="fr-FR" w:eastAsia="ja-JP" w:bidi="fa-IR"/>
        </w:rPr>
      </w:pPr>
      <w:r w:rsidRPr="00E374D6">
        <w:rPr>
          <w:rFonts w:ascii="Arial" w:eastAsia="Andale Sans UI" w:hAnsi="Arial" w:cs="Tahoma"/>
          <w:bCs/>
          <w:iCs/>
          <w:kern w:val="3"/>
          <w:sz w:val="20"/>
          <w:szCs w:val="24"/>
          <w:lang w:val="fr-FR" w:eastAsia="ja-JP" w:bidi="fa-IR"/>
        </w:rPr>
        <w:t>- Délai d’intervention moyens à partir de la disponibilité du matériel.</w:t>
      </w:r>
    </w:p>
    <w:p w14:paraId="59EF2FD5" w14:textId="77777777" w:rsidR="00E374D6" w:rsidRPr="001B22A0" w:rsidRDefault="00E374D6" w:rsidP="00CA3233">
      <w:pPr>
        <w:pStyle w:val="Sansinterligne"/>
        <w:jc w:val="both"/>
        <w:rPr>
          <w:rFonts w:ascii="Arial" w:eastAsia="Andale Sans UI" w:hAnsi="Arial" w:cs="Tahoma"/>
          <w:bCs/>
          <w:iCs/>
          <w:kern w:val="3"/>
          <w:sz w:val="20"/>
          <w:szCs w:val="24"/>
          <w:lang w:val="fr-FR" w:eastAsia="ja-JP" w:bidi="fa-IR"/>
        </w:rPr>
      </w:pPr>
    </w:p>
    <w:p w14:paraId="450CC865" w14:textId="1ED97262" w:rsidR="00813D3E" w:rsidRPr="001B22A0" w:rsidRDefault="001C3459">
      <w:pPr>
        <w:keepLines/>
        <w:widowControl/>
        <w:spacing w:before="57"/>
        <w:jc w:val="both"/>
        <w:textAlignment w:val="center"/>
        <w:rPr>
          <w:rFonts w:ascii="Arial" w:hAnsi="Arial"/>
          <w:bCs/>
          <w:iCs/>
          <w:sz w:val="20"/>
        </w:rPr>
      </w:pPr>
      <w:r w:rsidRPr="001B22A0">
        <w:rPr>
          <w:rFonts w:ascii="Arial" w:hAnsi="Arial"/>
          <w:bCs/>
          <w:iCs/>
          <w:sz w:val="20"/>
        </w:rPr>
        <w:t>Chaque sous-critère sera noté sur 10,</w:t>
      </w:r>
      <w:r w:rsidR="00E374D6">
        <w:rPr>
          <w:rFonts w:ascii="Arial" w:hAnsi="Arial"/>
          <w:bCs/>
          <w:iCs/>
          <w:sz w:val="20"/>
        </w:rPr>
        <w:t xml:space="preserve"> </w:t>
      </w:r>
      <w:r w:rsidRPr="001B22A0">
        <w:rPr>
          <w:rFonts w:ascii="Arial" w:hAnsi="Arial"/>
          <w:bCs/>
          <w:iCs/>
          <w:sz w:val="20"/>
        </w:rPr>
        <w:t>la qualité technique de l’offre sera ramenée à une note globale sur 10 points, avec un coefficient de pondération de 50 % de la note finale.</w:t>
      </w:r>
    </w:p>
    <w:p w14:paraId="16CDE7FA" w14:textId="77777777" w:rsidR="001B22A0" w:rsidRDefault="001B22A0">
      <w:pPr>
        <w:keepLines/>
        <w:widowControl/>
        <w:spacing w:before="57"/>
        <w:jc w:val="both"/>
        <w:textAlignment w:val="center"/>
        <w:rPr>
          <w:rFonts w:ascii="Arial" w:hAnsi="Arial"/>
          <w:bCs/>
          <w:iCs/>
          <w:sz w:val="20"/>
        </w:rPr>
      </w:pPr>
    </w:p>
    <w:p w14:paraId="1670A236" w14:textId="3FFE3898" w:rsidR="00813D3E" w:rsidRPr="001B22A0" w:rsidRDefault="001C3459">
      <w:pPr>
        <w:keepLines/>
        <w:widowControl/>
        <w:spacing w:before="57"/>
        <w:jc w:val="both"/>
        <w:textAlignment w:val="center"/>
        <w:rPr>
          <w:rFonts w:ascii="Arial" w:hAnsi="Arial"/>
          <w:bCs/>
          <w:iCs/>
          <w:sz w:val="20"/>
        </w:rPr>
      </w:pPr>
      <w:r w:rsidRPr="001B22A0">
        <w:rPr>
          <w:rFonts w:ascii="Arial" w:hAnsi="Arial"/>
          <w:bCs/>
          <w:iCs/>
          <w:sz w:val="20"/>
        </w:rPr>
        <w:t>Le barème de notation est le suivant :</w:t>
      </w:r>
    </w:p>
    <w:p w14:paraId="7A0BAB15"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0 à 2 : Très insuffisant</w:t>
      </w:r>
    </w:p>
    <w:p w14:paraId="2CAF510C"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2,1 à 4 : Insuffisant</w:t>
      </w:r>
    </w:p>
    <w:p w14:paraId="5CC4FC1E"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4,1 à 6 : Moyen</w:t>
      </w:r>
    </w:p>
    <w:p w14:paraId="0C090509"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lastRenderedPageBreak/>
        <w:t>6,1 à 8 : Satisfaisant</w:t>
      </w:r>
    </w:p>
    <w:p w14:paraId="5112E098"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8,1 à 10 : Très satisfaisant</w:t>
      </w:r>
    </w:p>
    <w:p w14:paraId="5B7FCE91" w14:textId="77777777" w:rsidR="00CA3233" w:rsidRPr="001B22A0" w:rsidRDefault="00CA3233" w:rsidP="00CA3233">
      <w:pPr>
        <w:keepLines/>
        <w:widowControl/>
        <w:spacing w:before="57"/>
        <w:jc w:val="both"/>
        <w:textAlignment w:val="center"/>
        <w:rPr>
          <w:rFonts w:ascii="Arial" w:hAnsi="Arial"/>
          <w:bCs/>
          <w:iCs/>
          <w:sz w:val="20"/>
        </w:rPr>
      </w:pPr>
    </w:p>
    <w:p w14:paraId="51247F7E" w14:textId="77777777" w:rsidR="00CA3233" w:rsidRPr="001B22A0" w:rsidRDefault="00CA3233" w:rsidP="001B22A0">
      <w:pPr>
        <w:pStyle w:val="Paragraphedeliste"/>
        <w:widowControl/>
        <w:numPr>
          <w:ilvl w:val="0"/>
          <w:numId w:val="25"/>
        </w:numPr>
        <w:spacing w:before="57"/>
        <w:jc w:val="both"/>
        <w:textAlignment w:val="center"/>
        <w:rPr>
          <w:rFonts w:ascii="Arial" w:hAnsi="Arial"/>
          <w:b/>
          <w:iCs/>
          <w:sz w:val="20"/>
          <w:u w:val="single"/>
        </w:rPr>
      </w:pPr>
      <w:r w:rsidRPr="001B22A0">
        <w:rPr>
          <w:rFonts w:ascii="Arial" w:hAnsi="Arial"/>
          <w:b/>
          <w:iCs/>
          <w:sz w:val="20"/>
          <w:u w:val="single"/>
        </w:rPr>
        <w:t>Méthode de notation du critère prix :</w:t>
      </w:r>
    </w:p>
    <w:p w14:paraId="003BF76B" w14:textId="77777777" w:rsidR="00CA3233" w:rsidRPr="001B22A0" w:rsidRDefault="00CA3233" w:rsidP="001B22A0">
      <w:pPr>
        <w:pStyle w:val="Paragraphedeliste"/>
        <w:widowControl/>
        <w:spacing w:before="57"/>
        <w:jc w:val="both"/>
        <w:textAlignment w:val="center"/>
        <w:rPr>
          <w:rFonts w:ascii="Arial" w:hAnsi="Arial"/>
          <w:b/>
          <w:iCs/>
          <w:sz w:val="20"/>
          <w:u w:val="single"/>
        </w:rPr>
      </w:pPr>
    </w:p>
    <w:p w14:paraId="178F73E7" w14:textId="14CD00F2" w:rsidR="00CA3233" w:rsidRPr="001B22A0" w:rsidRDefault="00CA3233" w:rsidP="001B22A0">
      <w:pPr>
        <w:widowControl/>
        <w:spacing w:before="57"/>
        <w:jc w:val="both"/>
        <w:textAlignment w:val="center"/>
        <w:rPr>
          <w:rFonts w:ascii="Arial" w:hAnsi="Arial"/>
          <w:b/>
          <w:iCs/>
          <w:sz w:val="20"/>
        </w:rPr>
      </w:pPr>
      <w:r w:rsidRPr="001B22A0">
        <w:rPr>
          <w:rFonts w:ascii="Arial" w:hAnsi="Arial"/>
          <w:b/>
          <w:iCs/>
          <w:sz w:val="20"/>
        </w:rPr>
        <w:t>Le prix de l’offre</w:t>
      </w:r>
      <w:r w:rsidRPr="00475A89">
        <w:rPr>
          <w:rFonts w:ascii="Arial" w:hAnsi="Arial"/>
          <w:bCs/>
          <w:iCs/>
          <w:sz w:val="20"/>
        </w:rPr>
        <w:t>, jugé au regard du d</w:t>
      </w:r>
      <w:r w:rsidR="00E374D6">
        <w:rPr>
          <w:rFonts w:ascii="Arial" w:hAnsi="Arial"/>
          <w:bCs/>
          <w:iCs/>
          <w:sz w:val="20"/>
        </w:rPr>
        <w:t>étail</w:t>
      </w:r>
      <w:r w:rsidRPr="00475A89">
        <w:rPr>
          <w:rFonts w:ascii="Arial" w:hAnsi="Arial"/>
          <w:bCs/>
          <w:iCs/>
          <w:sz w:val="20"/>
        </w:rPr>
        <w:t xml:space="preserve"> quantitatif et estimatif, sera noté sur 10, avec un coefficient de pondération de 40 %.</w:t>
      </w:r>
    </w:p>
    <w:p w14:paraId="755E28F4" w14:textId="77777777" w:rsidR="00CA3233" w:rsidRDefault="00CA3233" w:rsidP="00CA3233">
      <w:pPr>
        <w:keepLines/>
        <w:widowControl/>
        <w:spacing w:before="57"/>
        <w:jc w:val="both"/>
        <w:textAlignment w:val="center"/>
        <w:rPr>
          <w:rFonts w:ascii="Arial" w:eastAsia="Arial" w:hAnsi="Arial" w:cs="Arial"/>
          <w:sz w:val="20"/>
          <w:szCs w:val="20"/>
          <w:shd w:val="clear" w:color="auto" w:fill="FFFF00"/>
        </w:rPr>
      </w:pPr>
    </w:p>
    <w:p w14:paraId="3855FE27" w14:textId="77777777" w:rsidR="00CA3233" w:rsidRPr="00475A89" w:rsidRDefault="00CA3233" w:rsidP="00CA3233">
      <w:pPr>
        <w:keepLines/>
        <w:widowControl/>
        <w:spacing w:before="57"/>
        <w:jc w:val="both"/>
        <w:textAlignment w:val="center"/>
        <w:rPr>
          <w:rFonts w:ascii="Arial" w:hAnsi="Arial"/>
          <w:bCs/>
          <w:iCs/>
          <w:sz w:val="20"/>
        </w:rPr>
      </w:pPr>
      <w:r w:rsidRPr="00475A89">
        <w:rPr>
          <w:rFonts w:ascii="Arial" w:hAnsi="Arial"/>
          <w:bCs/>
          <w:iCs/>
          <w:sz w:val="20"/>
        </w:rPr>
        <w:t>Dans le cas où des erreurs de multiplication, d’addition ou de report seraient constatées dans le détail quantitatif estimatif, le montant de ce prix sera rectifié pour le jugement de l’offre.</w:t>
      </w:r>
    </w:p>
    <w:p w14:paraId="5603DE3B" w14:textId="77777777" w:rsidR="00CA3233" w:rsidRPr="00475A89" w:rsidRDefault="00CA3233" w:rsidP="00CA3233">
      <w:pPr>
        <w:keepLines/>
        <w:widowControl/>
        <w:spacing w:before="57"/>
        <w:jc w:val="both"/>
        <w:textAlignment w:val="center"/>
        <w:rPr>
          <w:rFonts w:ascii="Arial" w:hAnsi="Arial"/>
          <w:bCs/>
          <w:iCs/>
          <w:sz w:val="20"/>
        </w:rPr>
      </w:pPr>
    </w:p>
    <w:p w14:paraId="6D7162E2" w14:textId="702AA830" w:rsidR="00CA3233" w:rsidRPr="00475A89" w:rsidRDefault="00CA3233" w:rsidP="00CA3233">
      <w:pPr>
        <w:keepLines/>
        <w:widowControl/>
        <w:spacing w:before="57"/>
        <w:jc w:val="both"/>
        <w:textAlignment w:val="center"/>
        <w:rPr>
          <w:rFonts w:ascii="Arial" w:hAnsi="Arial"/>
          <w:bCs/>
          <w:iCs/>
          <w:sz w:val="20"/>
        </w:rPr>
      </w:pPr>
      <w:r w:rsidRPr="00475A89">
        <w:rPr>
          <w:rFonts w:ascii="Arial" w:hAnsi="Arial"/>
          <w:b/>
          <w:iCs/>
          <w:sz w:val="20"/>
          <w:u w:val="single"/>
        </w:rPr>
        <w:t>NB</w:t>
      </w:r>
      <w:r w:rsidRPr="00475A89">
        <w:rPr>
          <w:rFonts w:ascii="Arial" w:hAnsi="Arial"/>
          <w:bCs/>
          <w:iCs/>
          <w:sz w:val="20"/>
        </w:rPr>
        <w:t> : Le détail quantitatif et estimatif qui reprend les prix des BPU et leur affectant des quantités estimées par la maîtrise d’ouvrage n’est pas un document contractuel (seul le BPU est contractuel) mais servira pour apprécier les propositions des candidats et donc juger leurs offres financières.</w:t>
      </w:r>
      <w:r w:rsidR="00475A89">
        <w:rPr>
          <w:rFonts w:ascii="Arial" w:hAnsi="Arial"/>
          <w:bCs/>
          <w:iCs/>
          <w:sz w:val="20"/>
        </w:rPr>
        <w:t>)</w:t>
      </w:r>
    </w:p>
    <w:p w14:paraId="5C3EF525" w14:textId="77777777" w:rsidR="00813D3E" w:rsidRPr="00475A89" w:rsidRDefault="00813D3E">
      <w:pPr>
        <w:keepLines/>
        <w:widowControl/>
        <w:spacing w:before="57"/>
        <w:ind w:left="706"/>
        <w:jc w:val="both"/>
        <w:textAlignment w:val="center"/>
        <w:rPr>
          <w:rFonts w:ascii="Arial" w:hAnsi="Arial"/>
          <w:bCs/>
          <w:iCs/>
          <w:sz w:val="20"/>
        </w:rPr>
      </w:pPr>
    </w:p>
    <w:p w14:paraId="764F62AE" w14:textId="5C54FFA7" w:rsidR="00813D3E" w:rsidRPr="00475A89" w:rsidRDefault="001C3459" w:rsidP="0052066E">
      <w:pPr>
        <w:pStyle w:val="Paragraphedeliste"/>
        <w:keepLines/>
        <w:widowControl/>
        <w:numPr>
          <w:ilvl w:val="0"/>
          <w:numId w:val="23"/>
        </w:numPr>
        <w:spacing w:before="57"/>
        <w:jc w:val="both"/>
        <w:textAlignment w:val="center"/>
        <w:rPr>
          <w:rFonts w:ascii="Arial" w:hAnsi="Arial"/>
          <w:bCs/>
          <w:iCs/>
          <w:sz w:val="20"/>
        </w:rPr>
      </w:pPr>
      <w:r w:rsidRPr="00475A89">
        <w:rPr>
          <w:rFonts w:ascii="Arial" w:hAnsi="Arial"/>
          <w:b/>
          <w:iCs/>
          <w:sz w:val="20"/>
          <w:u w:val="single"/>
        </w:rPr>
        <w:t>Méthode de notation du critère performances environnementales</w:t>
      </w:r>
      <w:r w:rsidRPr="00475A89">
        <w:rPr>
          <w:rFonts w:ascii="Arial" w:hAnsi="Arial"/>
          <w:bCs/>
          <w:iCs/>
          <w:sz w:val="20"/>
        </w:rPr>
        <w:t xml:space="preserve"> :</w:t>
      </w:r>
    </w:p>
    <w:p w14:paraId="3F3B40B0" w14:textId="77777777" w:rsidR="0052066E" w:rsidRPr="00475A89" w:rsidRDefault="0052066E">
      <w:pPr>
        <w:keepLines/>
        <w:widowControl/>
        <w:spacing w:before="57"/>
        <w:ind w:left="706"/>
        <w:textAlignment w:val="center"/>
        <w:rPr>
          <w:rFonts w:ascii="Arial" w:hAnsi="Arial"/>
          <w:bCs/>
          <w:iCs/>
          <w:sz w:val="20"/>
        </w:rPr>
      </w:pPr>
    </w:p>
    <w:p w14:paraId="43E083A8" w14:textId="77777777" w:rsidR="00CA3233" w:rsidRPr="00475A89" w:rsidRDefault="00CA3233" w:rsidP="00CA3233">
      <w:pPr>
        <w:widowControl/>
        <w:numPr>
          <w:ilvl w:val="0"/>
          <w:numId w:val="34"/>
        </w:numPr>
        <w:spacing w:before="57"/>
        <w:jc w:val="both"/>
        <w:textAlignment w:val="center"/>
        <w:rPr>
          <w:rFonts w:ascii="Arial" w:hAnsi="Arial"/>
          <w:bCs/>
          <w:iCs/>
          <w:sz w:val="20"/>
        </w:rPr>
      </w:pPr>
      <w:r w:rsidRPr="00475A89">
        <w:rPr>
          <w:rFonts w:ascii="Arial" w:hAnsi="Arial"/>
          <w:bCs/>
          <w:iCs/>
          <w:sz w:val="20"/>
        </w:rPr>
        <w:t xml:space="preserve">Performance environnementale de l'offre au regard du transport des matériaux et du personnel </w:t>
      </w:r>
    </w:p>
    <w:p w14:paraId="1727A3A4" w14:textId="77777777" w:rsidR="00CA3233" w:rsidRPr="00475A89" w:rsidRDefault="00CA3233" w:rsidP="00CA3233">
      <w:pPr>
        <w:widowControl/>
        <w:numPr>
          <w:ilvl w:val="0"/>
          <w:numId w:val="34"/>
        </w:numPr>
        <w:spacing w:before="57"/>
        <w:jc w:val="both"/>
        <w:textAlignment w:val="center"/>
        <w:rPr>
          <w:rFonts w:ascii="Arial" w:hAnsi="Arial"/>
          <w:bCs/>
          <w:iCs/>
          <w:sz w:val="20"/>
        </w:rPr>
      </w:pPr>
      <w:r w:rsidRPr="00475A89">
        <w:rPr>
          <w:rFonts w:ascii="Arial" w:hAnsi="Arial"/>
          <w:bCs/>
          <w:iCs/>
          <w:sz w:val="20"/>
        </w:rPr>
        <w:t xml:space="preserve">Gestion des déchets produits dans le cadre du marché (tri, valorisation, réutilisation des matériaux </w:t>
      </w:r>
      <w:proofErr w:type="spellStart"/>
      <w:r w:rsidRPr="00475A89">
        <w:rPr>
          <w:rFonts w:ascii="Arial" w:hAnsi="Arial"/>
          <w:bCs/>
          <w:iCs/>
          <w:sz w:val="20"/>
        </w:rPr>
        <w:t>deposes</w:t>
      </w:r>
      <w:proofErr w:type="spellEnd"/>
      <w:r w:rsidRPr="00475A89">
        <w:rPr>
          <w:rFonts w:ascii="Arial" w:hAnsi="Arial"/>
          <w:bCs/>
          <w:iCs/>
          <w:sz w:val="20"/>
        </w:rPr>
        <w:t>)</w:t>
      </w:r>
    </w:p>
    <w:p w14:paraId="74B2398C" w14:textId="77777777" w:rsidR="00813D3E" w:rsidRPr="00475A89" w:rsidRDefault="00813D3E">
      <w:pPr>
        <w:widowControl/>
        <w:spacing w:before="57"/>
        <w:jc w:val="both"/>
        <w:textAlignment w:val="center"/>
        <w:rPr>
          <w:rFonts w:ascii="Arial" w:hAnsi="Arial"/>
          <w:bCs/>
          <w:iCs/>
          <w:sz w:val="20"/>
        </w:rPr>
      </w:pPr>
    </w:p>
    <w:p w14:paraId="74569A8E" w14:textId="77777777" w:rsidR="00813D3E" w:rsidRPr="00475A89" w:rsidRDefault="001C3459">
      <w:pPr>
        <w:widowControl/>
        <w:spacing w:before="57"/>
        <w:jc w:val="both"/>
        <w:textAlignment w:val="center"/>
        <w:rPr>
          <w:rFonts w:ascii="Arial" w:hAnsi="Arial"/>
          <w:b/>
          <w:iCs/>
          <w:sz w:val="20"/>
        </w:rPr>
      </w:pPr>
      <w:r w:rsidRPr="00475A89">
        <w:rPr>
          <w:rFonts w:ascii="Arial" w:hAnsi="Arial"/>
          <w:b/>
          <w:iCs/>
          <w:sz w:val="20"/>
        </w:rPr>
        <w:t>Les performances environnementales seront notées sur 10, avec un coefficient de pondération de 10 %.</w:t>
      </w:r>
    </w:p>
    <w:p w14:paraId="16D3BB74" w14:textId="77777777" w:rsidR="00813D3E" w:rsidRDefault="001C3459" w:rsidP="000F1D74">
      <w:pPr>
        <w:pStyle w:val="Titre2"/>
      </w:pPr>
      <w:bookmarkStart w:id="35" w:name="_Toc200698801"/>
      <w:r>
        <w:t>Durée de validité des offres</w:t>
      </w:r>
      <w:bookmarkEnd w:id="35"/>
    </w:p>
    <w:p w14:paraId="53CB0D62" w14:textId="77777777" w:rsidR="00813D3E" w:rsidRDefault="00813D3E" w:rsidP="000F1D74">
      <w:pPr>
        <w:pStyle w:val="Standard"/>
      </w:pPr>
    </w:p>
    <w:p w14:paraId="2FCD43F1" w14:textId="620E0DDF" w:rsidR="00813D3E" w:rsidRDefault="001C3459" w:rsidP="000F1D74">
      <w:pPr>
        <w:pStyle w:val="Standard"/>
      </w:pPr>
      <w:r>
        <w:t xml:space="preserve">Les offres sont valables </w:t>
      </w:r>
      <w:r w:rsidR="004562C3">
        <w:t>6</w:t>
      </w:r>
      <w:r>
        <w:t xml:space="preserve"> mois à compter de la date limite de remise des offres.</w:t>
      </w:r>
    </w:p>
    <w:p w14:paraId="70B43822" w14:textId="77777777" w:rsidR="00813D3E" w:rsidRDefault="00813D3E" w:rsidP="000F1D74">
      <w:pPr>
        <w:pStyle w:val="Standard"/>
      </w:pPr>
    </w:p>
    <w:p w14:paraId="4CDA6A69" w14:textId="77777777" w:rsidR="00813D3E" w:rsidRDefault="001C3459" w:rsidP="000F1D74">
      <w:pPr>
        <w:pStyle w:val="Standard"/>
      </w:pPr>
      <w:r>
        <w:t>En tant que de besoin, le maître d’ouvrage peut solliciter des candidats ou des soumissionnaires la prorogation du délai de validité des offres.</w:t>
      </w:r>
    </w:p>
    <w:p w14:paraId="723113EF" w14:textId="77777777" w:rsidR="00813D3E" w:rsidRDefault="00813D3E" w:rsidP="000F1D74">
      <w:pPr>
        <w:pStyle w:val="Standard"/>
      </w:pPr>
    </w:p>
    <w:p w14:paraId="5FD6B733" w14:textId="77777777" w:rsidR="00813D3E" w:rsidRDefault="001C3459" w:rsidP="000F1D74">
      <w:pPr>
        <w:pStyle w:val="Standard"/>
      </w:pPr>
      <w:r>
        <w:t>Pour ce faire il transmet, pour accord, sa demande à l’ensemble des candidats ou soumissionnaires via la plateforme PLACE. La demande précise la durée de prorogation de la validité des offres. Si le candidat ou le soumissionnaire n’accepte pas de maintenir son offre, le maître d’ouvrage poursuit la procédure avec les seuls candidats ou soumissionnaires ayant accepté la prorogation du délai de validité de leur offre.</w:t>
      </w:r>
    </w:p>
    <w:p w14:paraId="4B3F17A3" w14:textId="77777777" w:rsidR="00813D3E" w:rsidRDefault="001C3459" w:rsidP="000F1D74">
      <w:pPr>
        <w:pStyle w:val="Standard"/>
      </w:pPr>
      <w:r>
        <w:t>En tant que de besoin, le maître d'ouvrage peut solliciter des candidats ou des soumissionnaires la prorogation du délai de validité des offres.</w:t>
      </w:r>
    </w:p>
    <w:p w14:paraId="4E7AA892" w14:textId="77777777" w:rsidR="00813D3E" w:rsidRDefault="00813D3E" w:rsidP="000F1D74">
      <w:pPr>
        <w:pStyle w:val="Standard"/>
      </w:pPr>
    </w:p>
    <w:p w14:paraId="52A1D981" w14:textId="52C02999" w:rsidR="00813D3E" w:rsidRDefault="001C3459" w:rsidP="000F1D74">
      <w:pPr>
        <w:pStyle w:val="Titre1"/>
      </w:pPr>
      <w:bookmarkStart w:id="36" w:name="_Toc200698802"/>
      <w:r>
        <w:t>NEGOCIATION</w:t>
      </w:r>
      <w:bookmarkEnd w:id="36"/>
    </w:p>
    <w:p w14:paraId="26221C5B" w14:textId="77777777" w:rsidR="00813D3E" w:rsidRDefault="00813D3E" w:rsidP="000F1D74">
      <w:pPr>
        <w:pStyle w:val="Standard"/>
      </w:pPr>
    </w:p>
    <w:p w14:paraId="05A69785" w14:textId="77777777" w:rsidR="00813D3E" w:rsidRDefault="001C3459" w:rsidP="000F1D74">
      <w:pPr>
        <w:pStyle w:val="Standard"/>
      </w:pPr>
      <w:r>
        <w:t>Le maître d’ouvrage se réserve la possibilité d’attribuer le marché public sur la base des offres initiales ou de procéder à une phase de négociation.</w:t>
      </w:r>
    </w:p>
    <w:p w14:paraId="630F6F3A" w14:textId="77777777" w:rsidR="00813D3E" w:rsidRDefault="00813D3E" w:rsidP="000F1D74">
      <w:pPr>
        <w:pStyle w:val="Standard"/>
      </w:pPr>
    </w:p>
    <w:p w14:paraId="622B00D3" w14:textId="77777777" w:rsidR="00813D3E" w:rsidRDefault="001C3459" w:rsidP="000F1D74">
      <w:pPr>
        <w:pStyle w:val="Standard"/>
      </w:pPr>
      <w:r>
        <w:t>La négociation ne peut ni porter sur les exigences minimales des documents de la consultation, ni sur les critères de jugement des offres</w:t>
      </w:r>
    </w:p>
    <w:p w14:paraId="26CB890D" w14:textId="77777777" w:rsidR="00813D3E" w:rsidRDefault="00813D3E" w:rsidP="000F1D74">
      <w:pPr>
        <w:pStyle w:val="Standard"/>
      </w:pPr>
    </w:p>
    <w:p w14:paraId="69558EDD" w14:textId="77777777" w:rsidR="00813D3E" w:rsidRDefault="001C3459" w:rsidP="000F1D74">
      <w:pPr>
        <w:pStyle w:val="Standard"/>
      </w:pPr>
      <w:r>
        <w:t>À l’issue des négociations, le maître d’ouvrage invite les soumissionnaires ayant participé à celles-ci, à remettre une offre finale via PLACE dans un délai raisonnable et identique pour tous. Ce délai ainsi que les modalités de réponse sont déterminés dans l’invitation.</w:t>
      </w:r>
    </w:p>
    <w:p w14:paraId="125697A5" w14:textId="77777777" w:rsidR="00813D3E" w:rsidRDefault="00813D3E" w:rsidP="000F1D74">
      <w:pPr>
        <w:pStyle w:val="Standard"/>
      </w:pPr>
    </w:p>
    <w:p w14:paraId="1F0442E0" w14:textId="77777777" w:rsidR="00813D3E" w:rsidRDefault="001C3459" w:rsidP="000F1D74">
      <w:pPr>
        <w:pStyle w:val="Standard"/>
      </w:pPr>
      <w:r>
        <w:lastRenderedPageBreak/>
        <w:t>L’offre finale doit comporter les mêmes éléments que ceux mentionnés à l'article correspondant du présent RC, mis à jour à l'issue des négociations, et respecter les exigences minimales définies à l'article correspondant du présent RC.</w:t>
      </w:r>
    </w:p>
    <w:p w14:paraId="01864C1E" w14:textId="77777777" w:rsidR="00813D3E" w:rsidRDefault="00813D3E" w:rsidP="000F1D74">
      <w:pPr>
        <w:pStyle w:val="Standard"/>
      </w:pPr>
    </w:p>
    <w:p w14:paraId="1822CBFB" w14:textId="77777777" w:rsidR="00813D3E" w:rsidRDefault="001C3459" w:rsidP="000F1D74">
      <w:pPr>
        <w:pStyle w:val="Standard"/>
      </w:pPr>
      <w:r>
        <w:t>Les offres finales sont examinées dans les mêmes conditions que celles applicables aux offres initiales, telles que mentionnées à l'article correspondant du présent RC.</w:t>
      </w:r>
    </w:p>
    <w:p w14:paraId="09F80EB1" w14:textId="77777777" w:rsidR="00813D3E" w:rsidRDefault="00813D3E" w:rsidP="000F1D74">
      <w:pPr>
        <w:pStyle w:val="Standard"/>
      </w:pPr>
    </w:p>
    <w:p w14:paraId="0C584541" w14:textId="77777777" w:rsidR="00813D3E" w:rsidRDefault="001C3459" w:rsidP="000F1D74">
      <w:pPr>
        <w:pStyle w:val="Standard"/>
      </w:pPr>
      <w:r>
        <w:t>Au terme de la négociation, les offres finales demeurées irrégulières ou inacceptables sont éliminées.</w:t>
      </w:r>
    </w:p>
    <w:p w14:paraId="31657923" w14:textId="77777777" w:rsidR="00813D3E" w:rsidRDefault="00813D3E" w:rsidP="000F1D74">
      <w:pPr>
        <w:pStyle w:val="Standard"/>
      </w:pPr>
    </w:p>
    <w:p w14:paraId="1CE4FD7C" w14:textId="6AA0EA44" w:rsidR="00813D3E" w:rsidRDefault="001C3459" w:rsidP="000F1D74">
      <w:pPr>
        <w:pStyle w:val="Titre1"/>
      </w:pPr>
      <w:bookmarkStart w:id="37" w:name="_Toc200698803"/>
      <w:r>
        <w:t>ATTRIBUTION DU MARCHE</w:t>
      </w:r>
      <w:bookmarkEnd w:id="37"/>
    </w:p>
    <w:p w14:paraId="17DD3E00" w14:textId="77777777" w:rsidR="00813D3E" w:rsidRDefault="00813D3E" w:rsidP="000F1D74">
      <w:pPr>
        <w:pStyle w:val="Standard"/>
      </w:pPr>
    </w:p>
    <w:p w14:paraId="1DA04DD2" w14:textId="77777777" w:rsidR="00813D3E" w:rsidRDefault="001C3459" w:rsidP="000F1D74">
      <w:pPr>
        <w:pStyle w:val="Standard"/>
      </w:pPr>
      <w:r>
        <w:t>Le marché est attribué au soumissionnaire dont l'offre est économiquement la plus avantageuse, au regard des critères d'attribution énoncés dans le présent règlement de la consultation.</w:t>
      </w:r>
    </w:p>
    <w:p w14:paraId="29D63BE2" w14:textId="77777777" w:rsidR="00813D3E" w:rsidRDefault="001C3459" w:rsidP="000F1D74">
      <w:pPr>
        <w:pStyle w:val="Standard"/>
      </w:pPr>
      <w:r>
        <w:t>Les soumissionnaires évincés sont informés du rejet de leur offre dans les conditions fixées aux articles à l'article R.2181-1 et suivants du code de la commande publique.</w:t>
      </w:r>
    </w:p>
    <w:p w14:paraId="1AC40CFB" w14:textId="77777777" w:rsidR="00813D3E" w:rsidRDefault="00813D3E" w:rsidP="000F1D74">
      <w:pPr>
        <w:pStyle w:val="Standard"/>
      </w:pPr>
    </w:p>
    <w:p w14:paraId="6E32BA08" w14:textId="594DB154" w:rsidR="00813D3E" w:rsidRDefault="001C3459" w:rsidP="000F1D74">
      <w:pPr>
        <w:pStyle w:val="Titre2"/>
      </w:pPr>
      <w:bookmarkStart w:id="38" w:name="_Toc200698804"/>
      <w:r>
        <w:t>Vérification des motifs d'exclusion : transmission des moyens de preuve</w:t>
      </w:r>
      <w:bookmarkEnd w:id="38"/>
    </w:p>
    <w:p w14:paraId="2B17B9FC" w14:textId="77777777" w:rsidR="00813D3E" w:rsidRDefault="00813D3E" w:rsidP="000F1D74">
      <w:pPr>
        <w:pStyle w:val="Standard"/>
      </w:pPr>
    </w:p>
    <w:p w14:paraId="4846B829" w14:textId="77777777" w:rsidR="00813D3E" w:rsidRDefault="001C3459" w:rsidP="000F1D74">
      <w:pPr>
        <w:pStyle w:val="Standard"/>
      </w:pPr>
      <w:r>
        <w:t>Le soumissionnaire auquel il est envisagé d'attribuer le marché public fournit dans le délai fixé dans le courrier envoyé par voie dématérialisée l'informant que son offre est susceptible d'être retenue, les documents suivants :</w:t>
      </w:r>
    </w:p>
    <w:p w14:paraId="5C13DEE6" w14:textId="77777777" w:rsidR="00813D3E" w:rsidRDefault="00813D3E" w:rsidP="000F1D74">
      <w:pPr>
        <w:pStyle w:val="Standard"/>
      </w:pPr>
    </w:p>
    <w:p w14:paraId="015B0DE0" w14:textId="309FB9FD" w:rsidR="00813D3E" w:rsidRDefault="001C3459" w:rsidP="000F1D74">
      <w:pPr>
        <w:pStyle w:val="Standard"/>
      </w:pPr>
      <w:r>
        <w:t xml:space="preserve">■L'acte d'engagement (ATTRI1), à compléter et à signer, le cas échéant par tous les membres du groupement d'opérateurs </w:t>
      </w:r>
      <w:r w:rsidR="00475A89">
        <w:t>économiques ;</w:t>
      </w:r>
    </w:p>
    <w:p w14:paraId="1D300891" w14:textId="77777777" w:rsidR="00813D3E" w:rsidRDefault="00813D3E" w:rsidP="000F1D74">
      <w:pPr>
        <w:pStyle w:val="Standard"/>
      </w:pPr>
    </w:p>
    <w:p w14:paraId="56C57360" w14:textId="223EA8F8" w:rsidR="00813D3E" w:rsidRDefault="001C3459" w:rsidP="000F1D74">
      <w:pPr>
        <w:pStyle w:val="Standard"/>
      </w:pPr>
      <w:r>
        <w:t xml:space="preserve">■Le cas échéant, dans le cas où les membres du groupement d'opérateurs économiques ne signent pas tous l'acte d'engagement, le document d'habilitation signé par tous les membres du </w:t>
      </w:r>
      <w:r w:rsidR="00475A89">
        <w:t>groupement ;</w:t>
      </w:r>
    </w:p>
    <w:p w14:paraId="6FE800E7" w14:textId="77777777" w:rsidR="00813D3E" w:rsidRDefault="00813D3E" w:rsidP="000F1D74">
      <w:pPr>
        <w:pStyle w:val="Standard"/>
      </w:pPr>
    </w:p>
    <w:p w14:paraId="327789F7" w14:textId="79377251" w:rsidR="00813D3E" w:rsidRDefault="001C3459" w:rsidP="000F1D74">
      <w:pPr>
        <w:pStyle w:val="Standard"/>
      </w:pPr>
      <w:r>
        <w:t xml:space="preserve">■Le pouvoir du ou des signataires d'engager la personne qu'il représente (titulaire individuel ou groupement d'opérateurs </w:t>
      </w:r>
      <w:r w:rsidR="00475A89">
        <w:t>économiques ;</w:t>
      </w:r>
    </w:p>
    <w:p w14:paraId="2EF49FE0" w14:textId="77777777" w:rsidR="00813D3E" w:rsidRDefault="00813D3E" w:rsidP="000F1D74">
      <w:pPr>
        <w:pStyle w:val="Standard"/>
      </w:pPr>
    </w:p>
    <w:p w14:paraId="79A6115D" w14:textId="77777777" w:rsidR="00813D3E" w:rsidRDefault="001C3459" w:rsidP="000F1D74">
      <w:pPr>
        <w:pStyle w:val="Standard"/>
      </w:pPr>
      <w:r>
        <w:t>■Le cas échéant, en cas de sous-traitance, la déclaration de sous-traitance (DC4 ou équivalent) signée par le sous-traitant et le soumissionnaire, les renseignements relatifs aux capacités du sous-traitant lorsque le soumissionnaire s'appuie sur celles-</w:t>
      </w:r>
      <w:proofErr w:type="gramStart"/>
      <w:r>
        <w:t>ci;</w:t>
      </w:r>
      <w:proofErr w:type="gramEnd"/>
    </w:p>
    <w:p w14:paraId="72F51771" w14:textId="77777777" w:rsidR="00813D3E" w:rsidRDefault="00813D3E" w:rsidP="000F1D74">
      <w:pPr>
        <w:pStyle w:val="Standard"/>
      </w:pPr>
    </w:p>
    <w:p w14:paraId="3F91313A" w14:textId="61BED135" w:rsidR="00813D3E" w:rsidRDefault="001C3459" w:rsidP="000F1D74">
      <w:pPr>
        <w:pStyle w:val="Standard"/>
      </w:pPr>
      <w:r>
        <w:t>■Le ou les relevé(s) d'identité bancaire ;</w:t>
      </w:r>
    </w:p>
    <w:p w14:paraId="401A5C8E" w14:textId="77777777" w:rsidR="00813D3E" w:rsidRDefault="00813D3E" w:rsidP="000F1D74">
      <w:pPr>
        <w:pStyle w:val="Standard"/>
      </w:pPr>
    </w:p>
    <w:p w14:paraId="4E5D8F4C" w14:textId="77777777" w:rsidR="00813D3E" w:rsidRDefault="001C3459" w:rsidP="000F1D74">
      <w:pPr>
        <w:pStyle w:val="Standard"/>
      </w:pPr>
      <w:r>
        <w:t xml:space="preserve">■En cas de redressement judiciaire, ou une procédure équivalente régie par un droit étranger, la copie du ou des jugements </w:t>
      </w:r>
      <w:proofErr w:type="gramStart"/>
      <w:r>
        <w:t>prononcés;</w:t>
      </w:r>
      <w:proofErr w:type="gramEnd"/>
    </w:p>
    <w:p w14:paraId="764F3D09" w14:textId="77777777" w:rsidR="00813D3E" w:rsidRDefault="00813D3E" w:rsidP="000F1D74">
      <w:pPr>
        <w:pStyle w:val="Standard"/>
      </w:pPr>
    </w:p>
    <w:p w14:paraId="58E567B9" w14:textId="77777777" w:rsidR="00813D3E" w:rsidRDefault="001C3459" w:rsidP="000F1D74">
      <w:pPr>
        <w:pStyle w:val="Standard"/>
      </w:pPr>
      <w:r>
        <w:t xml:space="preserve">■Le cas échéant, si le soumissionnaire emploie des salariés étrangers, la liste nominative des salariés étrangers qu'il emploie et soumis à l'autorisation de travail prévue à l'article L.5221-2 du code du travail. Cette liste doit comporter toutes les informations figurant à l'article D.8254-2 du code du travail (1° Sa date d'embauche ; 2° Sa nationalité ; 3° Le type et le numéro d'ordre du titre valant autorisation de </w:t>
      </w:r>
      <w:proofErr w:type="gramStart"/>
      <w:r>
        <w:t>travail;</w:t>
      </w:r>
      <w:proofErr w:type="gramEnd"/>
    </w:p>
    <w:p w14:paraId="73C8FBF2" w14:textId="77777777" w:rsidR="00813D3E" w:rsidRDefault="00813D3E" w:rsidP="000F1D74">
      <w:pPr>
        <w:pStyle w:val="Standard"/>
      </w:pPr>
    </w:p>
    <w:p w14:paraId="007667A8" w14:textId="77777777" w:rsidR="00813D3E" w:rsidRDefault="001C3459" w:rsidP="000F1D74">
      <w:pPr>
        <w:pStyle w:val="Standard"/>
      </w:pPr>
      <w:r>
        <w:t xml:space="preserve">■Lorsque le soumissionnaire est établi en France : son numéro unique d'identification permettant à l'acheteur d'accéder aux informations pertinentes par le biais d'un système électronique mentionné au 1° de l'article R. 2143-13 du </w:t>
      </w:r>
      <w:proofErr w:type="gramStart"/>
      <w:r>
        <w:t>CCP;</w:t>
      </w:r>
      <w:proofErr w:type="gramEnd"/>
      <w:r>
        <w:t>]</w:t>
      </w:r>
    </w:p>
    <w:p w14:paraId="59734B81" w14:textId="77777777" w:rsidR="00813D3E" w:rsidRDefault="00813D3E" w:rsidP="000F1D74">
      <w:pPr>
        <w:pStyle w:val="Standard"/>
      </w:pPr>
    </w:p>
    <w:p w14:paraId="37248BE7" w14:textId="77777777" w:rsidR="00813D3E" w:rsidRDefault="001C3459" w:rsidP="000F1D74">
      <w:pPr>
        <w:pStyle w:val="Standard"/>
      </w:pPr>
      <w:r>
        <w:t>■Lorsque le soumissionnaire est établi en France : Pour les entreprises en cours d'inscription - un récépissé de dépôt de déclaration auprès d'un centre de formalités des entreprises (CFE</w:t>
      </w:r>
      <w:proofErr w:type="gramStart"/>
      <w:r>
        <w:t>);</w:t>
      </w:r>
      <w:proofErr w:type="gramEnd"/>
    </w:p>
    <w:p w14:paraId="1017DB69" w14:textId="77777777" w:rsidR="00813D3E" w:rsidRDefault="00813D3E" w:rsidP="000F1D74">
      <w:pPr>
        <w:pStyle w:val="Standard"/>
      </w:pPr>
    </w:p>
    <w:p w14:paraId="7E491159" w14:textId="77777777" w:rsidR="00813D3E" w:rsidRDefault="001C3459" w:rsidP="000F1D74">
      <w:pPr>
        <w:pStyle w:val="Standard"/>
      </w:pPr>
      <w:r>
        <w:t>■Le cas échéant, dans le cas où elles ne sont pas disponibles sur PLACE, le(s) certificat(s) délivré(s) par les administrations et organismes compétents suivant(s) :</w:t>
      </w:r>
    </w:p>
    <w:p w14:paraId="542B8B1A" w14:textId="77777777" w:rsidR="00813D3E" w:rsidRDefault="00813D3E" w:rsidP="000F1D74">
      <w:pPr>
        <w:pStyle w:val="Standard"/>
      </w:pPr>
    </w:p>
    <w:p w14:paraId="25844362" w14:textId="77777777" w:rsidR="00813D3E" w:rsidRDefault="001C3459" w:rsidP="000F1D74">
      <w:pPr>
        <w:pStyle w:val="Standard"/>
      </w:pPr>
      <w:r>
        <w:t>• certificat de conformité aux obligations fiscales (au titre de l'impôt sur le revenu, de l'impôt sur les sociétés et/ou de la taxe sur la valeur ajoutée (TVA)</w:t>
      </w:r>
    </w:p>
    <w:p w14:paraId="5E19BF65" w14:textId="77777777" w:rsidR="00813D3E" w:rsidRDefault="001C3459" w:rsidP="000F1D74">
      <w:pPr>
        <w:pStyle w:val="Standard"/>
      </w:pPr>
      <w:r>
        <w:t>• certificat de l'article L. 243-15 du code de la sécurité sociale, connu sous le nom d'attestation de vigilance</w:t>
      </w:r>
    </w:p>
    <w:p w14:paraId="1CD079C2" w14:textId="77777777" w:rsidR="00813D3E" w:rsidRDefault="001C3459" w:rsidP="000F1D74">
      <w:pPr>
        <w:pStyle w:val="Standard"/>
      </w:pPr>
      <w:r>
        <w:t>• pour tout employeur occupant au moins vingt salariés, le certificat délivré par l'association de gestion du fonds de développement pour l'insertion professionnelle des personnes handicapées (AGEFIPH), concernant le respect des dispositions des articles L. 5212-1 à L. 5212-11 du code du travail relatif à l'emploi des travailleurs handicapés</w:t>
      </w:r>
    </w:p>
    <w:p w14:paraId="04DBC8D1" w14:textId="77777777" w:rsidR="00813D3E" w:rsidRDefault="00813D3E" w:rsidP="000F1D74">
      <w:pPr>
        <w:pStyle w:val="Standard"/>
      </w:pPr>
    </w:p>
    <w:p w14:paraId="7EB3BC62" w14:textId="77777777" w:rsidR="00813D3E" w:rsidRDefault="001C3459" w:rsidP="000F1D74">
      <w:pPr>
        <w:pStyle w:val="Standard"/>
      </w:pPr>
      <w:r>
        <w:t xml:space="preserve">■Lorsque le soumissionnaire est établi hors de France : un document mentionnant son numéro individuel d'identification, attribué en application de l'article 286 ter du code général des impôts. Si le soumissionnaire n'est pas établie dans un pays de l'Union européenne, un document mentionnant l'identité et l'adresse du candidat ou les coordonnées de son représentant fiscal ponctuel en </w:t>
      </w:r>
      <w:proofErr w:type="gramStart"/>
      <w:r>
        <w:t>France;</w:t>
      </w:r>
      <w:proofErr w:type="gramEnd"/>
    </w:p>
    <w:p w14:paraId="504F0039" w14:textId="77777777" w:rsidR="00813D3E" w:rsidRDefault="00813D3E" w:rsidP="000F1D74">
      <w:pPr>
        <w:pStyle w:val="Standard"/>
      </w:pPr>
    </w:p>
    <w:p w14:paraId="01C87808" w14:textId="77777777" w:rsidR="00813D3E" w:rsidRDefault="001C3459" w:rsidP="000F1D74">
      <w:pPr>
        <w:pStyle w:val="Standard"/>
      </w:pPr>
      <w:r>
        <w:t>■Lorsque le soumissionnaire est établi hors de France :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w:t>
      </w:r>
    </w:p>
    <w:p w14:paraId="02B17EE9" w14:textId="77777777" w:rsidR="00813D3E" w:rsidRDefault="00813D3E" w:rsidP="000F1D74">
      <w:pPr>
        <w:pStyle w:val="Standard"/>
      </w:pPr>
    </w:p>
    <w:p w14:paraId="6E5E665E" w14:textId="77777777" w:rsidR="00813D3E" w:rsidRDefault="001C3459" w:rsidP="000F1D74">
      <w:pPr>
        <w:pStyle w:val="Standard"/>
      </w:pPr>
      <w:r>
        <w:t xml:space="preserve">■Lorsque le soumissionnaire est établi hors de France : un extrait du registre pertinent au sens de l'article R.2143-9 du code de la commande publique, ou un document équivalent délivré par l'autorité judiciaire ou administrative compétente du pays d'origine, attestant de l'absence de cas d'exclusion. Pour les entreprises en cours de création, un document datant de moins de 6 mois émanant de l'autorité habilitée à recevoir l'inscription au registre professionnel et attestant de la demande d'immatriculation audit </w:t>
      </w:r>
      <w:proofErr w:type="gramStart"/>
      <w:r>
        <w:t>registre;</w:t>
      </w:r>
      <w:proofErr w:type="gramEnd"/>
    </w:p>
    <w:p w14:paraId="368A1E0E" w14:textId="77777777" w:rsidR="00813D3E" w:rsidRDefault="00813D3E" w:rsidP="000F1D74">
      <w:pPr>
        <w:pStyle w:val="Standard"/>
      </w:pPr>
    </w:p>
    <w:p w14:paraId="6BAFBF4C" w14:textId="77777777" w:rsidR="00813D3E" w:rsidRDefault="001C3459" w:rsidP="000F1D74">
      <w:pPr>
        <w:pStyle w:val="Standard"/>
      </w:pPr>
      <w:r>
        <w:t>■Lorsque le soumissionnaire est établi hors de France : Le cas échéant, en cas de recours à des travailleurs détachés, dans les conditions définies à l'article L.1262-1 du code du travail :</w:t>
      </w:r>
    </w:p>
    <w:p w14:paraId="504ABA00" w14:textId="77777777" w:rsidR="00813D3E" w:rsidRDefault="001C3459" w:rsidP="000F1D74">
      <w:pPr>
        <w:pStyle w:val="Standard"/>
      </w:pPr>
      <w:r>
        <w:t xml:space="preserve">a) L'accusé de réception de la déclaration de détachement effectuée sur le </w:t>
      </w:r>
      <w:proofErr w:type="spellStart"/>
      <w:r>
        <w:t>télé-service</w:t>
      </w:r>
      <w:proofErr w:type="spellEnd"/>
      <w:r>
        <w:t xml:space="preserve"> " SIPSI " du ministère chargé du travail, conformément aux articles R. 1263-5 et R. 1263-7 du code du </w:t>
      </w:r>
      <w:proofErr w:type="gramStart"/>
      <w:r>
        <w:t>travail;</w:t>
      </w:r>
      <w:proofErr w:type="gramEnd"/>
    </w:p>
    <w:p w14:paraId="5DCE6159" w14:textId="77777777" w:rsidR="00813D3E" w:rsidRDefault="001C3459" w:rsidP="000F1D74">
      <w:pPr>
        <w:pStyle w:val="Standard"/>
      </w:pPr>
      <w: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51797AE2" w14:textId="77777777" w:rsidR="00813D3E" w:rsidRDefault="00813D3E" w:rsidP="000F1D74">
      <w:pPr>
        <w:pStyle w:val="Standard"/>
      </w:pPr>
    </w:p>
    <w:p w14:paraId="3C6C0AFD" w14:textId="77777777" w:rsidR="00813D3E" w:rsidRDefault="001C3459" w:rsidP="000F1D74">
      <w:pPr>
        <w:pStyle w:val="Standard"/>
      </w:pPr>
      <w:r>
        <w:t>■Lorsque le soumissionnaire est établi hors de France : 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w14:paraId="17EE726A" w14:textId="17DE2CA4" w:rsidR="00813D3E" w:rsidRDefault="001C3459" w:rsidP="000F1D74">
      <w:pPr>
        <w:pStyle w:val="Titre2"/>
      </w:pPr>
      <w:bookmarkStart w:id="39" w:name="_Toc200698805"/>
      <w:r>
        <w:t>Interdiction d'attribution</w:t>
      </w:r>
      <w:bookmarkEnd w:id="39"/>
    </w:p>
    <w:p w14:paraId="31A81291" w14:textId="77777777" w:rsidR="00813D3E" w:rsidRDefault="00813D3E" w:rsidP="000F1D74">
      <w:pPr>
        <w:pStyle w:val="Standard"/>
      </w:pPr>
    </w:p>
    <w:p w14:paraId="17DD1826" w14:textId="77777777" w:rsidR="00813D3E" w:rsidRDefault="001C3459" w:rsidP="000F1D74">
      <w:pPr>
        <w:pStyle w:val="Standard"/>
      </w:pPr>
      <w:r>
        <w:t xml:space="preserve">Est exclu de la procédure tout candidat auquel l'acheteur ne peut attribuer le contrat, en application d'une </w:t>
      </w:r>
      <w:r>
        <w:lastRenderedPageBreak/>
        <w:t>interdiction émanant d'un texte d'applicabilité directe (accords internationaux, règlement européen...)</w:t>
      </w:r>
    </w:p>
    <w:p w14:paraId="17F42A9F" w14:textId="01626B7A" w:rsidR="00813D3E" w:rsidRDefault="001C3459" w:rsidP="000F1D74">
      <w:pPr>
        <w:pStyle w:val="Titre2"/>
      </w:pPr>
      <w:bookmarkStart w:id="40" w:name="_Toc200698806"/>
      <w:r>
        <w:t>Signature du marché</w:t>
      </w:r>
      <w:bookmarkEnd w:id="40"/>
    </w:p>
    <w:p w14:paraId="0D13CDD0" w14:textId="77777777" w:rsidR="00813D3E" w:rsidRDefault="00813D3E" w:rsidP="000F1D74">
      <w:pPr>
        <w:pStyle w:val="Standard"/>
        <w:rPr>
          <w:shd w:val="clear" w:color="auto" w:fill="FFFF00"/>
        </w:rPr>
      </w:pPr>
    </w:p>
    <w:p w14:paraId="4BCB52F1" w14:textId="77777777" w:rsidR="00813D3E" w:rsidRDefault="001C3459" w:rsidP="000F1D74">
      <w:pPr>
        <w:pStyle w:val="Standard"/>
      </w:pPr>
      <w:r>
        <w:t>La signature de l’acte d’engagement n'est pas obligatoire au moment du dépôt de l'offre, en revanche, elle devra intervenir avant l'attribution du marché.</w:t>
      </w:r>
    </w:p>
    <w:p w14:paraId="5239D219" w14:textId="3B7C0F44" w:rsidR="00813D3E" w:rsidRDefault="001C3459" w:rsidP="000F1D74">
      <w:pPr>
        <w:pStyle w:val="Standard"/>
      </w:pPr>
      <w:r>
        <w:t xml:space="preserve">Le marché est signé par le soumissionnaire retenu au moyen de l'acte d'engagement rematérialisé (version originale papier) et signé de façon manuscrite par la personne habilitée à engager la société. L'acte d'engagement est par la suite signé par le représentant du pouvoir adjudicateur du </w:t>
      </w:r>
      <w:r w:rsidR="00CA3233">
        <w:t>ministère de la Culture</w:t>
      </w:r>
      <w:r>
        <w:t>.</w:t>
      </w:r>
    </w:p>
    <w:p w14:paraId="0F3DEE2A" w14:textId="77777777" w:rsidR="00813D3E" w:rsidRDefault="001C3459" w:rsidP="000F1D74">
      <w:pPr>
        <w:pStyle w:val="Standard"/>
      </w:pPr>
      <w:r>
        <w:t xml:space="preserve">Après signature, le marché est notifié via PLACE à l’attributaire du marché. </w:t>
      </w:r>
    </w:p>
    <w:p w14:paraId="55E67602" w14:textId="12A1BDFE" w:rsidR="00813D3E" w:rsidRDefault="001C3459" w:rsidP="000F1D74">
      <w:pPr>
        <w:pStyle w:val="Titre2"/>
      </w:pPr>
      <w:bookmarkStart w:id="41" w:name="_Toc200698807"/>
      <w:r>
        <w:t>Mise au point</w:t>
      </w:r>
      <w:bookmarkEnd w:id="41"/>
    </w:p>
    <w:p w14:paraId="0549FFC6" w14:textId="77777777" w:rsidR="00813D3E" w:rsidRDefault="00813D3E" w:rsidP="000F1D74">
      <w:pPr>
        <w:pStyle w:val="Standard"/>
      </w:pPr>
    </w:p>
    <w:p w14:paraId="02E608A1" w14:textId="77777777" w:rsidR="00813D3E" w:rsidRDefault="001C3459" w:rsidP="000F1D74">
      <w:pPr>
        <w:pStyle w:val="Standard"/>
      </w:pPr>
      <w:r>
        <w:t>Le maître d'ouvrage et le soumissionnaire retenu peuvent procéder à une mise au point des composantes du marché. Cette mise au point ne peut avoir pour objet de modifier des éléments substantiels de l'offre ou du présent marché.</w:t>
      </w:r>
    </w:p>
    <w:p w14:paraId="4DE5B6B8" w14:textId="77777777" w:rsidR="00813D3E" w:rsidRDefault="00813D3E" w:rsidP="000F1D74">
      <w:pPr>
        <w:pStyle w:val="Standard"/>
      </w:pPr>
    </w:p>
    <w:p w14:paraId="009F8D76" w14:textId="1441A645" w:rsidR="00813D3E" w:rsidRDefault="001C3459" w:rsidP="000F1D74">
      <w:pPr>
        <w:pStyle w:val="Titre1"/>
      </w:pPr>
      <w:bookmarkStart w:id="42" w:name="_Toc200698808"/>
      <w:r>
        <w:t>LANGUE</w:t>
      </w:r>
      <w:bookmarkEnd w:id="42"/>
    </w:p>
    <w:p w14:paraId="04029F78" w14:textId="77777777" w:rsidR="00813D3E" w:rsidRDefault="00813D3E" w:rsidP="000F1D74">
      <w:pPr>
        <w:pStyle w:val="Standard"/>
      </w:pPr>
    </w:p>
    <w:p w14:paraId="73AC6987" w14:textId="77777777" w:rsidR="00813D3E" w:rsidRDefault="001C3459" w:rsidP="000F1D74">
      <w:pPr>
        <w:pStyle w:val="Standard"/>
      </w:pPr>
      <w:r>
        <w:t>Les documents et informations doivent être rédigés en langue française ou, à défaut, être accompagnées d'une traduction en français.</w:t>
      </w:r>
    </w:p>
    <w:p w14:paraId="38594874" w14:textId="51A9D144" w:rsidR="00813D3E" w:rsidRDefault="001C3459" w:rsidP="000F1D74">
      <w:pPr>
        <w:pStyle w:val="Standard"/>
      </w:pPr>
      <w:r>
        <w:t>En cas de candidature sous forme de DUME, ce dernier doit être rédigé en français.</w:t>
      </w:r>
    </w:p>
    <w:p w14:paraId="7ACDF5D1" w14:textId="77777777" w:rsidR="008A7B2D" w:rsidRDefault="008A7B2D" w:rsidP="000F1D74">
      <w:pPr>
        <w:pStyle w:val="Standard"/>
      </w:pPr>
    </w:p>
    <w:p w14:paraId="543D4DA6" w14:textId="24774F1F" w:rsidR="00813D3E" w:rsidRDefault="001C3459" w:rsidP="000F1D74">
      <w:pPr>
        <w:pStyle w:val="Titre1"/>
      </w:pPr>
      <w:bookmarkStart w:id="43" w:name="_Toc200698809"/>
      <w:r>
        <w:t>CONTENTIEUX</w:t>
      </w:r>
      <w:bookmarkEnd w:id="43"/>
    </w:p>
    <w:p w14:paraId="4ED8CC65" w14:textId="77777777" w:rsidR="00813D3E" w:rsidRDefault="00813D3E" w:rsidP="000F1D74">
      <w:pPr>
        <w:pStyle w:val="Standard"/>
      </w:pPr>
    </w:p>
    <w:p w14:paraId="6E261887" w14:textId="77777777" w:rsidR="00813D3E" w:rsidRDefault="001C3459" w:rsidP="000F1D74">
      <w:pPr>
        <w:pStyle w:val="Standard"/>
      </w:pPr>
      <w:r>
        <w:t>Le tribunal compétent est le tribunal administratif de Montreuil.</w:t>
      </w:r>
    </w:p>
    <w:p w14:paraId="183DC71B" w14:textId="77777777" w:rsidR="00D718FC" w:rsidRDefault="00D718FC" w:rsidP="000F1D74">
      <w:pPr>
        <w:pStyle w:val="Standard"/>
      </w:pPr>
    </w:p>
    <w:p w14:paraId="69A88C73" w14:textId="77777777" w:rsidR="00D718FC" w:rsidRDefault="00D718FC" w:rsidP="00D718FC">
      <w:pPr>
        <w:pStyle w:val="Standard"/>
      </w:pPr>
      <w:r w:rsidRPr="00D718FC">
        <w:rPr>
          <w:u w:val="single"/>
        </w:rPr>
        <w:t>Informations relatives aux délais de recours</w:t>
      </w:r>
      <w:r>
        <w:t xml:space="preserve"> :</w:t>
      </w:r>
    </w:p>
    <w:p w14:paraId="022102C7" w14:textId="36C77F61" w:rsidR="00D718FC" w:rsidRDefault="00D718FC" w:rsidP="00D718FC">
      <w:pPr>
        <w:pStyle w:val="Standard"/>
        <w:numPr>
          <w:ilvl w:val="0"/>
          <w:numId w:val="36"/>
        </w:numPr>
      </w:pPr>
      <w:r>
        <w:t>Référé précontractuel (articles L5511 et R5511 du code de justice administrative) à tout moment de</w:t>
      </w:r>
    </w:p>
    <w:p w14:paraId="47744E74" w14:textId="77777777" w:rsidR="00D718FC" w:rsidRDefault="00D718FC" w:rsidP="00D718FC">
      <w:pPr>
        <w:pStyle w:val="Standard"/>
        <w:ind w:left="720"/>
      </w:pPr>
      <w:proofErr w:type="gramStart"/>
      <w:r>
        <w:t>la</w:t>
      </w:r>
      <w:proofErr w:type="gramEnd"/>
      <w:r>
        <w:t xml:space="preserve"> procédure mais avant la conclusion du marché public.</w:t>
      </w:r>
    </w:p>
    <w:p w14:paraId="53F2A0E4" w14:textId="0FC46E55" w:rsidR="00D718FC" w:rsidRDefault="00D718FC" w:rsidP="00D718FC">
      <w:pPr>
        <w:pStyle w:val="Standard"/>
        <w:numPr>
          <w:ilvl w:val="0"/>
          <w:numId w:val="36"/>
        </w:numPr>
      </w:pPr>
      <w:r>
        <w:t>Référé contractuel (article R5517 du code de justice administrative), dans un délai de 31 jours suivant</w:t>
      </w:r>
    </w:p>
    <w:p w14:paraId="1E133920" w14:textId="77777777" w:rsidR="00D718FC" w:rsidRDefault="00D718FC" w:rsidP="00D718FC">
      <w:pPr>
        <w:pStyle w:val="Standard"/>
        <w:ind w:left="720"/>
      </w:pPr>
      <w:proofErr w:type="gramStart"/>
      <w:r>
        <w:t>la</w:t>
      </w:r>
      <w:proofErr w:type="gramEnd"/>
      <w:r>
        <w:t xml:space="preserve"> publication de l'avis d'attribution, ou à défaut d'avis d'attribution jusqu'à l'expiration d'un délai de six</w:t>
      </w:r>
    </w:p>
    <w:p w14:paraId="6283427C" w14:textId="77777777" w:rsidR="00D718FC" w:rsidRDefault="00D718FC" w:rsidP="00D718FC">
      <w:pPr>
        <w:pStyle w:val="Standard"/>
        <w:ind w:left="720"/>
      </w:pPr>
      <w:proofErr w:type="gramStart"/>
      <w:r>
        <w:t>mois</w:t>
      </w:r>
      <w:proofErr w:type="gramEnd"/>
      <w:r>
        <w:t xml:space="preserve"> à compter du lendemain du jour de la conclusion du marché public.</w:t>
      </w:r>
    </w:p>
    <w:p w14:paraId="609A8249" w14:textId="311831DD" w:rsidR="00D718FC" w:rsidRDefault="00D718FC" w:rsidP="00D718FC">
      <w:pPr>
        <w:pStyle w:val="Standard"/>
        <w:numPr>
          <w:ilvl w:val="0"/>
          <w:numId w:val="36"/>
        </w:numPr>
      </w:pPr>
      <w:r>
        <w:t>Recours pour excès de pouvoir ne peut toutefois être exercé après la signature du marché public.</w:t>
      </w:r>
    </w:p>
    <w:p w14:paraId="2153DF64" w14:textId="078D76A0" w:rsidR="00D718FC" w:rsidRDefault="00D718FC" w:rsidP="00D718FC">
      <w:pPr>
        <w:pStyle w:val="Standard"/>
        <w:numPr>
          <w:ilvl w:val="0"/>
          <w:numId w:val="36"/>
        </w:numPr>
      </w:pPr>
      <w:r>
        <w:t>Recours en annulation (article R4211 du code de justice administrative) ou référé suspension (article</w:t>
      </w:r>
      <w:r w:rsidRPr="00D718FC">
        <w:t xml:space="preserve"> </w:t>
      </w:r>
      <w:r>
        <w:t xml:space="preserve">L5211 du code de justice administrative) dans un délai de deux mois à compter de la notification </w:t>
      </w:r>
      <w:proofErr w:type="gramStart"/>
      <w:r>
        <w:t>ou</w:t>
      </w:r>
      <w:proofErr w:type="gramEnd"/>
    </w:p>
    <w:p w14:paraId="29ADD19A" w14:textId="77777777" w:rsidR="00D718FC" w:rsidRDefault="00D718FC" w:rsidP="00D718FC">
      <w:pPr>
        <w:pStyle w:val="Standard"/>
        <w:ind w:left="720"/>
      </w:pPr>
      <w:proofErr w:type="gramStart"/>
      <w:r>
        <w:t>de</w:t>
      </w:r>
      <w:proofErr w:type="gramEnd"/>
      <w:r>
        <w:t xml:space="preserve"> la publication de la décision.</w:t>
      </w:r>
    </w:p>
    <w:p w14:paraId="0BD08EBA" w14:textId="2ABDC555" w:rsidR="00D718FC" w:rsidRDefault="00D718FC" w:rsidP="00D718FC">
      <w:pPr>
        <w:pStyle w:val="Standard"/>
        <w:numPr>
          <w:ilvl w:val="0"/>
          <w:numId w:val="36"/>
        </w:numPr>
      </w:pPr>
      <w:r>
        <w:t>Recours de pleine juridiction devant le juge du contrat contestant la validité du marché public ou de certaines de ses clauses assorties, le cas échéant, d'une demande de suspension sur le fondement précité, dans un délai de deux mois à compter de l'accomplissement des mesures de publicité appropriées.</w:t>
      </w:r>
    </w:p>
    <w:p w14:paraId="4687EB14" w14:textId="77777777" w:rsidR="00813D3E" w:rsidRDefault="00813D3E" w:rsidP="000F1D74">
      <w:pPr>
        <w:pStyle w:val="Standard"/>
      </w:pPr>
    </w:p>
    <w:p w14:paraId="675237CE" w14:textId="04054AE7" w:rsidR="00813D3E" w:rsidRDefault="001C3459" w:rsidP="000F1D74">
      <w:pPr>
        <w:pStyle w:val="Titre1"/>
      </w:pPr>
      <w:bookmarkStart w:id="44" w:name="_Toc200698810"/>
      <w:r>
        <w:t>AMENAGEMENTS EN CAS DE MENACE SANITAIRE GRAVE APPELANT DES MESURES D'URGENCE</w:t>
      </w:r>
      <w:bookmarkEnd w:id="44"/>
    </w:p>
    <w:p w14:paraId="5833B5FF" w14:textId="77777777" w:rsidR="00813D3E" w:rsidRDefault="00813D3E" w:rsidP="000F1D74">
      <w:pPr>
        <w:pStyle w:val="Standard"/>
      </w:pPr>
    </w:p>
    <w:p w14:paraId="52D9E182" w14:textId="77777777" w:rsidR="00813D3E" w:rsidRDefault="001C3459" w:rsidP="000F1D74">
      <w:pPr>
        <w:pStyle w:val="Standard"/>
      </w:pPr>
      <w:r>
        <w:lastRenderedPageBreak/>
        <w:t>En cas de menace sanitaire grave appelant des mesures d’urgence déclarée en cours de consultation, l’acheteur peut aménager certaines modalités de mise en concurrence dans le respect des principes fondamentaux de la commande publique et après information des candidats ou soumissionnaires dans les meilleurs délais. L’acheteur s’assure également de leur possibilité de poursuivre la procédure selon les nouvelles modalités fixées.</w:t>
      </w:r>
    </w:p>
    <w:p w14:paraId="0BAD2B52" w14:textId="77777777" w:rsidR="00813D3E" w:rsidRDefault="00813D3E" w:rsidP="000F1D74">
      <w:pPr>
        <w:pStyle w:val="Standard"/>
      </w:pPr>
    </w:p>
    <w:p w14:paraId="0D639C45" w14:textId="77777777" w:rsidR="00813D3E" w:rsidRDefault="001C3459" w:rsidP="000F1D74">
      <w:pPr>
        <w:pStyle w:val="Standard"/>
      </w:pPr>
      <w:r>
        <w:t>Les aménagements concernent les modalités de signature pour lesquelles l’acheteur peut accepter des documents signés de manière manuscrite et scannés, si le candidat ou le soumissionnaire est dans l’impossibilité de procéder à l’envoi d’originaux “papier”. Une fois l’évènement perturbateur terminé, les originaux signés sont transmis dans les meilleurs délais à l’acheteur afin d’établir une preuve parfaite des engagements contractuels. L’acheteur peut en supprimer l’obligation de procéder à des visites.</w:t>
      </w:r>
    </w:p>
    <w:p w14:paraId="416EAE60" w14:textId="77777777" w:rsidR="00813D3E" w:rsidRDefault="00813D3E" w:rsidP="000F1D74">
      <w:pPr>
        <w:pStyle w:val="Standard"/>
      </w:pPr>
    </w:p>
    <w:p w14:paraId="4E247244" w14:textId="77777777" w:rsidR="00813D3E" w:rsidRDefault="00813D3E" w:rsidP="000F1D74">
      <w:pPr>
        <w:pStyle w:val="Standard"/>
      </w:pPr>
    </w:p>
    <w:p w14:paraId="674068ED" w14:textId="77777777" w:rsidR="00813D3E" w:rsidRDefault="00813D3E" w:rsidP="000F1D74">
      <w:pPr>
        <w:pStyle w:val="Standard"/>
      </w:pPr>
    </w:p>
    <w:sectPr w:rsidR="00813D3E">
      <w:footerReference w:type="default" r:id="rId23"/>
      <w:footerReference w:type="first" r:id="rId24"/>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1DEFA" w14:textId="77777777" w:rsidR="008A7B2D" w:rsidRDefault="008A7B2D">
      <w:r>
        <w:separator/>
      </w:r>
    </w:p>
  </w:endnote>
  <w:endnote w:type="continuationSeparator" w:id="0">
    <w:p w14:paraId="5A088553" w14:textId="77777777" w:rsidR="008A7B2D" w:rsidRDefault="008A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71F95" w14:textId="70F1244F" w:rsidR="008A7B2D" w:rsidRDefault="008A7B2D" w:rsidP="000F1D74">
    <w:pPr>
      <w:pStyle w:val="Pieddepage"/>
    </w:pPr>
    <w:r>
      <w:rPr>
        <w:noProof/>
        <w:lang w:eastAsia="fr-FR" w:bidi="ar-SA"/>
      </w:rPr>
      <mc:AlternateContent>
        <mc:Choice Requires="wps">
          <w:drawing>
            <wp:anchor distT="0" distB="0" distL="114300" distR="114300" simplePos="0" relativeHeight="251659264" behindDoc="0" locked="0" layoutInCell="1" allowOverlap="1" wp14:anchorId="610F722F" wp14:editId="289C5895">
              <wp:simplePos x="0" y="0"/>
              <wp:positionH relativeFrom="page">
                <wp:posOffset>0</wp:posOffset>
              </wp:positionH>
              <wp:positionV relativeFrom="page">
                <wp:posOffset>10227307</wp:posOffset>
              </wp:positionV>
              <wp:extent cx="7559043" cy="272418"/>
              <wp:effectExtent l="0" t="0" r="0" b="13332"/>
              <wp:wrapNone/>
              <wp:docPr id="1" name="MSIPCM5bb043c9a4392e80657cabef"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2758803F" w14:textId="276E45FD" w:rsidR="008A7B2D" w:rsidRDefault="00852229">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w:pict>
            <v:shapetype w14:anchorId="610F722F" id="_x0000_t202" coordsize="21600,21600" o:spt="202" path="m,l,21600r21600,l21600,xe">
              <v:stroke joinstyle="miter"/>
              <v:path gradientshapeok="t" o:connecttype="rect"/>
            </v:shapetype>
            <v:shape id="MSIPCM5bb043c9a4392e80657cabef" o:spid="_x0000_s1026" type="#_x0000_t202" alt="{&quot;HashCode&quot;:276409400,&quot;Height&quot;:841.0,&quot;Width&quot;:595.0,&quot;Placement&quot;:&quot;Footer&quot;,&quot;Index&quot;:&quot;Primary&quot;,&quot;Section&quot;:1,&quot;Top&quot;:0.0,&quot;Left&quot;:0.0}" style="position:absolute;left:0;text-align:left;margin-left:0;margin-top:805.3pt;width:595.2pt;height:21.4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" filled="f" stroked="f">
              <v:textbox inset=",0,,0">
                <w:txbxContent>
                  <w:p w14:paraId="2758803F" w14:textId="276E45FD" w:rsidR="008A7B2D" w:rsidRDefault="00852229">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r w:rsidR="000F1D74">
      <w:t>AN2025/009</w:t>
    </w:r>
    <w:r>
      <w:t xml:space="preserve">                                                               RC</w:t>
    </w:r>
    <w:r>
      <w:tab/>
    </w:r>
    <w:r>
      <w:tab/>
    </w:r>
    <w:r>
      <w:fldChar w:fldCharType="begin"/>
    </w:r>
    <w:r>
      <w:instrText xml:space="preserve"> PAGE </w:instrText>
    </w:r>
    <w:r>
      <w:fldChar w:fldCharType="separate"/>
    </w:r>
    <w:r w:rsidR="00286D51">
      <w:rPr>
        <w:noProof/>
      </w:rPr>
      <w:t>5</w:t>
    </w:r>
    <w:r>
      <w:fldChar w:fldCharType="end"/>
    </w:r>
    <w:r>
      <w:t>/</w:t>
    </w:r>
    <w:r w:rsidR="00050380">
      <w:fldChar w:fldCharType="begin"/>
    </w:r>
    <w:r w:rsidR="00050380">
      <w:instrText xml:space="preserve"> NUMPAGES </w:instrText>
    </w:r>
    <w:r w:rsidR="00050380">
      <w:fldChar w:fldCharType="separate"/>
    </w:r>
    <w:r w:rsidR="00286D51">
      <w:rPr>
        <w:noProof/>
      </w:rPr>
      <w:t>21</w:t>
    </w:r>
    <w:r w:rsidR="0005038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804F" w14:textId="77777777" w:rsidR="008A7B2D" w:rsidRDefault="008A7B2D" w:rsidP="000F1D74">
    <w:pPr>
      <w:pStyle w:val="Pieddepage"/>
    </w:pPr>
    <w:r>
      <w:rPr>
        <w:noProof/>
        <w:lang w:eastAsia="fr-FR" w:bidi="ar-SA"/>
      </w:rPr>
      <mc:AlternateContent>
        <mc:Choice Requires="wps">
          <w:drawing>
            <wp:anchor distT="0" distB="0" distL="114300" distR="114300" simplePos="0" relativeHeight="251661312" behindDoc="0" locked="0" layoutInCell="1" allowOverlap="1" wp14:anchorId="10FF0800" wp14:editId="22E2A07F">
              <wp:simplePos x="0" y="0"/>
              <wp:positionH relativeFrom="page">
                <wp:posOffset>0</wp:posOffset>
              </wp:positionH>
              <wp:positionV relativeFrom="page">
                <wp:posOffset>10227307</wp:posOffset>
              </wp:positionV>
              <wp:extent cx="7559043" cy="272418"/>
              <wp:effectExtent l="0" t="0" r="0" b="13332"/>
              <wp:wrapNone/>
              <wp:docPr id="2" name="MSIPCM2d0f441ea03f44fc26d811bb" descr="{&quot;HashCode&quot;:27640940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7A4E895B" w14:textId="530AF49A" w:rsidR="008A7B2D" w:rsidRDefault="006A2A63">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w:pict>
            <v:shapetype w14:anchorId="10FF0800" id="_x0000_t202" coordsize="21600,21600" o:spt="202" path="m,l,21600r21600,l21600,xe">
              <v:stroke joinstyle="miter"/>
              <v:path gradientshapeok="t" o:connecttype="rect"/>
            </v:shapetype>
            <v:shape id="MSIPCM2d0f441ea03f44fc26d811bb" o:spid="_x0000_s1027" type="#_x0000_t202" alt="{&quot;HashCode&quot;:276409400,&quot;Height&quot;:841.0,&quot;Width&quot;:595.0,&quot;Placement&quot;:&quot;Footer&quot;,&quot;Index&quot;:&quot;FirstPage&quot;,&quot;Section&quot;:1,&quot;Top&quot;:0.0,&quot;Left&quot;:0.0}" style="position:absolute;left:0;text-align:left;margin-left:0;margin-top:805.3pt;width:595.2pt;height:21.4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" filled="f" stroked="f">
              <v:textbox inset=",0,,0">
                <w:txbxContent>
                  <w:p w14:paraId="7A4E895B" w14:textId="530AF49A" w:rsidR="008A7B2D" w:rsidRDefault="006A2A63">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C54D" w14:textId="77777777" w:rsidR="008A7B2D" w:rsidRDefault="008A7B2D">
      <w:r>
        <w:rPr>
          <w:color w:val="000000"/>
        </w:rPr>
        <w:separator/>
      </w:r>
    </w:p>
  </w:footnote>
  <w:footnote w:type="continuationSeparator" w:id="0">
    <w:p w14:paraId="2DE88FA6" w14:textId="77777777" w:rsidR="008A7B2D" w:rsidRDefault="008A7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1BF4"/>
    <w:multiLevelType w:val="hybridMultilevel"/>
    <w:tmpl w:val="47865C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8B29A0"/>
    <w:multiLevelType w:val="multilevel"/>
    <w:tmpl w:val="13EC8344"/>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2" w15:restartNumberingAfterBreak="0">
    <w:nsid w:val="105537DD"/>
    <w:multiLevelType w:val="multilevel"/>
    <w:tmpl w:val="A0601130"/>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162361"/>
    <w:multiLevelType w:val="hybridMultilevel"/>
    <w:tmpl w:val="D8E68256"/>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4" w15:restartNumberingAfterBreak="0">
    <w:nsid w:val="133B761E"/>
    <w:multiLevelType w:val="hybridMultilevel"/>
    <w:tmpl w:val="76866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17732D"/>
    <w:multiLevelType w:val="multilevel"/>
    <w:tmpl w:val="A80EBE6E"/>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6" w15:restartNumberingAfterBreak="0">
    <w:nsid w:val="17E3264F"/>
    <w:multiLevelType w:val="multilevel"/>
    <w:tmpl w:val="D3366F2C"/>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7" w15:restartNumberingAfterBreak="0">
    <w:nsid w:val="182D3CA3"/>
    <w:multiLevelType w:val="hybridMultilevel"/>
    <w:tmpl w:val="083AE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8E70AF"/>
    <w:multiLevelType w:val="multilevel"/>
    <w:tmpl w:val="5C56D986"/>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1DA16FEF"/>
    <w:multiLevelType w:val="multilevel"/>
    <w:tmpl w:val="0C28A9BE"/>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18D4695"/>
    <w:multiLevelType w:val="multilevel"/>
    <w:tmpl w:val="262EF9C8"/>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1" w15:restartNumberingAfterBreak="0">
    <w:nsid w:val="21EB6079"/>
    <w:multiLevelType w:val="hybridMultilevel"/>
    <w:tmpl w:val="958C91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4901CA"/>
    <w:multiLevelType w:val="multilevel"/>
    <w:tmpl w:val="9788BF70"/>
    <w:styleLink w:val="WWOutlineListStyle1"/>
    <w:lvl w:ilvl="0">
      <w:start w:val="1"/>
      <w:numFmt w:val="decimal"/>
      <w:lvlText w:val="Article %1 - "/>
      <w:lvlJc w:val="left"/>
      <w:pPr>
        <w:ind w:left="0" w:firstLine="283"/>
      </w:pPr>
    </w:lvl>
    <w:lvl w:ilvl="1">
      <w:start w:val="1"/>
      <w:numFmt w:val="decimal"/>
      <w:lvlText w:val="%1.%2 "/>
      <w:lvlJc w:val="left"/>
      <w:pPr>
        <w:ind w:left="2127"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E693179"/>
    <w:multiLevelType w:val="multilevel"/>
    <w:tmpl w:val="32F674F2"/>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4" w15:restartNumberingAfterBreak="0">
    <w:nsid w:val="300F7575"/>
    <w:multiLevelType w:val="hybridMultilevel"/>
    <w:tmpl w:val="B33451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094686"/>
    <w:multiLevelType w:val="hybridMultilevel"/>
    <w:tmpl w:val="20F6C598"/>
    <w:lvl w:ilvl="0" w:tplc="2DF464A2">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470C61"/>
    <w:multiLevelType w:val="multilevel"/>
    <w:tmpl w:val="29203174"/>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40000C02"/>
    <w:multiLevelType w:val="hybridMultilevel"/>
    <w:tmpl w:val="AEA2062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FF30CD"/>
    <w:multiLevelType w:val="multilevel"/>
    <w:tmpl w:val="CB808476"/>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48301DDB"/>
    <w:multiLevelType w:val="hybridMultilevel"/>
    <w:tmpl w:val="0B202F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B718F3"/>
    <w:multiLevelType w:val="multilevel"/>
    <w:tmpl w:val="9434292E"/>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21" w15:restartNumberingAfterBreak="0">
    <w:nsid w:val="4E9E54AE"/>
    <w:multiLevelType w:val="multilevel"/>
    <w:tmpl w:val="AE0A4906"/>
    <w:styleLink w:val="WWOutlineListStyle3"/>
    <w:lvl w:ilvl="0">
      <w:start w:val="1"/>
      <w:numFmt w:val="decimal"/>
      <w:pStyle w:val="Titre1"/>
      <w:lvlText w:val="Article %1 - "/>
      <w:lvlJc w:val="left"/>
      <w:pPr>
        <w:ind w:left="0" w:firstLine="283"/>
      </w:pPr>
    </w:lvl>
    <w:lvl w:ilvl="1">
      <w:start w:val="1"/>
      <w:numFmt w:val="decimal"/>
      <w:pStyle w:val="Titre2"/>
      <w:lvlText w:val="%1.%2 "/>
      <w:lvlJc w:val="left"/>
      <w:pPr>
        <w:ind w:left="2127"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53065079"/>
    <w:multiLevelType w:val="hybridMultilevel"/>
    <w:tmpl w:val="DF542D9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DF5FF8"/>
    <w:multiLevelType w:val="hybridMultilevel"/>
    <w:tmpl w:val="ACEEDAF0"/>
    <w:lvl w:ilvl="0" w:tplc="E0105538">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561F5C"/>
    <w:multiLevelType w:val="multilevel"/>
    <w:tmpl w:val="A56EF28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54212B0"/>
    <w:multiLevelType w:val="multilevel"/>
    <w:tmpl w:val="26A00A82"/>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6" w15:restartNumberingAfterBreak="0">
    <w:nsid w:val="558A65C1"/>
    <w:multiLevelType w:val="multilevel"/>
    <w:tmpl w:val="E30E545E"/>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EAB1538"/>
    <w:multiLevelType w:val="multilevel"/>
    <w:tmpl w:val="96FCCEE2"/>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8" w15:restartNumberingAfterBreak="0">
    <w:nsid w:val="64D5079D"/>
    <w:multiLevelType w:val="hybridMultilevel"/>
    <w:tmpl w:val="876CD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723C29"/>
    <w:multiLevelType w:val="multilevel"/>
    <w:tmpl w:val="5F8AA43C"/>
    <w:lvl w:ilvl="0">
      <w:numFmt w:val="bullet"/>
      <w:lvlText w:val=""/>
      <w:lvlJc w:val="left"/>
      <w:pPr>
        <w:ind w:left="1426" w:hanging="360"/>
      </w:pPr>
      <w:rPr>
        <w:rFonts w:ascii="Wingdings" w:hAnsi="Wingdings"/>
      </w:rPr>
    </w:lvl>
    <w:lvl w:ilvl="1">
      <w:numFmt w:val="bullet"/>
      <w:lvlText w:val="o"/>
      <w:lvlJc w:val="left"/>
      <w:pPr>
        <w:ind w:left="2146" w:hanging="360"/>
      </w:pPr>
      <w:rPr>
        <w:rFonts w:ascii="Courier New" w:hAnsi="Courier New" w:cs="Courier New"/>
      </w:rPr>
    </w:lvl>
    <w:lvl w:ilvl="2">
      <w:numFmt w:val="bullet"/>
      <w:lvlText w:val=""/>
      <w:lvlJc w:val="left"/>
      <w:pPr>
        <w:ind w:left="2866" w:hanging="360"/>
      </w:pPr>
      <w:rPr>
        <w:rFonts w:ascii="Wingdings" w:hAnsi="Wingdings"/>
      </w:rPr>
    </w:lvl>
    <w:lvl w:ilvl="3">
      <w:numFmt w:val="bullet"/>
      <w:lvlText w:val=""/>
      <w:lvlJc w:val="left"/>
      <w:pPr>
        <w:ind w:left="3586" w:hanging="360"/>
      </w:pPr>
      <w:rPr>
        <w:rFonts w:ascii="Symbol" w:hAnsi="Symbol"/>
      </w:rPr>
    </w:lvl>
    <w:lvl w:ilvl="4">
      <w:numFmt w:val="bullet"/>
      <w:lvlText w:val="o"/>
      <w:lvlJc w:val="left"/>
      <w:pPr>
        <w:ind w:left="4306" w:hanging="360"/>
      </w:pPr>
      <w:rPr>
        <w:rFonts w:ascii="Courier New" w:hAnsi="Courier New" w:cs="Courier New"/>
      </w:rPr>
    </w:lvl>
    <w:lvl w:ilvl="5">
      <w:numFmt w:val="bullet"/>
      <w:lvlText w:val=""/>
      <w:lvlJc w:val="left"/>
      <w:pPr>
        <w:ind w:left="5026" w:hanging="360"/>
      </w:pPr>
      <w:rPr>
        <w:rFonts w:ascii="Wingdings" w:hAnsi="Wingdings"/>
      </w:rPr>
    </w:lvl>
    <w:lvl w:ilvl="6">
      <w:numFmt w:val="bullet"/>
      <w:lvlText w:val=""/>
      <w:lvlJc w:val="left"/>
      <w:pPr>
        <w:ind w:left="5746" w:hanging="360"/>
      </w:pPr>
      <w:rPr>
        <w:rFonts w:ascii="Symbol" w:hAnsi="Symbol"/>
      </w:rPr>
    </w:lvl>
    <w:lvl w:ilvl="7">
      <w:numFmt w:val="bullet"/>
      <w:lvlText w:val="o"/>
      <w:lvlJc w:val="left"/>
      <w:pPr>
        <w:ind w:left="6466" w:hanging="360"/>
      </w:pPr>
      <w:rPr>
        <w:rFonts w:ascii="Courier New" w:hAnsi="Courier New" w:cs="Courier New"/>
      </w:rPr>
    </w:lvl>
    <w:lvl w:ilvl="8">
      <w:numFmt w:val="bullet"/>
      <w:lvlText w:val=""/>
      <w:lvlJc w:val="left"/>
      <w:pPr>
        <w:ind w:left="7186" w:hanging="360"/>
      </w:pPr>
      <w:rPr>
        <w:rFonts w:ascii="Wingdings" w:hAnsi="Wingdings"/>
      </w:rPr>
    </w:lvl>
  </w:abstractNum>
  <w:abstractNum w:abstractNumId="30" w15:restartNumberingAfterBreak="0">
    <w:nsid w:val="6A215047"/>
    <w:multiLevelType w:val="multilevel"/>
    <w:tmpl w:val="090212B0"/>
    <w:lvl w:ilvl="0">
      <w:numFmt w:val="bullet"/>
      <w:lvlText w:val=""/>
      <w:lvlJc w:val="left"/>
      <w:pPr>
        <w:ind w:left="720" w:hanging="360"/>
      </w:pPr>
      <w:rPr>
        <w:rFonts w:ascii="Symbol" w:hAnsi="Symbol"/>
      </w:rPr>
    </w:lvl>
    <w:lvl w:ilvl="1">
      <w:numFmt w:val="bullet"/>
      <w:lvlText w:val="-"/>
      <w:lvlJc w:val="left"/>
      <w:pPr>
        <w:ind w:left="1440" w:hanging="360"/>
      </w:pPr>
      <w:rPr>
        <w:rFonts w:ascii="Arial" w:eastAsia="Andale Sans UI" w:hAnsi="Arial"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6C2A4EDE"/>
    <w:multiLevelType w:val="hybridMultilevel"/>
    <w:tmpl w:val="B21EBC8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4D47D6"/>
    <w:multiLevelType w:val="multilevel"/>
    <w:tmpl w:val="284C45B2"/>
    <w:styleLink w:val="WWOutlineListStyle2"/>
    <w:lvl w:ilvl="0">
      <w:start w:val="1"/>
      <w:numFmt w:val="decimal"/>
      <w:lvlText w:val="Article %1 - "/>
      <w:lvlJc w:val="left"/>
      <w:pPr>
        <w:ind w:left="0" w:firstLine="283"/>
      </w:pPr>
    </w:lvl>
    <w:lvl w:ilvl="1">
      <w:start w:val="1"/>
      <w:numFmt w:val="decimal"/>
      <w:lvlText w:val="%1.%2 "/>
      <w:lvlJc w:val="left"/>
      <w:pPr>
        <w:ind w:left="2127"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3584DDE"/>
    <w:multiLevelType w:val="multilevel"/>
    <w:tmpl w:val="E800CD90"/>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34" w15:restartNumberingAfterBreak="0">
    <w:nsid w:val="770C5182"/>
    <w:multiLevelType w:val="hybridMultilevel"/>
    <w:tmpl w:val="408A5C7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9008220">
    <w:abstractNumId w:val="21"/>
    <w:lvlOverride w:ilvl="1">
      <w:lvl w:ilvl="1">
        <w:start w:val="1"/>
        <w:numFmt w:val="decimal"/>
        <w:pStyle w:val="Titre2"/>
        <w:lvlText w:val="%1.%2 "/>
        <w:lvlJc w:val="left"/>
        <w:pPr>
          <w:ind w:left="2127" w:firstLine="283"/>
        </w:pPr>
      </w:lvl>
    </w:lvlOverride>
  </w:num>
  <w:num w:numId="2" w16cid:durableId="1251038504">
    <w:abstractNumId w:val="32"/>
  </w:num>
  <w:num w:numId="3" w16cid:durableId="1431075146">
    <w:abstractNumId w:val="12"/>
  </w:num>
  <w:num w:numId="4" w16cid:durableId="787746506">
    <w:abstractNumId w:val="26"/>
  </w:num>
  <w:num w:numId="5" w16cid:durableId="396170279">
    <w:abstractNumId w:val="2"/>
  </w:num>
  <w:num w:numId="6" w16cid:durableId="1981379345">
    <w:abstractNumId w:val="27"/>
  </w:num>
  <w:num w:numId="7" w16cid:durableId="288829271">
    <w:abstractNumId w:val="13"/>
  </w:num>
  <w:num w:numId="8" w16cid:durableId="1121729287">
    <w:abstractNumId w:val="33"/>
  </w:num>
  <w:num w:numId="9" w16cid:durableId="703094377">
    <w:abstractNumId w:val="25"/>
  </w:num>
  <w:num w:numId="10" w16cid:durableId="1386678233">
    <w:abstractNumId w:val="20"/>
  </w:num>
  <w:num w:numId="11" w16cid:durableId="15157348">
    <w:abstractNumId w:val="5"/>
  </w:num>
  <w:num w:numId="12" w16cid:durableId="1531257330">
    <w:abstractNumId w:val="6"/>
  </w:num>
  <w:num w:numId="13" w16cid:durableId="614870902">
    <w:abstractNumId w:val="10"/>
  </w:num>
  <w:num w:numId="14" w16cid:durableId="2113165517">
    <w:abstractNumId w:val="8"/>
  </w:num>
  <w:num w:numId="15" w16cid:durableId="70661935">
    <w:abstractNumId w:val="18"/>
  </w:num>
  <w:num w:numId="16" w16cid:durableId="639843274">
    <w:abstractNumId w:val="1"/>
  </w:num>
  <w:num w:numId="17" w16cid:durableId="249701634">
    <w:abstractNumId w:val="9"/>
  </w:num>
  <w:num w:numId="18" w16cid:durableId="146167054">
    <w:abstractNumId w:val="16"/>
  </w:num>
  <w:num w:numId="19" w16cid:durableId="1685786780">
    <w:abstractNumId w:val="24"/>
  </w:num>
  <w:num w:numId="20" w16cid:durableId="1261570787">
    <w:abstractNumId w:val="29"/>
  </w:num>
  <w:num w:numId="21" w16cid:durableId="11421605">
    <w:abstractNumId w:val="30"/>
  </w:num>
  <w:num w:numId="22" w16cid:durableId="1860926909">
    <w:abstractNumId w:val="34"/>
  </w:num>
  <w:num w:numId="23" w16cid:durableId="276836920">
    <w:abstractNumId w:val="22"/>
  </w:num>
  <w:num w:numId="24" w16cid:durableId="677849038">
    <w:abstractNumId w:val="31"/>
  </w:num>
  <w:num w:numId="25" w16cid:durableId="1550994371">
    <w:abstractNumId w:val="19"/>
  </w:num>
  <w:num w:numId="26" w16cid:durableId="1796410619">
    <w:abstractNumId w:val="11"/>
  </w:num>
  <w:num w:numId="27" w16cid:durableId="2084328931">
    <w:abstractNumId w:val="17"/>
  </w:num>
  <w:num w:numId="28" w16cid:durableId="566762406">
    <w:abstractNumId w:val="0"/>
  </w:num>
  <w:num w:numId="29" w16cid:durableId="639651219">
    <w:abstractNumId w:val="14"/>
  </w:num>
  <w:num w:numId="30" w16cid:durableId="906381033">
    <w:abstractNumId w:val="21"/>
  </w:num>
  <w:num w:numId="31" w16cid:durableId="1393117951">
    <w:abstractNumId w:val="4"/>
  </w:num>
  <w:num w:numId="32" w16cid:durableId="1780182778">
    <w:abstractNumId w:val="15"/>
  </w:num>
  <w:num w:numId="33" w16cid:durableId="884566198">
    <w:abstractNumId w:val="28"/>
  </w:num>
  <w:num w:numId="34" w16cid:durableId="939415057">
    <w:abstractNumId w:val="3"/>
  </w:num>
  <w:num w:numId="35" w16cid:durableId="1429348469">
    <w:abstractNumId w:val="23"/>
  </w:num>
  <w:num w:numId="36" w16cid:durableId="1483813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autoHyphenation/>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D3E"/>
    <w:rsid w:val="00050380"/>
    <w:rsid w:val="00050646"/>
    <w:rsid w:val="000B65A3"/>
    <w:rsid w:val="000C2179"/>
    <w:rsid w:val="000F1D74"/>
    <w:rsid w:val="000F28AF"/>
    <w:rsid w:val="0010552B"/>
    <w:rsid w:val="00137A0D"/>
    <w:rsid w:val="001745B3"/>
    <w:rsid w:val="001A13CA"/>
    <w:rsid w:val="001B22A0"/>
    <w:rsid w:val="001C3459"/>
    <w:rsid w:val="001E2DCF"/>
    <w:rsid w:val="0022751E"/>
    <w:rsid w:val="00227D9E"/>
    <w:rsid w:val="0026093B"/>
    <w:rsid w:val="00280D27"/>
    <w:rsid w:val="00286D51"/>
    <w:rsid w:val="00293420"/>
    <w:rsid w:val="002E68FF"/>
    <w:rsid w:val="003271A5"/>
    <w:rsid w:val="00361EDD"/>
    <w:rsid w:val="003747C8"/>
    <w:rsid w:val="003B113C"/>
    <w:rsid w:val="003B5946"/>
    <w:rsid w:val="004562C3"/>
    <w:rsid w:val="00475A89"/>
    <w:rsid w:val="00486636"/>
    <w:rsid w:val="0049469B"/>
    <w:rsid w:val="00513B47"/>
    <w:rsid w:val="0052066E"/>
    <w:rsid w:val="00610118"/>
    <w:rsid w:val="00663D3A"/>
    <w:rsid w:val="006A2A63"/>
    <w:rsid w:val="006C0846"/>
    <w:rsid w:val="00795328"/>
    <w:rsid w:val="007B1741"/>
    <w:rsid w:val="007D3729"/>
    <w:rsid w:val="00801D43"/>
    <w:rsid w:val="00807C07"/>
    <w:rsid w:val="00813D3E"/>
    <w:rsid w:val="00850BDB"/>
    <w:rsid w:val="00852229"/>
    <w:rsid w:val="008647FC"/>
    <w:rsid w:val="008A7B2D"/>
    <w:rsid w:val="008C0938"/>
    <w:rsid w:val="00916D1A"/>
    <w:rsid w:val="009844A6"/>
    <w:rsid w:val="00987801"/>
    <w:rsid w:val="00987A9F"/>
    <w:rsid w:val="009E1F0F"/>
    <w:rsid w:val="00A31EAA"/>
    <w:rsid w:val="00A6695C"/>
    <w:rsid w:val="00AC6F40"/>
    <w:rsid w:val="00AD70F9"/>
    <w:rsid w:val="00B07DF1"/>
    <w:rsid w:val="00B1030D"/>
    <w:rsid w:val="00B755D9"/>
    <w:rsid w:val="00B93E8F"/>
    <w:rsid w:val="00BB31A0"/>
    <w:rsid w:val="00BD5881"/>
    <w:rsid w:val="00BF7158"/>
    <w:rsid w:val="00C82340"/>
    <w:rsid w:val="00CA3233"/>
    <w:rsid w:val="00D02504"/>
    <w:rsid w:val="00D06373"/>
    <w:rsid w:val="00D718FC"/>
    <w:rsid w:val="00D75759"/>
    <w:rsid w:val="00DA5970"/>
    <w:rsid w:val="00DE1957"/>
    <w:rsid w:val="00E374D6"/>
    <w:rsid w:val="00EE293C"/>
    <w:rsid w:val="00F136A4"/>
    <w:rsid w:val="00F57ED4"/>
    <w:rsid w:val="00F901B0"/>
    <w:rsid w:val="00FD6F73"/>
    <w:rsid w:val="00FE31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294A"/>
  <w15:docId w15:val="{B22F5457-ACAB-404A-9A1B-2EB9ABA36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pPr>
      <w:keepNext/>
      <w:numPr>
        <w:numId w:val="1"/>
      </w:numPr>
      <w:outlineLvl w:val="0"/>
    </w:pPr>
    <w:rPr>
      <w:color w:val="808080"/>
      <w:sz w:val="36"/>
      <w:szCs w:val="36"/>
    </w:rPr>
  </w:style>
  <w:style w:type="paragraph" w:styleId="Titre2">
    <w:name w:val="heading 2"/>
    <w:basedOn w:val="Standard"/>
    <w:next w:val="Standard"/>
    <w:pPr>
      <w:keepNext/>
      <w:numPr>
        <w:ilvl w:val="1"/>
        <w:numId w:val="1"/>
      </w:numPr>
      <w:spacing w:before="240" w:after="60"/>
      <w:outlineLvl w:val="1"/>
    </w:pPr>
    <w:rPr>
      <w:b/>
      <w:bCs w:val="0"/>
      <w:i/>
      <w:iCs w:val="0"/>
      <w:sz w:val="28"/>
      <w:szCs w:val="28"/>
    </w:rPr>
  </w:style>
  <w:style w:type="paragraph" w:styleId="Titre3">
    <w:name w:val="heading 3"/>
    <w:basedOn w:val="Standard"/>
    <w:next w:val="Standard"/>
    <w:pPr>
      <w:keepNext/>
      <w:numPr>
        <w:ilvl w:val="2"/>
        <w:numId w:val="1"/>
      </w:numPr>
      <w:spacing w:before="240" w:after="60"/>
      <w:outlineLvl w:val="2"/>
    </w:pPr>
    <w:rPr>
      <w:b/>
      <w:bCs w:val="0"/>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val="0"/>
      <w:i/>
      <w:iCs w:val="0"/>
      <w:sz w:val="24"/>
    </w:rPr>
  </w:style>
  <w:style w:type="paragraph" w:styleId="Titre5">
    <w:name w:val="heading 5"/>
    <w:basedOn w:val="Standard"/>
    <w:next w:val="Textbody"/>
    <w:autoRedefine/>
    <w:pPr>
      <w:keepNext/>
      <w:keepLines/>
      <w:numPr>
        <w:ilvl w:val="4"/>
        <w:numId w:val="1"/>
      </w:numPr>
      <w:spacing w:before="283" w:after="57"/>
      <w:outlineLvl w:val="4"/>
    </w:pPr>
    <w:rPr>
      <w:b/>
      <w:bCs w:val="0"/>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val="0"/>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val="0"/>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val="0"/>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val="0"/>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30"/>
      </w:numPr>
    </w:pPr>
  </w:style>
  <w:style w:type="paragraph" w:customStyle="1" w:styleId="Standard">
    <w:name w:val="Standard"/>
    <w:autoRedefine/>
    <w:rsid w:val="000F1D74"/>
    <w:pPr>
      <w:suppressAutoHyphens/>
      <w:spacing w:before="57"/>
      <w:jc w:val="both"/>
      <w:textAlignment w:val="center"/>
    </w:pPr>
    <w:rPr>
      <w:rFonts w:ascii="Arial" w:hAnsi="Arial"/>
      <w:bCs/>
      <w:iCs/>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pPr>
  </w:style>
  <w:style w:type="paragraph" w:styleId="Liste">
    <w:name w:val="List"/>
    <w:basedOn w:val="Textbody"/>
  </w:style>
  <w:style w:type="paragraph" w:styleId="Lgende">
    <w:name w:val="caption"/>
    <w:basedOn w:val="Standard"/>
    <w:pPr>
      <w:suppressLineNumbers/>
      <w:spacing w:before="120" w:after="120"/>
    </w:pPr>
    <w:rPr>
      <w:i/>
      <w:iCs w:val="0"/>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val="0"/>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val="0"/>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val="0"/>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character" w:styleId="Lienhypertexte">
    <w:name w:val="Hyperlink"/>
    <w:basedOn w:val="Policepardfaut"/>
    <w:uiPriority w:val="99"/>
    <w:rPr>
      <w:color w:val="0563C1"/>
      <w:u w:val="single"/>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Numbering11">
    <w:name w:val="Numbering 1_1"/>
    <w:basedOn w:val="Aucuneliste"/>
    <w:pPr>
      <w:numPr>
        <w:numId w:val="6"/>
      </w:numPr>
    </w:pPr>
  </w:style>
  <w:style w:type="numbering" w:customStyle="1" w:styleId="Numbering2">
    <w:name w:val="Numbering 2"/>
    <w:basedOn w:val="Aucuneliste"/>
    <w:pPr>
      <w:numPr>
        <w:numId w:val="7"/>
      </w:numPr>
    </w:pPr>
  </w:style>
  <w:style w:type="numbering" w:customStyle="1" w:styleId="Numbering3">
    <w:name w:val="Numbering 3"/>
    <w:basedOn w:val="Aucuneliste"/>
    <w:pPr>
      <w:numPr>
        <w:numId w:val="8"/>
      </w:numPr>
    </w:pPr>
  </w:style>
  <w:style w:type="numbering" w:customStyle="1" w:styleId="Numbering4">
    <w:name w:val="Numbering 4"/>
    <w:basedOn w:val="Aucuneliste"/>
    <w:pPr>
      <w:numPr>
        <w:numId w:val="9"/>
      </w:numPr>
    </w:pPr>
  </w:style>
  <w:style w:type="numbering" w:customStyle="1" w:styleId="Numbering5">
    <w:name w:val="Numbering 5"/>
    <w:basedOn w:val="Aucuneliste"/>
    <w:pPr>
      <w:numPr>
        <w:numId w:val="10"/>
      </w:numPr>
    </w:pPr>
  </w:style>
  <w:style w:type="numbering" w:customStyle="1" w:styleId="List1">
    <w:name w:val="List 1"/>
    <w:basedOn w:val="Aucuneliste"/>
    <w:pPr>
      <w:numPr>
        <w:numId w:val="11"/>
      </w:numPr>
    </w:pPr>
  </w:style>
  <w:style w:type="numbering" w:customStyle="1" w:styleId="Liste21">
    <w:name w:val="Liste 21"/>
    <w:basedOn w:val="Aucuneliste"/>
    <w:pPr>
      <w:numPr>
        <w:numId w:val="12"/>
      </w:numPr>
    </w:pPr>
  </w:style>
  <w:style w:type="numbering" w:customStyle="1" w:styleId="Liste31">
    <w:name w:val="Liste 31"/>
    <w:basedOn w:val="Aucuneliste"/>
    <w:pPr>
      <w:numPr>
        <w:numId w:val="13"/>
      </w:numPr>
    </w:pPr>
  </w:style>
  <w:style w:type="numbering" w:customStyle="1" w:styleId="Liste41">
    <w:name w:val="Liste 41"/>
    <w:basedOn w:val="Aucuneliste"/>
    <w:pPr>
      <w:numPr>
        <w:numId w:val="14"/>
      </w:numPr>
    </w:pPr>
  </w:style>
  <w:style w:type="numbering" w:customStyle="1" w:styleId="Liste51">
    <w:name w:val="Liste 51"/>
    <w:basedOn w:val="Aucuneliste"/>
    <w:pPr>
      <w:numPr>
        <w:numId w:val="15"/>
      </w:numPr>
    </w:pPr>
  </w:style>
  <w:style w:type="numbering" w:customStyle="1" w:styleId="RTFNum2">
    <w:name w:val="RTF_Num 2"/>
    <w:basedOn w:val="Aucuneliste"/>
    <w:pPr>
      <w:numPr>
        <w:numId w:val="16"/>
      </w:numPr>
    </w:pPr>
  </w:style>
  <w:style w:type="numbering" w:customStyle="1" w:styleId="RTFNum3">
    <w:name w:val="RTF_Num 3"/>
    <w:basedOn w:val="Aucuneliste"/>
    <w:pPr>
      <w:numPr>
        <w:numId w:val="17"/>
      </w:numPr>
    </w:pPr>
  </w:style>
  <w:style w:type="numbering" w:customStyle="1" w:styleId="RTFNum4">
    <w:name w:val="RTF_Num 4"/>
    <w:basedOn w:val="Aucuneliste"/>
    <w:pPr>
      <w:numPr>
        <w:numId w:val="18"/>
      </w:numPr>
    </w:pPr>
  </w:style>
  <w:style w:type="paragraph" w:styleId="TM1">
    <w:name w:val="toc 1"/>
    <w:basedOn w:val="Normal"/>
    <w:next w:val="Normal"/>
    <w:autoRedefine/>
    <w:uiPriority w:val="39"/>
    <w:unhideWhenUsed/>
    <w:rsid w:val="00801D43"/>
    <w:pPr>
      <w:spacing w:after="100"/>
    </w:pPr>
  </w:style>
  <w:style w:type="paragraph" w:styleId="TM2">
    <w:name w:val="toc 2"/>
    <w:basedOn w:val="Normal"/>
    <w:next w:val="Normal"/>
    <w:autoRedefine/>
    <w:uiPriority w:val="39"/>
    <w:unhideWhenUsed/>
    <w:rsid w:val="00801D43"/>
    <w:pPr>
      <w:spacing w:after="100"/>
      <w:ind w:left="240"/>
    </w:pPr>
  </w:style>
  <w:style w:type="paragraph" w:styleId="Paragraphedeliste">
    <w:name w:val="List Paragraph"/>
    <w:basedOn w:val="Normal"/>
    <w:uiPriority w:val="34"/>
    <w:qFormat/>
    <w:rsid w:val="003271A5"/>
    <w:pPr>
      <w:ind w:left="720"/>
      <w:contextualSpacing/>
    </w:pPr>
  </w:style>
  <w:style w:type="character" w:styleId="Mentionnonrsolue">
    <w:name w:val="Unresolved Mention"/>
    <w:basedOn w:val="Policepardfaut"/>
    <w:uiPriority w:val="99"/>
    <w:semiHidden/>
    <w:unhideWhenUsed/>
    <w:rsid w:val="000F28AF"/>
    <w:rPr>
      <w:color w:val="605E5C"/>
      <w:shd w:val="clear" w:color="auto" w:fill="E1DFDD"/>
    </w:rPr>
  </w:style>
  <w:style w:type="paragraph" w:styleId="Sansinterligne">
    <w:name w:val="No Spacing"/>
    <w:uiPriority w:val="1"/>
    <w:qFormat/>
    <w:rsid w:val="00CA3233"/>
    <w:pPr>
      <w:widowControl/>
      <w:autoSpaceDN/>
      <w:textAlignment w:val="auto"/>
    </w:pPr>
    <w:rPr>
      <w:rFonts w:ascii="Georgia" w:eastAsia="Georgia" w:hAnsi="Georgia" w:cs="Times New Roman"/>
      <w:kern w:val="0"/>
      <w:szCs w:val="20"/>
      <w:lang w:val="en-US"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hyperlink" Target="https://www.economie.gouv.fr/dae/bourse-a-cotraitance-service-pour-aider-entrepris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conomie.gouv.fr/daj/formulaires-mise-a-jour-formulaire-declaration-sous-traitance-dans-marches-publics" TargetMode="External"/><Relationship Id="rId7" Type="http://schemas.openxmlformats.org/officeDocument/2006/relationships/endnotes" Target="endnotes.xml"/><Relationship Id="rId12" Type="http://schemas.openxmlformats.org/officeDocument/2006/relationships/hyperlink" Target="mailto:marches.archives-nationales@culture.gouv.fr" TargetMode="External"/><Relationship Id="rId17" Type="http://schemas.openxmlformats.org/officeDocument/2006/relationships/hyperlink" Target="mailto:marches.archives-nationales@culture.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https://communaute.chorus-pro.gouv.fr/pour-les-entrepris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legue-protection-donnees@culture.gouv.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nepasrepondre@marches-publics.gouv.fr" TargetMode="External"/><Relationship Id="rId23" Type="http://schemas.openxmlformats.org/officeDocument/2006/relationships/footer" Target="footer1.xml"/><Relationship Id="rId10" Type="http://schemas.openxmlformats.org/officeDocument/2006/relationships/hyperlink" Target="https://bilans-ges.ademe.fr/ressources/etapes-dun-bilan-ges" TargetMode="External"/><Relationship Id="rId19" Type="http://schemas.openxmlformats.org/officeDocument/2006/relationships/hyperlink" Target="https://dume.chorus-pro.gouv.fr" TargetMode="External"/><Relationship Id="rId4" Type="http://schemas.openxmlformats.org/officeDocument/2006/relationships/settings" Target="settings.xml"/><Relationship Id="rId9" Type="http://schemas.openxmlformats.org/officeDocument/2006/relationships/hyperlink" Target="https://www.economie.gouv.fr/cedef/bilan-carbone-entreprise" TargetMode="External"/><Relationship Id="rId14" Type="http://schemas.openxmlformats.org/officeDocument/2006/relationships/hyperlink" Target="https://www.marches-publics.gouv.fr" TargetMode="External"/><Relationship Id="rId22"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75E53-B57D-4A69-B05F-1D47ABEC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21</Pages>
  <Words>8499</Words>
  <Characters>46746</Characters>
  <Application>Microsoft Office Word</Application>
  <DocSecurity>0</DocSecurity>
  <Lines>389</Lines>
  <Paragraphs>110</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55135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BOUGASSA Hakima</dc:creator>
  <cp:keywords/>
  <dc:description/>
  <cp:lastModifiedBy>BOUGASSA Hakima</cp:lastModifiedBy>
  <cp:revision>19</cp:revision>
  <cp:lastPrinted>2025-06-13T06:50:00Z</cp:lastPrinted>
  <dcterms:created xsi:type="dcterms:W3CDTF">2024-02-26T12:38:00Z</dcterms:created>
  <dcterms:modified xsi:type="dcterms:W3CDTF">2025-06-13T07:20:00Z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MSIP_Label_37f782e2-1048-4ae6-8561-ea50d7047004_Enabled">
    <vt:lpwstr>true</vt:lpwstr>
  </property>
  <property fmtid="{D5CDD505-2E9C-101B-9397-08002B2CF9AE}" pid="7" name="MSIP_Label_37f782e2-1048-4ae6-8561-ea50d7047004_SetDate">
    <vt:lpwstr>2024-03-04T15:46:33Z</vt:lpwstr>
  </property>
  <property fmtid="{D5CDD505-2E9C-101B-9397-08002B2CF9AE}" pid="8" name="MSIP_Label_37f782e2-1048-4ae6-8561-ea50d7047004_Method">
    <vt:lpwstr>Standard</vt:lpwstr>
  </property>
  <property fmtid="{D5CDD505-2E9C-101B-9397-08002B2CF9AE}" pid="9" name="MSIP_Label_37f782e2-1048-4ae6-8561-ea50d7047004_Name">
    <vt:lpwstr>Donnée Interne</vt:lpwstr>
  </property>
  <property fmtid="{D5CDD505-2E9C-101B-9397-08002B2CF9AE}" pid="10" name="MSIP_Label_37f782e2-1048-4ae6-8561-ea50d7047004_SiteId">
    <vt:lpwstr>5d0b42b2-7ba0-42b9-bd88-2dd1558bd190</vt:lpwstr>
  </property>
  <property fmtid="{D5CDD505-2E9C-101B-9397-08002B2CF9AE}" pid="11" name="MSIP_Label_37f782e2-1048-4ae6-8561-ea50d7047004_ActionId">
    <vt:lpwstr>dc135e7e-e5a4-42d0-bf8c-719eb34df430</vt:lpwstr>
  </property>
  <property fmtid="{D5CDD505-2E9C-101B-9397-08002B2CF9AE}" pid="12" name="MSIP_Label_37f782e2-1048-4ae6-8561-ea50d7047004_ContentBits">
    <vt:lpwstr>2</vt:lpwstr>
  </property>
</Properties>
</file>