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2FF86" w14:textId="724DDC5A" w:rsidR="00813D3E" w:rsidRDefault="006A2A63" w:rsidP="008A4A3C">
      <w:pPr>
        <w:pStyle w:val="Textbody"/>
      </w:pPr>
      <w:r>
        <w:rPr>
          <w:noProof/>
          <w:lang w:eastAsia="fr-FR" w:bidi="ar-SA"/>
        </w:rPr>
        <w:drawing>
          <wp:anchor distT="0" distB="0" distL="114300" distR="114300" simplePos="0" relativeHeight="251658240" behindDoc="0" locked="0" layoutInCell="1" allowOverlap="1" wp14:anchorId="2D063E37" wp14:editId="2B09E7ED">
            <wp:simplePos x="0" y="0"/>
            <wp:positionH relativeFrom="column">
              <wp:posOffset>-196215</wp:posOffset>
            </wp:positionH>
            <wp:positionV relativeFrom="paragraph">
              <wp:posOffset>0</wp:posOffset>
            </wp:positionV>
            <wp:extent cx="6457950" cy="1809750"/>
            <wp:effectExtent l="0" t="0" r="0" b="0"/>
            <wp:wrapTight wrapText="bothSides">
              <wp:wrapPolygon edited="0">
                <wp:start x="701" y="2046"/>
                <wp:lineTo x="701" y="5684"/>
                <wp:lineTo x="956" y="6594"/>
                <wp:lineTo x="701" y="6821"/>
                <wp:lineTo x="701" y="19326"/>
                <wp:lineTo x="3058" y="19326"/>
                <wp:lineTo x="3313" y="17280"/>
                <wp:lineTo x="3058" y="17053"/>
                <wp:lineTo x="2166" y="17053"/>
                <wp:lineTo x="20835" y="13642"/>
                <wp:lineTo x="20835" y="9777"/>
                <wp:lineTo x="18733" y="5684"/>
                <wp:lineTo x="14910" y="5002"/>
                <wp:lineTo x="3313" y="2046"/>
                <wp:lineTo x="701" y="2046"/>
              </wp:wrapPolygon>
            </wp:wrapTight>
            <wp:docPr id="3" name="Image 2" descr="\\ARMAN\04_kit_communication\Logos_AN\Logo_AN_202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6457950" cy="18097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5E8170C6" w14:textId="77777777" w:rsidR="00813D3E" w:rsidRDefault="00813D3E" w:rsidP="008A4A3C">
      <w:pPr>
        <w:pStyle w:val="Textbody"/>
      </w:pPr>
    </w:p>
    <w:p w14:paraId="26D04581" w14:textId="77777777" w:rsidR="00813D3E" w:rsidRDefault="00813D3E" w:rsidP="008A4A3C">
      <w:pPr>
        <w:pStyle w:val="Textbody"/>
      </w:pPr>
    </w:p>
    <w:p w14:paraId="1F073D15" w14:textId="77777777" w:rsidR="00813D3E" w:rsidRDefault="00813D3E" w:rsidP="008A4A3C">
      <w:pPr>
        <w:pStyle w:val="Textbody"/>
      </w:pPr>
    </w:p>
    <w:p w14:paraId="73BF1296" w14:textId="77777777" w:rsidR="00813D3E" w:rsidRDefault="00813D3E" w:rsidP="008A4A3C">
      <w:pPr>
        <w:pStyle w:val="Textbody"/>
      </w:pPr>
    </w:p>
    <w:p w14:paraId="0438FB08" w14:textId="77777777" w:rsidR="00813D3E" w:rsidRDefault="00813D3E" w:rsidP="008A4A3C">
      <w:pPr>
        <w:pStyle w:val="Textbody"/>
      </w:pPr>
    </w:p>
    <w:p w14:paraId="1903232C" w14:textId="77777777" w:rsidR="00813D3E" w:rsidRPr="00D32165" w:rsidRDefault="001C3459" w:rsidP="008A4A3C">
      <w:pPr>
        <w:pStyle w:val="Textbody"/>
        <w:rPr>
          <w:b/>
          <w:bCs/>
        </w:rPr>
      </w:pPr>
      <w:r w:rsidRPr="00D32165">
        <w:rPr>
          <w:b/>
          <w:bCs/>
        </w:rPr>
        <w:t>MINISTERE DE LA CULTURE</w:t>
      </w:r>
    </w:p>
    <w:p w14:paraId="28690A7B" w14:textId="77777777" w:rsidR="00813D3E" w:rsidRPr="00D32165" w:rsidRDefault="001C3459" w:rsidP="008A4A3C">
      <w:pPr>
        <w:pStyle w:val="Textbody"/>
        <w:rPr>
          <w:b/>
          <w:bCs/>
        </w:rPr>
      </w:pPr>
      <w:r w:rsidRPr="00D32165">
        <w:rPr>
          <w:b/>
          <w:bCs/>
        </w:rPr>
        <w:t xml:space="preserve">Archives nationales    </w:t>
      </w:r>
    </w:p>
    <w:p w14:paraId="60C3CCB3" w14:textId="77777777" w:rsidR="00813D3E" w:rsidRDefault="00813D3E" w:rsidP="008A4A3C">
      <w:pPr>
        <w:pStyle w:val="Textbody"/>
      </w:pPr>
    </w:p>
    <w:p w14:paraId="5290DBD3" w14:textId="77777777" w:rsidR="00813D3E" w:rsidRDefault="00813D3E" w:rsidP="008A4A3C">
      <w:pPr>
        <w:pStyle w:val="Textbody"/>
      </w:pPr>
    </w:p>
    <w:p w14:paraId="061712B6" w14:textId="77777777" w:rsidR="00813D3E" w:rsidRDefault="00813D3E" w:rsidP="008A4A3C">
      <w:pPr>
        <w:pStyle w:val="Standard"/>
      </w:pPr>
    </w:p>
    <w:tbl>
      <w:tblPr>
        <w:tblW w:w="9637" w:type="dxa"/>
        <w:jc w:val="center"/>
        <w:tblLayout w:type="fixed"/>
        <w:tblCellMar>
          <w:left w:w="10" w:type="dxa"/>
          <w:right w:w="10" w:type="dxa"/>
        </w:tblCellMar>
        <w:tblLook w:val="04A0" w:firstRow="1" w:lastRow="0" w:firstColumn="1" w:lastColumn="0" w:noHBand="0" w:noVBand="1"/>
      </w:tblPr>
      <w:tblGrid>
        <w:gridCol w:w="557"/>
        <w:gridCol w:w="8520"/>
        <w:gridCol w:w="560"/>
      </w:tblGrid>
      <w:tr w:rsidR="00247DA1" w14:paraId="70AEF871" w14:textId="77777777" w:rsidTr="00C32EAB">
        <w:trPr>
          <w:trHeight w:val="1163"/>
          <w:jc w:val="center"/>
        </w:trPr>
        <w:tc>
          <w:tcPr>
            <w:tcW w:w="557" w:type="dxa"/>
            <w:tcBorders>
              <w:top w:val="single" w:sz="2" w:space="0" w:color="000000"/>
              <w:left w:val="single" w:sz="2" w:space="0" w:color="000000"/>
            </w:tcBorders>
            <w:tcMar>
              <w:top w:w="55" w:type="dxa"/>
              <w:left w:w="55" w:type="dxa"/>
              <w:bottom w:w="55" w:type="dxa"/>
              <w:right w:w="55" w:type="dxa"/>
            </w:tcMar>
          </w:tcPr>
          <w:p w14:paraId="23637816" w14:textId="77777777" w:rsidR="00247DA1" w:rsidRDefault="00247DA1" w:rsidP="00C32EAB">
            <w:pPr>
              <w:pStyle w:val="TableContents"/>
            </w:pPr>
          </w:p>
        </w:tc>
        <w:tc>
          <w:tcPr>
            <w:tcW w:w="8520" w:type="dxa"/>
            <w:tcBorders>
              <w:top w:val="single" w:sz="2" w:space="0" w:color="000000"/>
            </w:tcBorders>
            <w:tcMar>
              <w:top w:w="55" w:type="dxa"/>
              <w:left w:w="55" w:type="dxa"/>
              <w:bottom w:w="55" w:type="dxa"/>
              <w:right w:w="55" w:type="dxa"/>
            </w:tcMar>
            <w:vAlign w:val="center"/>
          </w:tcPr>
          <w:p w14:paraId="3A02A64E" w14:textId="77777777" w:rsidR="00247DA1" w:rsidRPr="00DC238C" w:rsidRDefault="00247DA1" w:rsidP="00C32EAB">
            <w:pPr>
              <w:pStyle w:val="Standard"/>
              <w:jc w:val="center"/>
              <w:rPr>
                <w:b/>
                <w:bCs/>
                <w:sz w:val="32"/>
                <w:szCs w:val="40"/>
              </w:rPr>
            </w:pPr>
            <w:r w:rsidRPr="00DC238C">
              <w:rPr>
                <w:b/>
                <w:bCs/>
                <w:sz w:val="32"/>
                <w:szCs w:val="40"/>
              </w:rPr>
              <w:t>TRAVAUX DE REMPLACEMENT DES GROUPES FROIDS SUR LE SITE DE PIERREFITTE-SUR-SEINE DES ARCHIVES NATIONALES</w:t>
            </w:r>
          </w:p>
        </w:tc>
        <w:tc>
          <w:tcPr>
            <w:tcW w:w="560" w:type="dxa"/>
            <w:tcBorders>
              <w:top w:val="single" w:sz="2" w:space="0" w:color="000000"/>
              <w:right w:val="single" w:sz="2" w:space="0" w:color="000000"/>
            </w:tcBorders>
            <w:tcMar>
              <w:top w:w="55" w:type="dxa"/>
              <w:left w:w="55" w:type="dxa"/>
              <w:bottom w:w="55" w:type="dxa"/>
              <w:right w:w="55" w:type="dxa"/>
            </w:tcMar>
          </w:tcPr>
          <w:p w14:paraId="12B2CEAA" w14:textId="77777777" w:rsidR="00247DA1" w:rsidRDefault="00247DA1" w:rsidP="00C32EAB">
            <w:pPr>
              <w:pStyle w:val="TableContents"/>
            </w:pPr>
          </w:p>
        </w:tc>
      </w:tr>
      <w:tr w:rsidR="00247DA1" w14:paraId="5116C554" w14:textId="77777777" w:rsidTr="00C32EAB">
        <w:trPr>
          <w:trHeight w:val="1068"/>
          <w:jc w:val="center"/>
        </w:trPr>
        <w:tc>
          <w:tcPr>
            <w:tcW w:w="557" w:type="dxa"/>
            <w:tcBorders>
              <w:left w:val="single" w:sz="2" w:space="0" w:color="000000"/>
              <w:bottom w:val="single" w:sz="2" w:space="0" w:color="000000"/>
            </w:tcBorders>
            <w:tcMar>
              <w:top w:w="55" w:type="dxa"/>
              <w:left w:w="55" w:type="dxa"/>
              <w:bottom w:w="55" w:type="dxa"/>
              <w:right w:w="55" w:type="dxa"/>
            </w:tcMar>
          </w:tcPr>
          <w:p w14:paraId="037DF918" w14:textId="77777777" w:rsidR="00247DA1" w:rsidRDefault="00247DA1" w:rsidP="00C32EAB">
            <w:pPr>
              <w:pStyle w:val="TableContents"/>
            </w:pPr>
          </w:p>
        </w:tc>
        <w:tc>
          <w:tcPr>
            <w:tcW w:w="8520" w:type="dxa"/>
            <w:tcBorders>
              <w:bottom w:val="single" w:sz="2" w:space="0" w:color="000000"/>
            </w:tcBorders>
            <w:tcMar>
              <w:top w:w="55" w:type="dxa"/>
              <w:left w:w="55" w:type="dxa"/>
              <w:bottom w:w="55" w:type="dxa"/>
              <w:right w:w="55" w:type="dxa"/>
            </w:tcMar>
            <w:vAlign w:val="center"/>
          </w:tcPr>
          <w:p w14:paraId="12C9D2E1" w14:textId="437BF5DD" w:rsidR="00247DA1" w:rsidRPr="00DC238C" w:rsidRDefault="00247DA1" w:rsidP="00C32EAB">
            <w:pPr>
              <w:pStyle w:val="Textbody"/>
              <w:jc w:val="center"/>
              <w:rPr>
                <w:b/>
                <w:bCs/>
                <w:sz w:val="32"/>
                <w:szCs w:val="40"/>
              </w:rPr>
            </w:pPr>
            <w:r w:rsidRPr="00247DA1">
              <w:rPr>
                <w:b/>
                <w:bCs/>
                <w:sz w:val="32"/>
                <w:szCs w:val="40"/>
              </w:rPr>
              <w:t>REGLEMENT DE LA CONSULTATION</w:t>
            </w:r>
          </w:p>
        </w:tc>
        <w:tc>
          <w:tcPr>
            <w:tcW w:w="560" w:type="dxa"/>
            <w:tcBorders>
              <w:bottom w:val="single" w:sz="2" w:space="0" w:color="000000"/>
              <w:right w:val="single" w:sz="2" w:space="0" w:color="000000"/>
            </w:tcBorders>
            <w:tcMar>
              <w:top w:w="55" w:type="dxa"/>
              <w:left w:w="55" w:type="dxa"/>
              <w:bottom w:w="55" w:type="dxa"/>
              <w:right w:w="55" w:type="dxa"/>
            </w:tcMar>
          </w:tcPr>
          <w:p w14:paraId="63ABCE50" w14:textId="77777777" w:rsidR="00247DA1" w:rsidRDefault="00247DA1" w:rsidP="00C32EAB">
            <w:pPr>
              <w:pStyle w:val="TableContents"/>
            </w:pPr>
          </w:p>
        </w:tc>
      </w:tr>
    </w:tbl>
    <w:p w14:paraId="719D016D" w14:textId="77777777" w:rsidR="00247DA1" w:rsidRDefault="00247DA1" w:rsidP="00247DA1">
      <w:pPr>
        <w:pStyle w:val="Standard"/>
      </w:pPr>
    </w:p>
    <w:p w14:paraId="2F4CB19A" w14:textId="77777777" w:rsidR="00247DA1" w:rsidRDefault="00247DA1" w:rsidP="00247DA1">
      <w:pPr>
        <w:pStyle w:val="Standard"/>
      </w:pPr>
    </w:p>
    <w:p w14:paraId="2C46364A" w14:textId="77777777" w:rsidR="00247DA1" w:rsidRDefault="00247DA1" w:rsidP="00247DA1">
      <w:pPr>
        <w:pStyle w:val="Standard"/>
      </w:pPr>
    </w:p>
    <w:p w14:paraId="1C9D8A74" w14:textId="77777777" w:rsidR="00247DA1" w:rsidRPr="00DC238C" w:rsidRDefault="00247DA1" w:rsidP="00247DA1">
      <w:pPr>
        <w:pStyle w:val="Standard"/>
        <w:rPr>
          <w:b/>
          <w:bCs/>
        </w:rPr>
      </w:pPr>
      <w:r w:rsidRPr="00DC238C">
        <w:rPr>
          <w:b/>
          <w:bCs/>
          <w:u w:val="single"/>
        </w:rPr>
        <w:t>Numéro de consultation</w:t>
      </w:r>
      <w:r w:rsidRPr="00DC238C">
        <w:rPr>
          <w:b/>
          <w:bCs/>
        </w:rPr>
        <w:t xml:space="preserve"> : 2025/004</w:t>
      </w:r>
    </w:p>
    <w:p w14:paraId="62D54840" w14:textId="77777777" w:rsidR="00247DA1" w:rsidRPr="00DC238C" w:rsidRDefault="00247DA1" w:rsidP="00247DA1">
      <w:pPr>
        <w:pStyle w:val="Standard"/>
        <w:rPr>
          <w:b/>
          <w:bCs/>
        </w:rPr>
      </w:pPr>
    </w:p>
    <w:p w14:paraId="2B419D5D" w14:textId="77777777" w:rsidR="00247DA1" w:rsidRPr="006D7876" w:rsidRDefault="00247DA1" w:rsidP="00247DA1">
      <w:pPr>
        <w:pStyle w:val="Standard"/>
        <w:rPr>
          <w:b/>
          <w:bCs/>
        </w:rPr>
      </w:pPr>
      <w:r w:rsidRPr="00DC238C">
        <w:rPr>
          <w:b/>
          <w:bCs/>
          <w:u w:val="single"/>
        </w:rPr>
        <w:t>Procédure de passation</w:t>
      </w:r>
      <w:r w:rsidRPr="00DC238C">
        <w:rPr>
          <w:b/>
          <w:bCs/>
        </w:rPr>
        <w:t xml:space="preserve"> : Le présent marché public est passé selon une procédure adaptée </w:t>
      </w:r>
      <w:r w:rsidRPr="006D7876">
        <w:rPr>
          <w:b/>
          <w:bCs/>
        </w:rPr>
        <w:t>conformément aux dispositions des articles L.2123-1 et R.2123-1 du code de la commande publique.</w:t>
      </w:r>
    </w:p>
    <w:p w14:paraId="0F3EB1A9" w14:textId="77777777" w:rsidR="00247DA1" w:rsidRPr="006D7876" w:rsidRDefault="00247DA1" w:rsidP="00247DA1">
      <w:pPr>
        <w:pStyle w:val="Standard"/>
        <w:rPr>
          <w:b/>
          <w:bCs/>
        </w:rPr>
      </w:pPr>
    </w:p>
    <w:p w14:paraId="73324EB3" w14:textId="423992CE" w:rsidR="00247DA1" w:rsidRPr="006D7876" w:rsidRDefault="00247DA1" w:rsidP="00247DA1">
      <w:pPr>
        <w:pStyle w:val="Standard"/>
        <w:rPr>
          <w:b/>
          <w:bCs/>
        </w:rPr>
      </w:pPr>
      <w:r w:rsidRPr="006D7876">
        <w:rPr>
          <w:b/>
          <w:bCs/>
          <w:u w:val="single"/>
        </w:rPr>
        <w:t>Date de remise des plis</w:t>
      </w:r>
      <w:r w:rsidRPr="006D7876">
        <w:rPr>
          <w:b/>
          <w:bCs/>
        </w:rPr>
        <w:t xml:space="preserve"> :  le </w:t>
      </w:r>
      <w:r w:rsidR="00350F36" w:rsidRPr="006D7876">
        <w:rPr>
          <w:b/>
          <w:bCs/>
        </w:rPr>
        <w:t xml:space="preserve">04/07/2025 </w:t>
      </w:r>
      <w:r w:rsidRPr="006D7876">
        <w:rPr>
          <w:b/>
          <w:bCs/>
        </w:rPr>
        <w:t>à 15h00</w:t>
      </w:r>
    </w:p>
    <w:p w14:paraId="6C020C9B" w14:textId="77777777" w:rsidR="00247DA1" w:rsidRPr="006D7876" w:rsidRDefault="00247DA1" w:rsidP="00247DA1">
      <w:pPr>
        <w:pStyle w:val="Standard"/>
        <w:rPr>
          <w:b/>
          <w:bCs/>
        </w:rPr>
      </w:pPr>
    </w:p>
    <w:p w14:paraId="25AA7F96" w14:textId="3AEBDB81" w:rsidR="00247DA1" w:rsidRPr="00DC238C" w:rsidRDefault="00247DA1" w:rsidP="00247DA1">
      <w:pPr>
        <w:pStyle w:val="Standard"/>
        <w:rPr>
          <w:b/>
          <w:bCs/>
        </w:rPr>
      </w:pPr>
      <w:r w:rsidRPr="006D7876">
        <w:rPr>
          <w:b/>
          <w:bCs/>
          <w:u w:val="single"/>
        </w:rPr>
        <w:t>Visite obligatoire pour les candidats</w:t>
      </w:r>
      <w:r w:rsidRPr="006D7876">
        <w:rPr>
          <w:b/>
          <w:bCs/>
        </w:rPr>
        <w:t xml:space="preserve"> : le </w:t>
      </w:r>
      <w:r w:rsidR="006D7876" w:rsidRPr="006D7876">
        <w:rPr>
          <w:b/>
          <w:bCs/>
        </w:rPr>
        <w:t>16</w:t>
      </w:r>
      <w:r w:rsidRPr="006D7876">
        <w:rPr>
          <w:b/>
          <w:bCs/>
        </w:rPr>
        <w:t>/0</w:t>
      </w:r>
      <w:r w:rsidR="006D7876" w:rsidRPr="006D7876">
        <w:rPr>
          <w:b/>
          <w:bCs/>
        </w:rPr>
        <w:t>6</w:t>
      </w:r>
      <w:r w:rsidRPr="006D7876">
        <w:rPr>
          <w:b/>
          <w:bCs/>
        </w:rPr>
        <w:t>/202</w:t>
      </w:r>
      <w:r w:rsidR="00EC17B0">
        <w:rPr>
          <w:b/>
          <w:bCs/>
        </w:rPr>
        <w:t>5</w:t>
      </w:r>
      <w:r w:rsidRPr="006D7876">
        <w:rPr>
          <w:b/>
          <w:bCs/>
        </w:rPr>
        <w:t xml:space="preserve"> à 1</w:t>
      </w:r>
      <w:r w:rsidR="006D7876" w:rsidRPr="006D7876">
        <w:rPr>
          <w:b/>
          <w:bCs/>
        </w:rPr>
        <w:t>4</w:t>
      </w:r>
      <w:r w:rsidRPr="006D7876">
        <w:rPr>
          <w:b/>
          <w:bCs/>
        </w:rPr>
        <w:t>h30</w:t>
      </w:r>
    </w:p>
    <w:p w14:paraId="18ED58EA" w14:textId="77777777" w:rsidR="00247DA1" w:rsidRPr="00C9190E" w:rsidRDefault="00247DA1" w:rsidP="00247DA1">
      <w:pPr>
        <w:pStyle w:val="Standard"/>
      </w:pPr>
    </w:p>
    <w:p w14:paraId="49EF7B5C" w14:textId="77777777" w:rsidR="00813D3E" w:rsidRDefault="00813D3E" w:rsidP="008A4A3C">
      <w:pPr>
        <w:pStyle w:val="Standard"/>
      </w:pPr>
    </w:p>
    <w:p w14:paraId="1AD71AA2" w14:textId="77777777" w:rsidR="00247DA1" w:rsidRDefault="00247DA1" w:rsidP="008A4A3C">
      <w:pPr>
        <w:pStyle w:val="Standard"/>
      </w:pPr>
    </w:p>
    <w:p w14:paraId="3D9F6E55" w14:textId="77777777" w:rsidR="00247DA1" w:rsidRDefault="00247DA1" w:rsidP="008A4A3C">
      <w:pPr>
        <w:pStyle w:val="Standard"/>
      </w:pPr>
    </w:p>
    <w:p w14:paraId="6726EB82" w14:textId="77777777" w:rsidR="00247DA1" w:rsidRDefault="00247DA1" w:rsidP="008A4A3C">
      <w:pPr>
        <w:pStyle w:val="Standard"/>
      </w:pPr>
    </w:p>
    <w:p w14:paraId="512919F5" w14:textId="77777777" w:rsidR="00247DA1" w:rsidRDefault="00247DA1" w:rsidP="008A4A3C">
      <w:pPr>
        <w:pStyle w:val="Standard"/>
      </w:pPr>
    </w:p>
    <w:p w14:paraId="18045BC1" w14:textId="77777777" w:rsidR="00F707E3" w:rsidRDefault="00F707E3" w:rsidP="008A4A3C">
      <w:pPr>
        <w:pStyle w:val="Standard"/>
      </w:pPr>
    </w:p>
    <w:p w14:paraId="11C9244E" w14:textId="77777777" w:rsidR="00247DA1" w:rsidRDefault="00247DA1" w:rsidP="008A4A3C">
      <w:pPr>
        <w:pStyle w:val="Standard"/>
      </w:pPr>
    </w:p>
    <w:p w14:paraId="646C1609" w14:textId="77777777" w:rsidR="00247DA1" w:rsidRDefault="00247DA1" w:rsidP="008A4A3C">
      <w:pPr>
        <w:pStyle w:val="Standard"/>
      </w:pPr>
    </w:p>
    <w:p w14:paraId="1AD845FC" w14:textId="77777777" w:rsidR="00247DA1" w:rsidRDefault="00247DA1" w:rsidP="008A4A3C">
      <w:pPr>
        <w:pStyle w:val="Standard"/>
      </w:pPr>
    </w:p>
    <w:p w14:paraId="3398622E" w14:textId="77777777" w:rsidR="00247DA1" w:rsidRDefault="00247DA1" w:rsidP="008A4A3C">
      <w:pPr>
        <w:pStyle w:val="Standard"/>
      </w:pPr>
    </w:p>
    <w:p w14:paraId="000DF012" w14:textId="77777777" w:rsidR="00247DA1" w:rsidRDefault="00247DA1" w:rsidP="008A4A3C">
      <w:pPr>
        <w:pStyle w:val="Standard"/>
      </w:pPr>
    </w:p>
    <w:p w14:paraId="1F9455FD" w14:textId="77777777" w:rsidR="00247DA1" w:rsidRDefault="00247DA1" w:rsidP="008A4A3C">
      <w:pPr>
        <w:pStyle w:val="Standard"/>
      </w:pPr>
    </w:p>
    <w:p w14:paraId="50CD2BA6" w14:textId="2A1432AD" w:rsidR="00E147C6" w:rsidRDefault="001C34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r>
        <w:rPr>
          <w:b/>
          <w:bCs/>
          <w:sz w:val="20"/>
        </w:rPr>
        <w:lastRenderedPageBreak/>
        <w:fldChar w:fldCharType="begin"/>
      </w:r>
      <w:r>
        <w:instrText xml:space="preserve"> TOC \o "1-2" \u \l 1-2 \h </w:instrText>
      </w:r>
      <w:r>
        <w:rPr>
          <w:b/>
          <w:bCs/>
          <w:sz w:val="20"/>
        </w:rPr>
        <w:fldChar w:fldCharType="separate"/>
      </w:r>
      <w:hyperlink w:anchor="_Toc198913378" w:history="1">
        <w:r w:rsidR="00E147C6" w:rsidRPr="008141DF">
          <w:rPr>
            <w:rStyle w:val="Lienhypertexte"/>
            <w:noProof/>
          </w:rPr>
          <w:t>Article 1 -</w:t>
        </w:r>
        <w:r w:rsidR="00E147C6">
          <w:rPr>
            <w:rFonts w:asciiTheme="minorHAnsi" w:eastAsiaTheme="minorEastAsia" w:hAnsiTheme="minorHAnsi" w:cstheme="minorBidi"/>
            <w:noProof/>
            <w:kern w:val="2"/>
            <w:lang w:eastAsia="fr-FR" w:bidi="ar-SA"/>
            <w14:ligatures w14:val="standardContextual"/>
          </w:rPr>
          <w:tab/>
        </w:r>
        <w:r w:rsidR="00E147C6" w:rsidRPr="008141DF">
          <w:rPr>
            <w:rStyle w:val="Lienhypertexte"/>
            <w:noProof/>
          </w:rPr>
          <w:t>MAITRE DE L'OUVRAGE</w:t>
        </w:r>
        <w:r w:rsidR="00E147C6">
          <w:rPr>
            <w:noProof/>
          </w:rPr>
          <w:tab/>
        </w:r>
        <w:r w:rsidR="00E147C6">
          <w:rPr>
            <w:noProof/>
          </w:rPr>
          <w:fldChar w:fldCharType="begin"/>
        </w:r>
        <w:r w:rsidR="00E147C6">
          <w:rPr>
            <w:noProof/>
          </w:rPr>
          <w:instrText xml:space="preserve"> PAGEREF _Toc198913378 \h </w:instrText>
        </w:r>
        <w:r w:rsidR="00E147C6">
          <w:rPr>
            <w:noProof/>
          </w:rPr>
        </w:r>
        <w:r w:rsidR="00E147C6">
          <w:rPr>
            <w:noProof/>
          </w:rPr>
          <w:fldChar w:fldCharType="separate"/>
        </w:r>
        <w:r w:rsidR="00E147C6">
          <w:rPr>
            <w:noProof/>
          </w:rPr>
          <w:t>4</w:t>
        </w:r>
        <w:r w:rsidR="00E147C6">
          <w:rPr>
            <w:noProof/>
          </w:rPr>
          <w:fldChar w:fldCharType="end"/>
        </w:r>
      </w:hyperlink>
    </w:p>
    <w:p w14:paraId="6A105AB7" w14:textId="21C4BF46"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379" w:history="1">
        <w:r w:rsidRPr="008141DF">
          <w:rPr>
            <w:rStyle w:val="Lienhypertexte"/>
            <w:noProof/>
          </w:rPr>
          <w:t>Article 2 -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OBJET DE LA CONSULTATION</w:t>
        </w:r>
        <w:r>
          <w:rPr>
            <w:noProof/>
          </w:rPr>
          <w:tab/>
        </w:r>
        <w:r>
          <w:rPr>
            <w:noProof/>
          </w:rPr>
          <w:fldChar w:fldCharType="begin"/>
        </w:r>
        <w:r>
          <w:rPr>
            <w:noProof/>
          </w:rPr>
          <w:instrText xml:space="preserve"> PAGEREF _Toc198913379 \h </w:instrText>
        </w:r>
        <w:r>
          <w:rPr>
            <w:noProof/>
          </w:rPr>
        </w:r>
        <w:r>
          <w:rPr>
            <w:noProof/>
          </w:rPr>
          <w:fldChar w:fldCharType="separate"/>
        </w:r>
        <w:r>
          <w:rPr>
            <w:noProof/>
          </w:rPr>
          <w:t>4</w:t>
        </w:r>
        <w:r>
          <w:rPr>
            <w:noProof/>
          </w:rPr>
          <w:fldChar w:fldCharType="end"/>
        </w:r>
      </w:hyperlink>
    </w:p>
    <w:p w14:paraId="10750F67" w14:textId="2B9B03F9"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380" w:history="1">
        <w:r w:rsidRPr="008141DF">
          <w:rPr>
            <w:rStyle w:val="Lienhypertexte"/>
            <w:noProof/>
          </w:rPr>
          <w:t>Article 3 -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CONDITIONS DE LA CONSULTATION</w:t>
        </w:r>
        <w:r>
          <w:rPr>
            <w:noProof/>
          </w:rPr>
          <w:tab/>
        </w:r>
        <w:r>
          <w:rPr>
            <w:noProof/>
          </w:rPr>
          <w:fldChar w:fldCharType="begin"/>
        </w:r>
        <w:r>
          <w:rPr>
            <w:noProof/>
          </w:rPr>
          <w:instrText xml:space="preserve"> PAGEREF _Toc198913380 \h </w:instrText>
        </w:r>
        <w:r>
          <w:rPr>
            <w:noProof/>
          </w:rPr>
        </w:r>
        <w:r>
          <w:rPr>
            <w:noProof/>
          </w:rPr>
          <w:fldChar w:fldCharType="separate"/>
        </w:r>
        <w:r>
          <w:rPr>
            <w:noProof/>
          </w:rPr>
          <w:t>4</w:t>
        </w:r>
        <w:r>
          <w:rPr>
            <w:noProof/>
          </w:rPr>
          <w:fldChar w:fldCharType="end"/>
        </w:r>
      </w:hyperlink>
    </w:p>
    <w:p w14:paraId="75DC8BA0" w14:textId="06954E42"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1" w:history="1">
        <w:r w:rsidRPr="008141DF">
          <w:rPr>
            <w:rStyle w:val="Lienhypertexte"/>
            <w:noProof/>
          </w:rPr>
          <w:t>3.1</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Procédure de passation</w:t>
        </w:r>
        <w:r>
          <w:rPr>
            <w:noProof/>
          </w:rPr>
          <w:tab/>
        </w:r>
        <w:r>
          <w:rPr>
            <w:noProof/>
          </w:rPr>
          <w:fldChar w:fldCharType="begin"/>
        </w:r>
        <w:r>
          <w:rPr>
            <w:noProof/>
          </w:rPr>
          <w:instrText xml:space="preserve"> PAGEREF _Toc198913381 \h </w:instrText>
        </w:r>
        <w:r>
          <w:rPr>
            <w:noProof/>
          </w:rPr>
        </w:r>
        <w:r>
          <w:rPr>
            <w:noProof/>
          </w:rPr>
          <w:fldChar w:fldCharType="separate"/>
        </w:r>
        <w:r>
          <w:rPr>
            <w:noProof/>
          </w:rPr>
          <w:t>4</w:t>
        </w:r>
        <w:r>
          <w:rPr>
            <w:noProof/>
          </w:rPr>
          <w:fldChar w:fldCharType="end"/>
        </w:r>
      </w:hyperlink>
    </w:p>
    <w:p w14:paraId="28E57595" w14:textId="29B46EEF"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2" w:history="1">
        <w:r w:rsidRPr="008141DF">
          <w:rPr>
            <w:rStyle w:val="Lienhypertexte"/>
            <w:noProof/>
          </w:rPr>
          <w:t>3.2</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Allotissement</w:t>
        </w:r>
        <w:r>
          <w:rPr>
            <w:noProof/>
          </w:rPr>
          <w:tab/>
        </w:r>
        <w:r>
          <w:rPr>
            <w:noProof/>
          </w:rPr>
          <w:fldChar w:fldCharType="begin"/>
        </w:r>
        <w:r>
          <w:rPr>
            <w:noProof/>
          </w:rPr>
          <w:instrText xml:space="preserve"> PAGEREF _Toc198913382 \h </w:instrText>
        </w:r>
        <w:r>
          <w:rPr>
            <w:noProof/>
          </w:rPr>
        </w:r>
        <w:r>
          <w:rPr>
            <w:noProof/>
          </w:rPr>
          <w:fldChar w:fldCharType="separate"/>
        </w:r>
        <w:r>
          <w:rPr>
            <w:noProof/>
          </w:rPr>
          <w:t>4</w:t>
        </w:r>
        <w:r>
          <w:rPr>
            <w:noProof/>
          </w:rPr>
          <w:fldChar w:fldCharType="end"/>
        </w:r>
      </w:hyperlink>
    </w:p>
    <w:p w14:paraId="05DCA3BC" w14:textId="4222E53A"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3" w:history="1">
        <w:r w:rsidRPr="008141DF">
          <w:rPr>
            <w:rStyle w:val="Lienhypertexte"/>
            <w:noProof/>
          </w:rPr>
          <w:t>3.3</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Tranches</w:t>
        </w:r>
        <w:r>
          <w:rPr>
            <w:noProof/>
          </w:rPr>
          <w:tab/>
        </w:r>
        <w:r>
          <w:rPr>
            <w:noProof/>
          </w:rPr>
          <w:fldChar w:fldCharType="begin"/>
        </w:r>
        <w:r>
          <w:rPr>
            <w:noProof/>
          </w:rPr>
          <w:instrText xml:space="preserve"> PAGEREF _Toc198913383 \h </w:instrText>
        </w:r>
        <w:r>
          <w:rPr>
            <w:noProof/>
          </w:rPr>
        </w:r>
        <w:r>
          <w:rPr>
            <w:noProof/>
          </w:rPr>
          <w:fldChar w:fldCharType="separate"/>
        </w:r>
        <w:r>
          <w:rPr>
            <w:noProof/>
          </w:rPr>
          <w:t>4</w:t>
        </w:r>
        <w:r>
          <w:rPr>
            <w:noProof/>
          </w:rPr>
          <w:fldChar w:fldCharType="end"/>
        </w:r>
      </w:hyperlink>
    </w:p>
    <w:p w14:paraId="7C820529" w14:textId="7F177322"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4" w:history="1">
        <w:r w:rsidRPr="008141DF">
          <w:rPr>
            <w:rStyle w:val="Lienhypertexte"/>
            <w:noProof/>
          </w:rPr>
          <w:t>3.4</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Variantes</w:t>
        </w:r>
        <w:r>
          <w:rPr>
            <w:noProof/>
          </w:rPr>
          <w:tab/>
        </w:r>
        <w:r>
          <w:rPr>
            <w:noProof/>
          </w:rPr>
          <w:fldChar w:fldCharType="begin"/>
        </w:r>
        <w:r>
          <w:rPr>
            <w:noProof/>
          </w:rPr>
          <w:instrText xml:space="preserve"> PAGEREF _Toc198913384 \h </w:instrText>
        </w:r>
        <w:r>
          <w:rPr>
            <w:noProof/>
          </w:rPr>
        </w:r>
        <w:r>
          <w:rPr>
            <w:noProof/>
          </w:rPr>
          <w:fldChar w:fldCharType="separate"/>
        </w:r>
        <w:r>
          <w:rPr>
            <w:noProof/>
          </w:rPr>
          <w:t>5</w:t>
        </w:r>
        <w:r>
          <w:rPr>
            <w:noProof/>
          </w:rPr>
          <w:fldChar w:fldCharType="end"/>
        </w:r>
      </w:hyperlink>
    </w:p>
    <w:p w14:paraId="230CF9FF" w14:textId="7844F0D3"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5" w:history="1">
        <w:r w:rsidRPr="008141DF">
          <w:rPr>
            <w:rStyle w:val="Lienhypertexte"/>
            <w:noProof/>
          </w:rPr>
          <w:t>3.5</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Forme et étendue du marché</w:t>
        </w:r>
        <w:r>
          <w:rPr>
            <w:noProof/>
          </w:rPr>
          <w:tab/>
        </w:r>
        <w:r>
          <w:rPr>
            <w:noProof/>
          </w:rPr>
          <w:fldChar w:fldCharType="begin"/>
        </w:r>
        <w:r>
          <w:rPr>
            <w:noProof/>
          </w:rPr>
          <w:instrText xml:space="preserve"> PAGEREF _Toc198913385 \h </w:instrText>
        </w:r>
        <w:r>
          <w:rPr>
            <w:noProof/>
          </w:rPr>
        </w:r>
        <w:r>
          <w:rPr>
            <w:noProof/>
          </w:rPr>
          <w:fldChar w:fldCharType="separate"/>
        </w:r>
        <w:r>
          <w:rPr>
            <w:noProof/>
          </w:rPr>
          <w:t>5</w:t>
        </w:r>
        <w:r>
          <w:rPr>
            <w:noProof/>
          </w:rPr>
          <w:fldChar w:fldCharType="end"/>
        </w:r>
      </w:hyperlink>
    </w:p>
    <w:p w14:paraId="43DF681B" w14:textId="37AF36A0"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6" w:history="1">
        <w:r w:rsidRPr="008141DF">
          <w:rPr>
            <w:rStyle w:val="Lienhypertexte"/>
            <w:noProof/>
          </w:rPr>
          <w:t>3.6</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Durée du marché</w:t>
        </w:r>
        <w:r>
          <w:rPr>
            <w:noProof/>
          </w:rPr>
          <w:tab/>
        </w:r>
        <w:r>
          <w:rPr>
            <w:noProof/>
          </w:rPr>
          <w:fldChar w:fldCharType="begin"/>
        </w:r>
        <w:r>
          <w:rPr>
            <w:noProof/>
          </w:rPr>
          <w:instrText xml:space="preserve"> PAGEREF _Toc198913386 \h </w:instrText>
        </w:r>
        <w:r>
          <w:rPr>
            <w:noProof/>
          </w:rPr>
        </w:r>
        <w:r>
          <w:rPr>
            <w:noProof/>
          </w:rPr>
          <w:fldChar w:fldCharType="separate"/>
        </w:r>
        <w:r>
          <w:rPr>
            <w:noProof/>
          </w:rPr>
          <w:t>5</w:t>
        </w:r>
        <w:r>
          <w:rPr>
            <w:noProof/>
          </w:rPr>
          <w:fldChar w:fldCharType="end"/>
        </w:r>
      </w:hyperlink>
    </w:p>
    <w:p w14:paraId="6CA99DAF" w14:textId="38035E3C"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7" w:history="1">
        <w:r w:rsidRPr="008141DF">
          <w:rPr>
            <w:rStyle w:val="Lienhypertexte"/>
            <w:noProof/>
          </w:rPr>
          <w:t>3.7</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Lieu d'exécution</w:t>
        </w:r>
        <w:r>
          <w:rPr>
            <w:noProof/>
          </w:rPr>
          <w:tab/>
        </w:r>
        <w:r>
          <w:rPr>
            <w:noProof/>
          </w:rPr>
          <w:fldChar w:fldCharType="begin"/>
        </w:r>
        <w:r>
          <w:rPr>
            <w:noProof/>
          </w:rPr>
          <w:instrText xml:space="preserve"> PAGEREF _Toc198913387 \h </w:instrText>
        </w:r>
        <w:r>
          <w:rPr>
            <w:noProof/>
          </w:rPr>
        </w:r>
        <w:r>
          <w:rPr>
            <w:noProof/>
          </w:rPr>
          <w:fldChar w:fldCharType="separate"/>
        </w:r>
        <w:r>
          <w:rPr>
            <w:noProof/>
          </w:rPr>
          <w:t>6</w:t>
        </w:r>
        <w:r>
          <w:rPr>
            <w:noProof/>
          </w:rPr>
          <w:fldChar w:fldCharType="end"/>
        </w:r>
      </w:hyperlink>
    </w:p>
    <w:p w14:paraId="42134686" w14:textId="0B8F2D10"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8" w:history="1">
        <w:r w:rsidRPr="008141DF">
          <w:rPr>
            <w:rStyle w:val="Lienhypertexte"/>
            <w:noProof/>
          </w:rPr>
          <w:t>3.8</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Égalité professionnelle et lutte contre les discriminations</w:t>
        </w:r>
        <w:r>
          <w:rPr>
            <w:noProof/>
          </w:rPr>
          <w:tab/>
        </w:r>
        <w:r>
          <w:rPr>
            <w:noProof/>
          </w:rPr>
          <w:fldChar w:fldCharType="begin"/>
        </w:r>
        <w:r>
          <w:rPr>
            <w:noProof/>
          </w:rPr>
          <w:instrText xml:space="preserve"> PAGEREF _Toc198913388 \h </w:instrText>
        </w:r>
        <w:r>
          <w:rPr>
            <w:noProof/>
          </w:rPr>
        </w:r>
        <w:r>
          <w:rPr>
            <w:noProof/>
          </w:rPr>
          <w:fldChar w:fldCharType="separate"/>
        </w:r>
        <w:r>
          <w:rPr>
            <w:noProof/>
          </w:rPr>
          <w:t>6</w:t>
        </w:r>
        <w:r>
          <w:rPr>
            <w:noProof/>
          </w:rPr>
          <w:fldChar w:fldCharType="end"/>
        </w:r>
      </w:hyperlink>
    </w:p>
    <w:p w14:paraId="78855792" w14:textId="65425278"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89" w:history="1">
        <w:r w:rsidRPr="008141DF">
          <w:rPr>
            <w:rStyle w:val="Lienhypertexte"/>
            <w:noProof/>
          </w:rPr>
          <w:t>3.9</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Clause sociale de formation sous statut scolaire</w:t>
        </w:r>
        <w:r>
          <w:rPr>
            <w:noProof/>
          </w:rPr>
          <w:tab/>
        </w:r>
        <w:r>
          <w:rPr>
            <w:noProof/>
          </w:rPr>
          <w:fldChar w:fldCharType="begin"/>
        </w:r>
        <w:r>
          <w:rPr>
            <w:noProof/>
          </w:rPr>
          <w:instrText xml:space="preserve"> PAGEREF _Toc198913389 \h </w:instrText>
        </w:r>
        <w:r>
          <w:rPr>
            <w:noProof/>
          </w:rPr>
        </w:r>
        <w:r>
          <w:rPr>
            <w:noProof/>
          </w:rPr>
          <w:fldChar w:fldCharType="separate"/>
        </w:r>
        <w:r>
          <w:rPr>
            <w:noProof/>
          </w:rPr>
          <w:t>6</w:t>
        </w:r>
        <w:r>
          <w:rPr>
            <w:noProof/>
          </w:rPr>
          <w:fldChar w:fldCharType="end"/>
        </w:r>
      </w:hyperlink>
    </w:p>
    <w:p w14:paraId="2E7D7486" w14:textId="39330669"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90" w:history="1">
        <w:r w:rsidRPr="008141DF">
          <w:rPr>
            <w:rStyle w:val="Lienhypertexte"/>
            <w:noProof/>
          </w:rPr>
          <w:t>3.10</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Clause impact carbone – BEGES</w:t>
        </w:r>
        <w:r>
          <w:rPr>
            <w:noProof/>
          </w:rPr>
          <w:tab/>
        </w:r>
        <w:r>
          <w:rPr>
            <w:noProof/>
          </w:rPr>
          <w:fldChar w:fldCharType="begin"/>
        </w:r>
        <w:r>
          <w:rPr>
            <w:noProof/>
          </w:rPr>
          <w:instrText xml:space="preserve"> PAGEREF _Toc198913390 \h </w:instrText>
        </w:r>
        <w:r>
          <w:rPr>
            <w:noProof/>
          </w:rPr>
        </w:r>
        <w:r>
          <w:rPr>
            <w:noProof/>
          </w:rPr>
          <w:fldChar w:fldCharType="separate"/>
        </w:r>
        <w:r>
          <w:rPr>
            <w:noProof/>
          </w:rPr>
          <w:t>7</w:t>
        </w:r>
        <w:r>
          <w:rPr>
            <w:noProof/>
          </w:rPr>
          <w:fldChar w:fldCharType="end"/>
        </w:r>
      </w:hyperlink>
    </w:p>
    <w:p w14:paraId="1DEC1585" w14:textId="547986A2"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91" w:history="1">
        <w:r w:rsidRPr="008141DF">
          <w:rPr>
            <w:rStyle w:val="Lienhypertexte"/>
            <w:noProof/>
          </w:rPr>
          <w:t>3.11</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Clause gestion des déchets</w:t>
        </w:r>
        <w:r>
          <w:rPr>
            <w:noProof/>
          </w:rPr>
          <w:tab/>
        </w:r>
        <w:r>
          <w:rPr>
            <w:noProof/>
          </w:rPr>
          <w:fldChar w:fldCharType="begin"/>
        </w:r>
        <w:r>
          <w:rPr>
            <w:noProof/>
          </w:rPr>
          <w:instrText xml:space="preserve"> PAGEREF _Toc198913391 \h </w:instrText>
        </w:r>
        <w:r>
          <w:rPr>
            <w:noProof/>
          </w:rPr>
        </w:r>
        <w:r>
          <w:rPr>
            <w:noProof/>
          </w:rPr>
          <w:fldChar w:fldCharType="separate"/>
        </w:r>
        <w:r>
          <w:rPr>
            <w:noProof/>
          </w:rPr>
          <w:t>7</w:t>
        </w:r>
        <w:r>
          <w:rPr>
            <w:noProof/>
          </w:rPr>
          <w:fldChar w:fldCharType="end"/>
        </w:r>
      </w:hyperlink>
    </w:p>
    <w:p w14:paraId="050244D2" w14:textId="0EDBE5C5"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92" w:history="1">
        <w:r w:rsidRPr="008141DF">
          <w:rPr>
            <w:rStyle w:val="Lienhypertexte"/>
            <w:noProof/>
          </w:rPr>
          <w:t>3.12</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Traitement de données à caractère personnel</w:t>
        </w:r>
        <w:r>
          <w:rPr>
            <w:noProof/>
          </w:rPr>
          <w:tab/>
        </w:r>
        <w:r>
          <w:rPr>
            <w:noProof/>
          </w:rPr>
          <w:fldChar w:fldCharType="begin"/>
        </w:r>
        <w:r>
          <w:rPr>
            <w:noProof/>
          </w:rPr>
          <w:instrText xml:space="preserve"> PAGEREF _Toc198913392 \h </w:instrText>
        </w:r>
        <w:r>
          <w:rPr>
            <w:noProof/>
          </w:rPr>
        </w:r>
        <w:r>
          <w:rPr>
            <w:noProof/>
          </w:rPr>
          <w:fldChar w:fldCharType="separate"/>
        </w:r>
        <w:r>
          <w:rPr>
            <w:noProof/>
          </w:rPr>
          <w:t>8</w:t>
        </w:r>
        <w:r>
          <w:rPr>
            <w:noProof/>
          </w:rPr>
          <w:fldChar w:fldCharType="end"/>
        </w:r>
      </w:hyperlink>
    </w:p>
    <w:p w14:paraId="4316D3ED" w14:textId="4CCF8814"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93" w:history="1">
        <w:r w:rsidRPr="008141DF">
          <w:rPr>
            <w:rStyle w:val="Lienhypertexte"/>
            <w:noProof/>
          </w:rPr>
          <w:t>3.13</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Protection du secret des affaires</w:t>
        </w:r>
        <w:r>
          <w:rPr>
            <w:noProof/>
          </w:rPr>
          <w:tab/>
        </w:r>
        <w:r>
          <w:rPr>
            <w:noProof/>
          </w:rPr>
          <w:fldChar w:fldCharType="begin"/>
        </w:r>
        <w:r>
          <w:rPr>
            <w:noProof/>
          </w:rPr>
          <w:instrText xml:space="preserve"> PAGEREF _Toc198913393 \h </w:instrText>
        </w:r>
        <w:r>
          <w:rPr>
            <w:noProof/>
          </w:rPr>
        </w:r>
        <w:r>
          <w:rPr>
            <w:noProof/>
          </w:rPr>
          <w:fldChar w:fldCharType="separate"/>
        </w:r>
        <w:r>
          <w:rPr>
            <w:noProof/>
          </w:rPr>
          <w:t>8</w:t>
        </w:r>
        <w:r>
          <w:rPr>
            <w:noProof/>
          </w:rPr>
          <w:fldChar w:fldCharType="end"/>
        </w:r>
      </w:hyperlink>
    </w:p>
    <w:p w14:paraId="5DCD084F" w14:textId="0114B4D8"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394" w:history="1">
        <w:r w:rsidRPr="008141DF">
          <w:rPr>
            <w:rStyle w:val="Lienhypertexte"/>
            <w:noProof/>
          </w:rPr>
          <w:t>Article 4 -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INFORMATION DES CANDIDATS</w:t>
        </w:r>
        <w:r>
          <w:rPr>
            <w:noProof/>
          </w:rPr>
          <w:tab/>
        </w:r>
        <w:r>
          <w:rPr>
            <w:noProof/>
          </w:rPr>
          <w:fldChar w:fldCharType="begin"/>
        </w:r>
        <w:r>
          <w:rPr>
            <w:noProof/>
          </w:rPr>
          <w:instrText xml:space="preserve"> PAGEREF _Toc198913394 \h </w:instrText>
        </w:r>
        <w:r>
          <w:rPr>
            <w:noProof/>
          </w:rPr>
        </w:r>
        <w:r>
          <w:rPr>
            <w:noProof/>
          </w:rPr>
          <w:fldChar w:fldCharType="separate"/>
        </w:r>
        <w:r>
          <w:rPr>
            <w:noProof/>
          </w:rPr>
          <w:t>9</w:t>
        </w:r>
        <w:r>
          <w:rPr>
            <w:noProof/>
          </w:rPr>
          <w:fldChar w:fldCharType="end"/>
        </w:r>
      </w:hyperlink>
    </w:p>
    <w:p w14:paraId="1DC4970B" w14:textId="45CA4628"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95" w:history="1">
        <w:r w:rsidRPr="008141DF">
          <w:rPr>
            <w:rStyle w:val="Lienhypertexte"/>
            <w:noProof/>
          </w:rPr>
          <w:t>4.1</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Contenu des documents de la consultation</w:t>
        </w:r>
        <w:r>
          <w:rPr>
            <w:noProof/>
          </w:rPr>
          <w:tab/>
        </w:r>
        <w:r>
          <w:rPr>
            <w:noProof/>
          </w:rPr>
          <w:fldChar w:fldCharType="begin"/>
        </w:r>
        <w:r>
          <w:rPr>
            <w:noProof/>
          </w:rPr>
          <w:instrText xml:space="preserve"> PAGEREF _Toc198913395 \h </w:instrText>
        </w:r>
        <w:r>
          <w:rPr>
            <w:noProof/>
          </w:rPr>
        </w:r>
        <w:r>
          <w:rPr>
            <w:noProof/>
          </w:rPr>
          <w:fldChar w:fldCharType="separate"/>
        </w:r>
        <w:r>
          <w:rPr>
            <w:noProof/>
          </w:rPr>
          <w:t>9</w:t>
        </w:r>
        <w:r>
          <w:rPr>
            <w:noProof/>
          </w:rPr>
          <w:fldChar w:fldCharType="end"/>
        </w:r>
      </w:hyperlink>
    </w:p>
    <w:p w14:paraId="19E33A65" w14:textId="335FDD29"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96" w:history="1">
        <w:r w:rsidRPr="008141DF">
          <w:rPr>
            <w:rStyle w:val="Lienhypertexte"/>
            <w:noProof/>
          </w:rPr>
          <w:t>4.2</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Principes généraux sur les échanges électroniques</w:t>
        </w:r>
        <w:r>
          <w:rPr>
            <w:noProof/>
          </w:rPr>
          <w:tab/>
        </w:r>
        <w:r>
          <w:rPr>
            <w:noProof/>
          </w:rPr>
          <w:fldChar w:fldCharType="begin"/>
        </w:r>
        <w:r>
          <w:rPr>
            <w:noProof/>
          </w:rPr>
          <w:instrText xml:space="preserve"> PAGEREF _Toc198913396 \h </w:instrText>
        </w:r>
        <w:r>
          <w:rPr>
            <w:noProof/>
          </w:rPr>
        </w:r>
        <w:r>
          <w:rPr>
            <w:noProof/>
          </w:rPr>
          <w:fldChar w:fldCharType="separate"/>
        </w:r>
        <w:r>
          <w:rPr>
            <w:noProof/>
          </w:rPr>
          <w:t>9</w:t>
        </w:r>
        <w:r>
          <w:rPr>
            <w:noProof/>
          </w:rPr>
          <w:fldChar w:fldCharType="end"/>
        </w:r>
      </w:hyperlink>
    </w:p>
    <w:p w14:paraId="3D43ED6A" w14:textId="60EC0089"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97" w:history="1">
        <w:r w:rsidRPr="008141DF">
          <w:rPr>
            <w:rStyle w:val="Lienhypertexte"/>
            <w:noProof/>
          </w:rPr>
          <w:t>4.3</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Echanges électroniques (candidature et offre)</w:t>
        </w:r>
        <w:r>
          <w:rPr>
            <w:noProof/>
          </w:rPr>
          <w:tab/>
        </w:r>
        <w:r>
          <w:rPr>
            <w:noProof/>
          </w:rPr>
          <w:fldChar w:fldCharType="begin"/>
        </w:r>
        <w:r>
          <w:rPr>
            <w:noProof/>
          </w:rPr>
          <w:instrText xml:space="preserve"> PAGEREF _Toc198913397 \h </w:instrText>
        </w:r>
        <w:r>
          <w:rPr>
            <w:noProof/>
          </w:rPr>
        </w:r>
        <w:r>
          <w:rPr>
            <w:noProof/>
          </w:rPr>
          <w:fldChar w:fldCharType="separate"/>
        </w:r>
        <w:r>
          <w:rPr>
            <w:noProof/>
          </w:rPr>
          <w:t>11</w:t>
        </w:r>
        <w:r>
          <w:rPr>
            <w:noProof/>
          </w:rPr>
          <w:fldChar w:fldCharType="end"/>
        </w:r>
      </w:hyperlink>
    </w:p>
    <w:p w14:paraId="71F7C23D" w14:textId="3E4AF013"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398" w:history="1">
        <w:r w:rsidRPr="008141DF">
          <w:rPr>
            <w:rStyle w:val="Lienhypertexte"/>
            <w:noProof/>
          </w:rPr>
          <w:t>4.4</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Visite sur site obligatoire</w:t>
        </w:r>
        <w:r>
          <w:rPr>
            <w:noProof/>
          </w:rPr>
          <w:tab/>
        </w:r>
        <w:r>
          <w:rPr>
            <w:noProof/>
          </w:rPr>
          <w:fldChar w:fldCharType="begin"/>
        </w:r>
        <w:r>
          <w:rPr>
            <w:noProof/>
          </w:rPr>
          <w:instrText xml:space="preserve"> PAGEREF _Toc198913398 \h </w:instrText>
        </w:r>
        <w:r>
          <w:rPr>
            <w:noProof/>
          </w:rPr>
        </w:r>
        <w:r>
          <w:rPr>
            <w:noProof/>
          </w:rPr>
          <w:fldChar w:fldCharType="separate"/>
        </w:r>
        <w:r>
          <w:rPr>
            <w:noProof/>
          </w:rPr>
          <w:t>11</w:t>
        </w:r>
        <w:r>
          <w:rPr>
            <w:noProof/>
          </w:rPr>
          <w:fldChar w:fldCharType="end"/>
        </w:r>
      </w:hyperlink>
    </w:p>
    <w:p w14:paraId="48E389FB" w14:textId="00AC4784"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399" w:history="1">
        <w:r w:rsidRPr="008141DF">
          <w:rPr>
            <w:rStyle w:val="Lienhypertexte"/>
            <w:noProof/>
          </w:rPr>
          <w:t>Article 5 -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CANDIDATURE</w:t>
        </w:r>
        <w:r>
          <w:rPr>
            <w:noProof/>
          </w:rPr>
          <w:tab/>
        </w:r>
        <w:r>
          <w:rPr>
            <w:noProof/>
          </w:rPr>
          <w:fldChar w:fldCharType="begin"/>
        </w:r>
        <w:r>
          <w:rPr>
            <w:noProof/>
          </w:rPr>
          <w:instrText xml:space="preserve"> PAGEREF _Toc198913399 \h </w:instrText>
        </w:r>
        <w:r>
          <w:rPr>
            <w:noProof/>
          </w:rPr>
        </w:r>
        <w:r>
          <w:rPr>
            <w:noProof/>
          </w:rPr>
          <w:fldChar w:fldCharType="separate"/>
        </w:r>
        <w:r>
          <w:rPr>
            <w:noProof/>
          </w:rPr>
          <w:t>12</w:t>
        </w:r>
        <w:r>
          <w:rPr>
            <w:noProof/>
          </w:rPr>
          <w:fldChar w:fldCharType="end"/>
        </w:r>
      </w:hyperlink>
    </w:p>
    <w:p w14:paraId="5C314AB5" w14:textId="4B617925"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00" w:history="1">
        <w:r w:rsidRPr="008141DF">
          <w:rPr>
            <w:rStyle w:val="Lienhypertexte"/>
            <w:noProof/>
          </w:rPr>
          <w:t>5.1</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Précisions concernant les groupements d’opérateurs économiques et la sous-traitance</w:t>
        </w:r>
        <w:r>
          <w:rPr>
            <w:noProof/>
          </w:rPr>
          <w:tab/>
        </w:r>
        <w:r>
          <w:rPr>
            <w:noProof/>
          </w:rPr>
          <w:fldChar w:fldCharType="begin"/>
        </w:r>
        <w:r>
          <w:rPr>
            <w:noProof/>
          </w:rPr>
          <w:instrText xml:space="preserve"> PAGEREF _Toc198913400 \h </w:instrText>
        </w:r>
        <w:r>
          <w:rPr>
            <w:noProof/>
          </w:rPr>
        </w:r>
        <w:r>
          <w:rPr>
            <w:noProof/>
          </w:rPr>
          <w:fldChar w:fldCharType="separate"/>
        </w:r>
        <w:r>
          <w:rPr>
            <w:noProof/>
          </w:rPr>
          <w:t>12</w:t>
        </w:r>
        <w:r>
          <w:rPr>
            <w:noProof/>
          </w:rPr>
          <w:fldChar w:fldCharType="end"/>
        </w:r>
      </w:hyperlink>
    </w:p>
    <w:p w14:paraId="6A0BEA80" w14:textId="5F4FF940"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01" w:history="1">
        <w:r w:rsidRPr="008141DF">
          <w:rPr>
            <w:rStyle w:val="Lienhypertexte"/>
            <w:noProof/>
          </w:rPr>
          <w:t>5.2</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Motifs d'exclusion</w:t>
        </w:r>
        <w:r>
          <w:rPr>
            <w:noProof/>
          </w:rPr>
          <w:tab/>
        </w:r>
        <w:r>
          <w:rPr>
            <w:noProof/>
          </w:rPr>
          <w:fldChar w:fldCharType="begin"/>
        </w:r>
        <w:r>
          <w:rPr>
            <w:noProof/>
          </w:rPr>
          <w:instrText xml:space="preserve"> PAGEREF _Toc198913401 \h </w:instrText>
        </w:r>
        <w:r>
          <w:rPr>
            <w:noProof/>
          </w:rPr>
        </w:r>
        <w:r>
          <w:rPr>
            <w:noProof/>
          </w:rPr>
          <w:fldChar w:fldCharType="separate"/>
        </w:r>
        <w:r>
          <w:rPr>
            <w:noProof/>
          </w:rPr>
          <w:t>13</w:t>
        </w:r>
        <w:r>
          <w:rPr>
            <w:noProof/>
          </w:rPr>
          <w:fldChar w:fldCharType="end"/>
        </w:r>
      </w:hyperlink>
    </w:p>
    <w:p w14:paraId="66302E27" w14:textId="329F5AFB"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02" w:history="1">
        <w:r w:rsidRPr="008141DF">
          <w:rPr>
            <w:rStyle w:val="Lienhypertexte"/>
            <w:noProof/>
          </w:rPr>
          <w:t>5.3</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Présentation de la candidature</w:t>
        </w:r>
        <w:r>
          <w:rPr>
            <w:noProof/>
          </w:rPr>
          <w:tab/>
        </w:r>
        <w:r>
          <w:rPr>
            <w:noProof/>
          </w:rPr>
          <w:fldChar w:fldCharType="begin"/>
        </w:r>
        <w:r>
          <w:rPr>
            <w:noProof/>
          </w:rPr>
          <w:instrText xml:space="preserve"> PAGEREF _Toc198913402 \h </w:instrText>
        </w:r>
        <w:r>
          <w:rPr>
            <w:noProof/>
          </w:rPr>
        </w:r>
        <w:r>
          <w:rPr>
            <w:noProof/>
          </w:rPr>
          <w:fldChar w:fldCharType="separate"/>
        </w:r>
        <w:r>
          <w:rPr>
            <w:noProof/>
          </w:rPr>
          <w:t>14</w:t>
        </w:r>
        <w:r>
          <w:rPr>
            <w:noProof/>
          </w:rPr>
          <w:fldChar w:fldCharType="end"/>
        </w:r>
      </w:hyperlink>
    </w:p>
    <w:p w14:paraId="61677F75" w14:textId="69B9EAC5"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03" w:history="1">
        <w:r w:rsidRPr="008141DF">
          <w:rPr>
            <w:rStyle w:val="Lienhypertexte"/>
            <w:noProof/>
          </w:rPr>
          <w:t>5.4</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Examen des candidatures</w:t>
        </w:r>
        <w:r>
          <w:rPr>
            <w:noProof/>
          </w:rPr>
          <w:tab/>
        </w:r>
        <w:r>
          <w:rPr>
            <w:noProof/>
          </w:rPr>
          <w:fldChar w:fldCharType="begin"/>
        </w:r>
        <w:r>
          <w:rPr>
            <w:noProof/>
          </w:rPr>
          <w:instrText xml:space="preserve"> PAGEREF _Toc198913403 \h </w:instrText>
        </w:r>
        <w:r>
          <w:rPr>
            <w:noProof/>
          </w:rPr>
        </w:r>
        <w:r>
          <w:rPr>
            <w:noProof/>
          </w:rPr>
          <w:fldChar w:fldCharType="separate"/>
        </w:r>
        <w:r>
          <w:rPr>
            <w:noProof/>
          </w:rPr>
          <w:t>14</w:t>
        </w:r>
        <w:r>
          <w:rPr>
            <w:noProof/>
          </w:rPr>
          <w:fldChar w:fldCharType="end"/>
        </w:r>
      </w:hyperlink>
    </w:p>
    <w:p w14:paraId="5A919DEB" w14:textId="0B431D6F"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404" w:history="1">
        <w:r w:rsidRPr="008141DF">
          <w:rPr>
            <w:rStyle w:val="Lienhypertexte"/>
            <w:noProof/>
          </w:rPr>
          <w:t>Article 6 -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OFFRE</w:t>
        </w:r>
        <w:r>
          <w:rPr>
            <w:noProof/>
          </w:rPr>
          <w:tab/>
        </w:r>
        <w:r>
          <w:rPr>
            <w:noProof/>
          </w:rPr>
          <w:fldChar w:fldCharType="begin"/>
        </w:r>
        <w:r>
          <w:rPr>
            <w:noProof/>
          </w:rPr>
          <w:instrText xml:space="preserve"> PAGEREF _Toc198913404 \h </w:instrText>
        </w:r>
        <w:r>
          <w:rPr>
            <w:noProof/>
          </w:rPr>
        </w:r>
        <w:r>
          <w:rPr>
            <w:noProof/>
          </w:rPr>
          <w:fldChar w:fldCharType="separate"/>
        </w:r>
        <w:r>
          <w:rPr>
            <w:noProof/>
          </w:rPr>
          <w:t>15</w:t>
        </w:r>
        <w:r>
          <w:rPr>
            <w:noProof/>
          </w:rPr>
          <w:fldChar w:fldCharType="end"/>
        </w:r>
      </w:hyperlink>
    </w:p>
    <w:p w14:paraId="1F642839" w14:textId="0447AD3F"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05" w:history="1">
        <w:r w:rsidRPr="008141DF">
          <w:rPr>
            <w:rStyle w:val="Lienhypertexte"/>
            <w:noProof/>
          </w:rPr>
          <w:t>6.1</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Présentation de l'offre</w:t>
        </w:r>
        <w:r>
          <w:rPr>
            <w:noProof/>
          </w:rPr>
          <w:tab/>
        </w:r>
        <w:r>
          <w:rPr>
            <w:noProof/>
          </w:rPr>
          <w:fldChar w:fldCharType="begin"/>
        </w:r>
        <w:r>
          <w:rPr>
            <w:noProof/>
          </w:rPr>
          <w:instrText xml:space="preserve"> PAGEREF _Toc198913405 \h </w:instrText>
        </w:r>
        <w:r>
          <w:rPr>
            <w:noProof/>
          </w:rPr>
        </w:r>
        <w:r>
          <w:rPr>
            <w:noProof/>
          </w:rPr>
          <w:fldChar w:fldCharType="separate"/>
        </w:r>
        <w:r>
          <w:rPr>
            <w:noProof/>
          </w:rPr>
          <w:t>15</w:t>
        </w:r>
        <w:r>
          <w:rPr>
            <w:noProof/>
          </w:rPr>
          <w:fldChar w:fldCharType="end"/>
        </w:r>
      </w:hyperlink>
    </w:p>
    <w:p w14:paraId="6067E31A" w14:textId="0D5278E0"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06" w:history="1">
        <w:r w:rsidRPr="008141DF">
          <w:rPr>
            <w:rStyle w:val="Lienhypertexte"/>
            <w:noProof/>
          </w:rPr>
          <w:t>6.2</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Examen des offres</w:t>
        </w:r>
        <w:r>
          <w:rPr>
            <w:noProof/>
          </w:rPr>
          <w:tab/>
        </w:r>
        <w:r>
          <w:rPr>
            <w:noProof/>
          </w:rPr>
          <w:fldChar w:fldCharType="begin"/>
        </w:r>
        <w:r>
          <w:rPr>
            <w:noProof/>
          </w:rPr>
          <w:instrText xml:space="preserve"> PAGEREF _Toc198913406 \h </w:instrText>
        </w:r>
        <w:r>
          <w:rPr>
            <w:noProof/>
          </w:rPr>
        </w:r>
        <w:r>
          <w:rPr>
            <w:noProof/>
          </w:rPr>
          <w:fldChar w:fldCharType="separate"/>
        </w:r>
        <w:r>
          <w:rPr>
            <w:noProof/>
          </w:rPr>
          <w:t>15</w:t>
        </w:r>
        <w:r>
          <w:rPr>
            <w:noProof/>
          </w:rPr>
          <w:fldChar w:fldCharType="end"/>
        </w:r>
      </w:hyperlink>
    </w:p>
    <w:p w14:paraId="0C8058D4" w14:textId="519C01EB"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07" w:history="1">
        <w:r w:rsidRPr="008141DF">
          <w:rPr>
            <w:rStyle w:val="Lienhypertexte"/>
            <w:noProof/>
          </w:rPr>
          <w:t>6.3</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Critères d'attribution</w:t>
        </w:r>
        <w:r>
          <w:rPr>
            <w:noProof/>
          </w:rPr>
          <w:tab/>
        </w:r>
        <w:r>
          <w:rPr>
            <w:noProof/>
          </w:rPr>
          <w:fldChar w:fldCharType="begin"/>
        </w:r>
        <w:r>
          <w:rPr>
            <w:noProof/>
          </w:rPr>
          <w:instrText xml:space="preserve"> PAGEREF _Toc198913407 \h </w:instrText>
        </w:r>
        <w:r>
          <w:rPr>
            <w:noProof/>
          </w:rPr>
        </w:r>
        <w:r>
          <w:rPr>
            <w:noProof/>
          </w:rPr>
          <w:fldChar w:fldCharType="separate"/>
        </w:r>
        <w:r>
          <w:rPr>
            <w:noProof/>
          </w:rPr>
          <w:t>15</w:t>
        </w:r>
        <w:r>
          <w:rPr>
            <w:noProof/>
          </w:rPr>
          <w:fldChar w:fldCharType="end"/>
        </w:r>
      </w:hyperlink>
    </w:p>
    <w:p w14:paraId="32DC8493" w14:textId="57FB999C"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08" w:history="1">
        <w:r w:rsidRPr="008141DF">
          <w:rPr>
            <w:rStyle w:val="Lienhypertexte"/>
            <w:noProof/>
          </w:rPr>
          <w:t>6.4</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Durée de validité des offres</w:t>
        </w:r>
        <w:r>
          <w:rPr>
            <w:noProof/>
          </w:rPr>
          <w:tab/>
        </w:r>
        <w:r>
          <w:rPr>
            <w:noProof/>
          </w:rPr>
          <w:fldChar w:fldCharType="begin"/>
        </w:r>
        <w:r>
          <w:rPr>
            <w:noProof/>
          </w:rPr>
          <w:instrText xml:space="preserve"> PAGEREF _Toc198913408 \h </w:instrText>
        </w:r>
        <w:r>
          <w:rPr>
            <w:noProof/>
          </w:rPr>
        </w:r>
        <w:r>
          <w:rPr>
            <w:noProof/>
          </w:rPr>
          <w:fldChar w:fldCharType="separate"/>
        </w:r>
        <w:r>
          <w:rPr>
            <w:noProof/>
          </w:rPr>
          <w:t>17</w:t>
        </w:r>
        <w:r>
          <w:rPr>
            <w:noProof/>
          </w:rPr>
          <w:fldChar w:fldCharType="end"/>
        </w:r>
      </w:hyperlink>
    </w:p>
    <w:p w14:paraId="50D6C0C9" w14:textId="094FC454"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409" w:history="1">
        <w:r w:rsidRPr="008141DF">
          <w:rPr>
            <w:rStyle w:val="Lienhypertexte"/>
            <w:noProof/>
          </w:rPr>
          <w:t>Article 7 -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NEGOCIATION</w:t>
        </w:r>
        <w:r>
          <w:rPr>
            <w:noProof/>
          </w:rPr>
          <w:tab/>
        </w:r>
        <w:r>
          <w:rPr>
            <w:noProof/>
          </w:rPr>
          <w:fldChar w:fldCharType="begin"/>
        </w:r>
        <w:r>
          <w:rPr>
            <w:noProof/>
          </w:rPr>
          <w:instrText xml:space="preserve"> PAGEREF _Toc198913409 \h </w:instrText>
        </w:r>
        <w:r>
          <w:rPr>
            <w:noProof/>
          </w:rPr>
        </w:r>
        <w:r>
          <w:rPr>
            <w:noProof/>
          </w:rPr>
          <w:fldChar w:fldCharType="separate"/>
        </w:r>
        <w:r>
          <w:rPr>
            <w:noProof/>
          </w:rPr>
          <w:t>17</w:t>
        </w:r>
        <w:r>
          <w:rPr>
            <w:noProof/>
          </w:rPr>
          <w:fldChar w:fldCharType="end"/>
        </w:r>
      </w:hyperlink>
    </w:p>
    <w:p w14:paraId="59AEC080" w14:textId="7424BF3C"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410" w:history="1">
        <w:r w:rsidRPr="008141DF">
          <w:rPr>
            <w:rStyle w:val="Lienhypertexte"/>
            <w:noProof/>
          </w:rPr>
          <w:t>Article 8 -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ATTRIBUTION DU MARCHE</w:t>
        </w:r>
        <w:r>
          <w:rPr>
            <w:noProof/>
          </w:rPr>
          <w:tab/>
        </w:r>
        <w:r>
          <w:rPr>
            <w:noProof/>
          </w:rPr>
          <w:fldChar w:fldCharType="begin"/>
        </w:r>
        <w:r>
          <w:rPr>
            <w:noProof/>
          </w:rPr>
          <w:instrText xml:space="preserve"> PAGEREF _Toc198913410 \h </w:instrText>
        </w:r>
        <w:r>
          <w:rPr>
            <w:noProof/>
          </w:rPr>
        </w:r>
        <w:r>
          <w:rPr>
            <w:noProof/>
          </w:rPr>
          <w:fldChar w:fldCharType="separate"/>
        </w:r>
        <w:r>
          <w:rPr>
            <w:noProof/>
          </w:rPr>
          <w:t>18</w:t>
        </w:r>
        <w:r>
          <w:rPr>
            <w:noProof/>
          </w:rPr>
          <w:fldChar w:fldCharType="end"/>
        </w:r>
      </w:hyperlink>
    </w:p>
    <w:p w14:paraId="201BD468" w14:textId="20A6E04C"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11" w:history="1">
        <w:r w:rsidRPr="008141DF">
          <w:rPr>
            <w:rStyle w:val="Lienhypertexte"/>
            <w:noProof/>
          </w:rPr>
          <w:t>8.1</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Vérification des motifs d'exclusion : transmission des moyens de preuve</w:t>
        </w:r>
        <w:r>
          <w:rPr>
            <w:noProof/>
          </w:rPr>
          <w:tab/>
        </w:r>
        <w:r>
          <w:rPr>
            <w:noProof/>
          </w:rPr>
          <w:fldChar w:fldCharType="begin"/>
        </w:r>
        <w:r>
          <w:rPr>
            <w:noProof/>
          </w:rPr>
          <w:instrText xml:space="preserve"> PAGEREF _Toc198913411 \h </w:instrText>
        </w:r>
        <w:r>
          <w:rPr>
            <w:noProof/>
          </w:rPr>
        </w:r>
        <w:r>
          <w:rPr>
            <w:noProof/>
          </w:rPr>
          <w:fldChar w:fldCharType="separate"/>
        </w:r>
        <w:r>
          <w:rPr>
            <w:noProof/>
          </w:rPr>
          <w:t>18</w:t>
        </w:r>
        <w:r>
          <w:rPr>
            <w:noProof/>
          </w:rPr>
          <w:fldChar w:fldCharType="end"/>
        </w:r>
      </w:hyperlink>
    </w:p>
    <w:p w14:paraId="66B04E74" w14:textId="516D02F0"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12" w:history="1">
        <w:r w:rsidRPr="008141DF">
          <w:rPr>
            <w:rStyle w:val="Lienhypertexte"/>
            <w:noProof/>
          </w:rPr>
          <w:t>8.2</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Interdiction d'attribution</w:t>
        </w:r>
        <w:r>
          <w:rPr>
            <w:noProof/>
          </w:rPr>
          <w:tab/>
        </w:r>
        <w:r>
          <w:rPr>
            <w:noProof/>
          </w:rPr>
          <w:fldChar w:fldCharType="begin"/>
        </w:r>
        <w:r>
          <w:rPr>
            <w:noProof/>
          </w:rPr>
          <w:instrText xml:space="preserve"> PAGEREF _Toc198913412 \h </w:instrText>
        </w:r>
        <w:r>
          <w:rPr>
            <w:noProof/>
          </w:rPr>
        </w:r>
        <w:r>
          <w:rPr>
            <w:noProof/>
          </w:rPr>
          <w:fldChar w:fldCharType="separate"/>
        </w:r>
        <w:r>
          <w:rPr>
            <w:noProof/>
          </w:rPr>
          <w:t>19</w:t>
        </w:r>
        <w:r>
          <w:rPr>
            <w:noProof/>
          </w:rPr>
          <w:fldChar w:fldCharType="end"/>
        </w:r>
      </w:hyperlink>
    </w:p>
    <w:p w14:paraId="14BEAC95" w14:textId="7633341F"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13" w:history="1">
        <w:r w:rsidRPr="008141DF">
          <w:rPr>
            <w:rStyle w:val="Lienhypertexte"/>
            <w:noProof/>
          </w:rPr>
          <w:t>8.3</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Signature du marché</w:t>
        </w:r>
        <w:r>
          <w:rPr>
            <w:noProof/>
          </w:rPr>
          <w:tab/>
        </w:r>
        <w:r>
          <w:rPr>
            <w:noProof/>
          </w:rPr>
          <w:fldChar w:fldCharType="begin"/>
        </w:r>
        <w:r>
          <w:rPr>
            <w:noProof/>
          </w:rPr>
          <w:instrText xml:space="preserve"> PAGEREF _Toc198913413 \h </w:instrText>
        </w:r>
        <w:r>
          <w:rPr>
            <w:noProof/>
          </w:rPr>
        </w:r>
        <w:r>
          <w:rPr>
            <w:noProof/>
          </w:rPr>
          <w:fldChar w:fldCharType="separate"/>
        </w:r>
        <w:r>
          <w:rPr>
            <w:noProof/>
          </w:rPr>
          <w:t>19</w:t>
        </w:r>
        <w:r>
          <w:rPr>
            <w:noProof/>
          </w:rPr>
          <w:fldChar w:fldCharType="end"/>
        </w:r>
      </w:hyperlink>
    </w:p>
    <w:p w14:paraId="71EF8DF1" w14:textId="78D31401" w:rsidR="00E147C6" w:rsidRDefault="00E147C6">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198913414" w:history="1">
        <w:r w:rsidRPr="008141DF">
          <w:rPr>
            <w:rStyle w:val="Lienhypertexte"/>
            <w:noProof/>
          </w:rPr>
          <w:t>8.4</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Mise au point</w:t>
        </w:r>
        <w:r>
          <w:rPr>
            <w:noProof/>
          </w:rPr>
          <w:tab/>
        </w:r>
        <w:r>
          <w:rPr>
            <w:noProof/>
          </w:rPr>
          <w:fldChar w:fldCharType="begin"/>
        </w:r>
        <w:r>
          <w:rPr>
            <w:noProof/>
          </w:rPr>
          <w:instrText xml:space="preserve"> PAGEREF _Toc198913414 \h </w:instrText>
        </w:r>
        <w:r>
          <w:rPr>
            <w:noProof/>
          </w:rPr>
        </w:r>
        <w:r>
          <w:rPr>
            <w:noProof/>
          </w:rPr>
          <w:fldChar w:fldCharType="separate"/>
        </w:r>
        <w:r>
          <w:rPr>
            <w:noProof/>
          </w:rPr>
          <w:t>20</w:t>
        </w:r>
        <w:r>
          <w:rPr>
            <w:noProof/>
          </w:rPr>
          <w:fldChar w:fldCharType="end"/>
        </w:r>
      </w:hyperlink>
    </w:p>
    <w:p w14:paraId="0E255123" w14:textId="532958D6"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415" w:history="1">
        <w:r w:rsidRPr="008141DF">
          <w:rPr>
            <w:rStyle w:val="Lienhypertexte"/>
            <w:noProof/>
          </w:rPr>
          <w:t>Article 9 -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LANGUE</w:t>
        </w:r>
        <w:r>
          <w:rPr>
            <w:noProof/>
          </w:rPr>
          <w:tab/>
        </w:r>
        <w:r>
          <w:rPr>
            <w:noProof/>
          </w:rPr>
          <w:fldChar w:fldCharType="begin"/>
        </w:r>
        <w:r>
          <w:rPr>
            <w:noProof/>
          </w:rPr>
          <w:instrText xml:space="preserve"> PAGEREF _Toc198913415 \h </w:instrText>
        </w:r>
        <w:r>
          <w:rPr>
            <w:noProof/>
          </w:rPr>
        </w:r>
        <w:r>
          <w:rPr>
            <w:noProof/>
          </w:rPr>
          <w:fldChar w:fldCharType="separate"/>
        </w:r>
        <w:r>
          <w:rPr>
            <w:noProof/>
          </w:rPr>
          <w:t>20</w:t>
        </w:r>
        <w:r>
          <w:rPr>
            <w:noProof/>
          </w:rPr>
          <w:fldChar w:fldCharType="end"/>
        </w:r>
      </w:hyperlink>
    </w:p>
    <w:p w14:paraId="48A6657C" w14:textId="0BA419B2"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416" w:history="1">
        <w:r w:rsidRPr="008141DF">
          <w:rPr>
            <w:rStyle w:val="Lienhypertexte"/>
            <w:noProof/>
          </w:rPr>
          <w:t>Article 10 -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CONTENTIEUX</w:t>
        </w:r>
        <w:r>
          <w:rPr>
            <w:noProof/>
          </w:rPr>
          <w:tab/>
        </w:r>
        <w:r>
          <w:rPr>
            <w:noProof/>
          </w:rPr>
          <w:fldChar w:fldCharType="begin"/>
        </w:r>
        <w:r>
          <w:rPr>
            <w:noProof/>
          </w:rPr>
          <w:instrText xml:space="preserve"> PAGEREF _Toc198913416 \h </w:instrText>
        </w:r>
        <w:r>
          <w:rPr>
            <w:noProof/>
          </w:rPr>
        </w:r>
        <w:r>
          <w:rPr>
            <w:noProof/>
          </w:rPr>
          <w:fldChar w:fldCharType="separate"/>
        </w:r>
        <w:r>
          <w:rPr>
            <w:noProof/>
          </w:rPr>
          <w:t>20</w:t>
        </w:r>
        <w:r>
          <w:rPr>
            <w:noProof/>
          </w:rPr>
          <w:fldChar w:fldCharType="end"/>
        </w:r>
      </w:hyperlink>
    </w:p>
    <w:p w14:paraId="3290219C" w14:textId="78578FAE" w:rsidR="00E147C6" w:rsidRDefault="00E147C6">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198913417" w:history="1">
        <w:r w:rsidRPr="008141DF">
          <w:rPr>
            <w:rStyle w:val="Lienhypertexte"/>
            <w:noProof/>
          </w:rPr>
          <w:t>Article 11 -</w:t>
        </w:r>
        <w:r>
          <w:rPr>
            <w:rFonts w:asciiTheme="minorHAnsi" w:eastAsiaTheme="minorEastAsia" w:hAnsiTheme="minorHAnsi" w:cstheme="minorBidi"/>
            <w:noProof/>
            <w:kern w:val="2"/>
            <w:lang w:eastAsia="fr-FR" w:bidi="ar-SA"/>
            <w14:ligatures w14:val="standardContextual"/>
          </w:rPr>
          <w:tab/>
        </w:r>
        <w:r w:rsidRPr="008141DF">
          <w:rPr>
            <w:rStyle w:val="Lienhypertexte"/>
            <w:noProof/>
          </w:rPr>
          <w:t>AMENAGEMENTS EN CAS DE MENACE SANITAIRE GRAVE APPELANT DES MESURES D'URGENCE</w:t>
        </w:r>
        <w:r>
          <w:rPr>
            <w:noProof/>
          </w:rPr>
          <w:tab/>
        </w:r>
        <w:r>
          <w:rPr>
            <w:noProof/>
          </w:rPr>
          <w:fldChar w:fldCharType="begin"/>
        </w:r>
        <w:r>
          <w:rPr>
            <w:noProof/>
          </w:rPr>
          <w:instrText xml:space="preserve"> PAGEREF _Toc198913417 \h </w:instrText>
        </w:r>
        <w:r>
          <w:rPr>
            <w:noProof/>
          </w:rPr>
        </w:r>
        <w:r>
          <w:rPr>
            <w:noProof/>
          </w:rPr>
          <w:fldChar w:fldCharType="separate"/>
        </w:r>
        <w:r>
          <w:rPr>
            <w:noProof/>
          </w:rPr>
          <w:t>20</w:t>
        </w:r>
        <w:r>
          <w:rPr>
            <w:noProof/>
          </w:rPr>
          <w:fldChar w:fldCharType="end"/>
        </w:r>
      </w:hyperlink>
    </w:p>
    <w:p w14:paraId="2686A895" w14:textId="5E663629" w:rsidR="00801D43" w:rsidRDefault="001C3459" w:rsidP="008A4A3C">
      <w:pPr>
        <w:pStyle w:val="Contents3"/>
      </w:pPr>
      <w:r>
        <w:rPr>
          <w:sz w:val="18"/>
        </w:rPr>
        <w:fldChar w:fldCharType="end"/>
      </w:r>
      <w:r>
        <w:t xml:space="preserve"> </w:t>
      </w:r>
      <w:r w:rsidR="00801D43">
        <w:br w:type="page"/>
      </w:r>
    </w:p>
    <w:p w14:paraId="16FE2796" w14:textId="2CF7FFCB" w:rsidR="00813D3E" w:rsidRDefault="001C3459" w:rsidP="008A4A3C">
      <w:pPr>
        <w:pStyle w:val="Titre1"/>
      </w:pPr>
      <w:bookmarkStart w:id="0" w:name="_Toc198913378"/>
      <w:r>
        <w:lastRenderedPageBreak/>
        <w:t>MAITRE DE L'OUVRAGE</w:t>
      </w:r>
      <w:bookmarkEnd w:id="0"/>
    </w:p>
    <w:p w14:paraId="2F415599" w14:textId="77777777" w:rsidR="00813D3E" w:rsidRDefault="00813D3E" w:rsidP="008A4A3C">
      <w:pPr>
        <w:pStyle w:val="Standard"/>
      </w:pPr>
    </w:p>
    <w:p w14:paraId="4924BC89" w14:textId="385A3B4E" w:rsidR="00247DA1" w:rsidRPr="00247DA1" w:rsidRDefault="00247DA1" w:rsidP="00247DA1">
      <w:pPr>
        <w:pStyle w:val="Standard"/>
      </w:pPr>
      <w:r w:rsidRPr="00247DA1">
        <w:t>Le présent marché est porté par les Archives nationales – Service à compétence nationale</w:t>
      </w:r>
      <w:r w:rsidR="00ED4FFD">
        <w:t xml:space="preserve">. </w:t>
      </w:r>
    </w:p>
    <w:p w14:paraId="2161AD50" w14:textId="77777777" w:rsidR="00247DA1" w:rsidRPr="00247DA1" w:rsidRDefault="00247DA1" w:rsidP="00247DA1">
      <w:pPr>
        <w:pStyle w:val="Standard"/>
      </w:pPr>
    </w:p>
    <w:p w14:paraId="3B428BDD" w14:textId="77777777" w:rsidR="00247DA1" w:rsidRPr="00247DA1" w:rsidRDefault="00247DA1" w:rsidP="00247DA1">
      <w:pPr>
        <w:pStyle w:val="Standard"/>
      </w:pPr>
      <w:r w:rsidRPr="00247DA1">
        <w:t>59 rue Guynemer</w:t>
      </w:r>
    </w:p>
    <w:p w14:paraId="02FC60CD" w14:textId="77777777" w:rsidR="00247DA1" w:rsidRPr="00247DA1" w:rsidRDefault="00247DA1" w:rsidP="00247DA1">
      <w:pPr>
        <w:pStyle w:val="Standard"/>
      </w:pPr>
      <w:r w:rsidRPr="00247DA1">
        <w:t>90001 Pierrefitte-sur-Seine</w:t>
      </w:r>
    </w:p>
    <w:p w14:paraId="271A3ED6" w14:textId="77777777" w:rsidR="00247DA1" w:rsidRPr="00247DA1" w:rsidRDefault="00247DA1" w:rsidP="00247DA1">
      <w:pPr>
        <w:pStyle w:val="Standard"/>
      </w:pPr>
      <w:r w:rsidRPr="00247DA1">
        <w:t xml:space="preserve">93 383 SAINT-DENIS </w:t>
      </w:r>
    </w:p>
    <w:p w14:paraId="34E97196" w14:textId="77777777" w:rsidR="00247DA1" w:rsidRPr="00247DA1" w:rsidRDefault="00247DA1" w:rsidP="00247DA1">
      <w:pPr>
        <w:pStyle w:val="Standard"/>
      </w:pPr>
      <w:r w:rsidRPr="00247DA1">
        <w:t>Tél : 01 75 47 20 00</w:t>
      </w:r>
    </w:p>
    <w:p w14:paraId="7AB749CD" w14:textId="77777777" w:rsidR="00247DA1" w:rsidRPr="00247DA1" w:rsidRDefault="00247DA1" w:rsidP="00247DA1">
      <w:pPr>
        <w:pStyle w:val="Standard"/>
      </w:pPr>
    </w:p>
    <w:p w14:paraId="64973428" w14:textId="16211C0A" w:rsidR="00247DA1" w:rsidRPr="00247DA1" w:rsidRDefault="00247DA1" w:rsidP="00247DA1">
      <w:pPr>
        <w:pStyle w:val="Standard"/>
      </w:pPr>
      <w:r w:rsidRPr="00247DA1">
        <w:t xml:space="preserve">Représenté par </w:t>
      </w:r>
      <w:r w:rsidR="003C6934">
        <w:rPr>
          <w:b/>
          <w:bCs/>
        </w:rPr>
        <w:t xml:space="preserve">Madame </w:t>
      </w:r>
      <w:r w:rsidR="002C0E1C">
        <w:rPr>
          <w:b/>
          <w:bCs/>
        </w:rPr>
        <w:t>Marie-</w:t>
      </w:r>
      <w:r w:rsidR="003C6934">
        <w:rPr>
          <w:b/>
          <w:bCs/>
        </w:rPr>
        <w:t xml:space="preserve">Françoise LIMON BONNET </w:t>
      </w:r>
      <w:r w:rsidRPr="00247DA1">
        <w:t>- Direct</w:t>
      </w:r>
      <w:r w:rsidR="003C6934">
        <w:t>rice</w:t>
      </w:r>
      <w:r w:rsidRPr="00247DA1">
        <w:t xml:space="preserve"> des Archives nationales.</w:t>
      </w:r>
    </w:p>
    <w:p w14:paraId="04DF1461" w14:textId="17B8D7F2" w:rsidR="00813D3E" w:rsidRDefault="00813D3E" w:rsidP="00247DA1">
      <w:pPr>
        <w:pStyle w:val="Standard"/>
      </w:pPr>
    </w:p>
    <w:p w14:paraId="7D1D8B5A" w14:textId="48E2AB1B" w:rsidR="00813D3E" w:rsidRDefault="001C3459" w:rsidP="008A4A3C">
      <w:pPr>
        <w:pStyle w:val="Titre1"/>
      </w:pPr>
      <w:bookmarkStart w:id="1" w:name="_Toc198913379"/>
      <w:r>
        <w:t>OBJET DE LA CONSULTATION</w:t>
      </w:r>
      <w:bookmarkEnd w:id="1"/>
    </w:p>
    <w:p w14:paraId="7177EBC9" w14:textId="77777777" w:rsidR="00813D3E" w:rsidRDefault="00813D3E" w:rsidP="008A4A3C">
      <w:pPr>
        <w:pStyle w:val="Standard"/>
      </w:pPr>
    </w:p>
    <w:p w14:paraId="15532C19" w14:textId="0DF7F724" w:rsidR="003C6934" w:rsidRPr="003C6934" w:rsidRDefault="003C6934" w:rsidP="003C6934">
      <w:pPr>
        <w:pStyle w:val="Standard"/>
      </w:pPr>
      <w:r w:rsidRPr="003C6934">
        <w:t>Le marché a pour objet les travaux relatifs aux remplacements des groupes froids dédiés à la production d’eau du site des Archives nationales de Pierrefitte-sur-Seine.</w:t>
      </w:r>
    </w:p>
    <w:p w14:paraId="32CF7E25" w14:textId="77777777" w:rsidR="003C6934" w:rsidRPr="003C6934" w:rsidRDefault="003C6934" w:rsidP="003C6934">
      <w:pPr>
        <w:pStyle w:val="Standard"/>
      </w:pPr>
    </w:p>
    <w:p w14:paraId="5D271AB8" w14:textId="77777777" w:rsidR="003C6934" w:rsidRDefault="003C6934" w:rsidP="003C6934">
      <w:pPr>
        <w:pStyle w:val="Standard"/>
      </w:pPr>
      <w:r w:rsidRPr="003C6934">
        <w:t>Cette opération concerne :</w:t>
      </w:r>
    </w:p>
    <w:p w14:paraId="4038F769" w14:textId="25478B68" w:rsidR="003C6934" w:rsidRPr="003C6934" w:rsidRDefault="003C6934" w:rsidP="003C6934">
      <w:pPr>
        <w:pStyle w:val="Standard"/>
        <w:ind w:left="706"/>
      </w:pPr>
      <w:r w:rsidRPr="003C6934">
        <w:t>•Deux groupes froids situés en toiture de l'IGH, assurant l’alimentation en eau glacée du bâtiment où sont stockées les archives</w:t>
      </w:r>
      <w:r>
        <w:t xml:space="preserve"> – </w:t>
      </w:r>
      <w:r w:rsidRPr="003C6934">
        <w:rPr>
          <w:b/>
          <w:bCs/>
        </w:rPr>
        <w:t>TRANCHE FERME</w:t>
      </w:r>
      <w:r>
        <w:t xml:space="preserve">. </w:t>
      </w:r>
    </w:p>
    <w:p w14:paraId="64784691" w14:textId="6BE2222C" w:rsidR="003C6934" w:rsidRPr="003C6934" w:rsidRDefault="003C6934" w:rsidP="003C6934">
      <w:pPr>
        <w:pStyle w:val="Standard"/>
        <w:ind w:left="706"/>
        <w:rPr>
          <w:b/>
          <w:bCs/>
        </w:rPr>
      </w:pPr>
      <w:r w:rsidRPr="003C6934">
        <w:t>•Deux groupes froids installés dans un local technique extérieur, destinés à l’alimentation des satellites (bureaux).</w:t>
      </w:r>
      <w:r>
        <w:t xml:space="preserve"> – </w:t>
      </w:r>
      <w:r w:rsidRPr="003C6934">
        <w:rPr>
          <w:b/>
          <w:bCs/>
        </w:rPr>
        <w:t xml:space="preserve">TRANCHE OPTIONNELLE </w:t>
      </w:r>
    </w:p>
    <w:p w14:paraId="6CB8E491" w14:textId="75381731" w:rsidR="00247DA1" w:rsidRPr="003C6934" w:rsidRDefault="00247DA1" w:rsidP="00247DA1">
      <w:pPr>
        <w:pStyle w:val="Standard"/>
        <w:rPr>
          <w:b/>
          <w:bCs/>
        </w:rPr>
      </w:pPr>
    </w:p>
    <w:p w14:paraId="186599CC" w14:textId="77777777" w:rsidR="00247DA1" w:rsidRPr="00247DA1" w:rsidRDefault="00247DA1" w:rsidP="00247DA1">
      <w:pPr>
        <w:pStyle w:val="Standard"/>
      </w:pPr>
      <w:r w:rsidRPr="00247DA1">
        <w:t xml:space="preserve">Le marché est un marché de travaux. </w:t>
      </w:r>
    </w:p>
    <w:p w14:paraId="396000CF" w14:textId="7557E2BB" w:rsidR="00247DA1" w:rsidRPr="00247DA1" w:rsidRDefault="00247DA1" w:rsidP="00247DA1">
      <w:pPr>
        <w:pStyle w:val="Standard"/>
      </w:pPr>
      <w:r w:rsidRPr="00247DA1">
        <w:t>La description des travaux et leurs spécifications techniques sont indiquées dans le cahier des clauses techniques particulières (CCTP)</w:t>
      </w:r>
      <w:r w:rsidR="003C6934">
        <w:t xml:space="preserve">. </w:t>
      </w:r>
    </w:p>
    <w:p w14:paraId="330BCFD4" w14:textId="77777777" w:rsidR="00247DA1" w:rsidRPr="00247DA1" w:rsidRDefault="00247DA1" w:rsidP="00247DA1">
      <w:pPr>
        <w:pStyle w:val="Standard"/>
      </w:pPr>
    </w:p>
    <w:p w14:paraId="6730CE8E" w14:textId="77777777" w:rsidR="00247DA1" w:rsidRDefault="00247DA1" w:rsidP="00247DA1">
      <w:pPr>
        <w:pStyle w:val="Standard"/>
      </w:pPr>
      <w:r w:rsidRPr="00247DA1">
        <w:rPr>
          <w:u w:val="single"/>
        </w:rPr>
        <w:t>Code CPV de la consultation</w:t>
      </w:r>
      <w:r w:rsidRPr="00247DA1">
        <w:t xml:space="preserve"> : 454530000</w:t>
      </w:r>
    </w:p>
    <w:p w14:paraId="6C184183" w14:textId="77777777" w:rsidR="0072674C" w:rsidRPr="00247DA1" w:rsidRDefault="0072674C" w:rsidP="00247DA1">
      <w:pPr>
        <w:pStyle w:val="Standard"/>
      </w:pPr>
    </w:p>
    <w:p w14:paraId="3A2856A2" w14:textId="77777777" w:rsidR="00813D3E" w:rsidRDefault="00813D3E" w:rsidP="008A4A3C">
      <w:pPr>
        <w:pStyle w:val="Standard"/>
      </w:pPr>
    </w:p>
    <w:p w14:paraId="38904EF5" w14:textId="1891537F" w:rsidR="00813D3E" w:rsidRDefault="001C3459" w:rsidP="008A4A3C">
      <w:pPr>
        <w:pStyle w:val="Titre1"/>
      </w:pPr>
      <w:bookmarkStart w:id="2" w:name="_Toc198913380"/>
      <w:r>
        <w:t>CONDITIONS DE LA CONSULTATION</w:t>
      </w:r>
      <w:bookmarkEnd w:id="2"/>
    </w:p>
    <w:p w14:paraId="627C831F" w14:textId="77777777" w:rsidR="0072674C" w:rsidRPr="0072674C" w:rsidRDefault="0072674C" w:rsidP="0072674C">
      <w:pPr>
        <w:pStyle w:val="Standard"/>
      </w:pPr>
    </w:p>
    <w:p w14:paraId="1331D922" w14:textId="758927F3" w:rsidR="00813D3E" w:rsidRDefault="001C3459" w:rsidP="008A4A3C">
      <w:pPr>
        <w:pStyle w:val="Titre2"/>
        <w:ind w:left="1134"/>
      </w:pPr>
      <w:bookmarkStart w:id="3" w:name="_Toc198913381"/>
      <w:r>
        <w:t>Procédure de passation</w:t>
      </w:r>
      <w:bookmarkEnd w:id="3"/>
    </w:p>
    <w:p w14:paraId="7A63B5CE" w14:textId="77777777" w:rsidR="00813D3E" w:rsidRDefault="00813D3E" w:rsidP="008A4A3C">
      <w:pPr>
        <w:pStyle w:val="Standard"/>
      </w:pPr>
    </w:p>
    <w:p w14:paraId="5E42927A" w14:textId="28CB4D1B" w:rsidR="00813D3E" w:rsidRDefault="001C3459" w:rsidP="008A4A3C">
      <w:pPr>
        <w:pStyle w:val="Standard"/>
      </w:pPr>
      <w:r>
        <w:t xml:space="preserve">Le marché est passé en procédure adaptée. - Procédure de passation - MAPA </w:t>
      </w:r>
      <w:r w:rsidR="00C92398">
        <w:t>ouvert ≥</w:t>
      </w:r>
      <w:r w:rsidR="005906F7">
        <w:t xml:space="preserve"> 90 000 EUR HT.</w:t>
      </w:r>
    </w:p>
    <w:p w14:paraId="0B827E49" w14:textId="77777777" w:rsidR="0072674C" w:rsidRDefault="0072674C" w:rsidP="008A4A3C">
      <w:pPr>
        <w:pStyle w:val="Standard"/>
      </w:pPr>
    </w:p>
    <w:p w14:paraId="3AFA28DD" w14:textId="13447C71" w:rsidR="00813D3E" w:rsidRDefault="001C3459" w:rsidP="008A4A3C">
      <w:pPr>
        <w:pStyle w:val="Titre2"/>
        <w:ind w:left="1134"/>
      </w:pPr>
      <w:bookmarkStart w:id="4" w:name="_Toc198913382"/>
      <w:r>
        <w:t>Allotissement</w:t>
      </w:r>
      <w:bookmarkEnd w:id="4"/>
    </w:p>
    <w:p w14:paraId="29FE7842" w14:textId="77777777" w:rsidR="00813D3E" w:rsidRDefault="00813D3E" w:rsidP="008A4A3C">
      <w:pPr>
        <w:pStyle w:val="Standard"/>
      </w:pPr>
    </w:p>
    <w:p w14:paraId="22584AE1" w14:textId="3397A354" w:rsidR="00813D3E" w:rsidRDefault="001C3459" w:rsidP="008A4A3C">
      <w:pPr>
        <w:pStyle w:val="Standard"/>
      </w:pPr>
      <w:r>
        <w:t xml:space="preserve">L'opération </w:t>
      </w:r>
      <w:r w:rsidR="00C92398">
        <w:t>n’</w:t>
      </w:r>
      <w:r>
        <w:t xml:space="preserve">est </w:t>
      </w:r>
      <w:r w:rsidR="00C92398">
        <w:t xml:space="preserve">pas </w:t>
      </w:r>
      <w:r>
        <w:t>allotie</w:t>
      </w:r>
      <w:r w:rsidR="00C92398">
        <w:t xml:space="preserve">. </w:t>
      </w:r>
    </w:p>
    <w:p w14:paraId="23519247" w14:textId="77777777" w:rsidR="0072674C" w:rsidRDefault="0072674C" w:rsidP="008A4A3C">
      <w:pPr>
        <w:pStyle w:val="Standard"/>
      </w:pPr>
    </w:p>
    <w:p w14:paraId="0587D1BF" w14:textId="3C0447D9" w:rsidR="00D22D5E" w:rsidRDefault="004E355A" w:rsidP="00D22D5E">
      <w:pPr>
        <w:pStyle w:val="Titre2"/>
        <w:ind w:left="1134"/>
      </w:pPr>
      <w:bookmarkStart w:id="5" w:name="_Toc198913383"/>
      <w:r>
        <w:t>Tranches</w:t>
      </w:r>
      <w:bookmarkEnd w:id="5"/>
      <w:r>
        <w:t xml:space="preserve"> </w:t>
      </w:r>
    </w:p>
    <w:p w14:paraId="7892EF30" w14:textId="77777777" w:rsidR="00D22D5E" w:rsidRDefault="00D22D5E" w:rsidP="00D22D5E">
      <w:pPr>
        <w:pStyle w:val="Standard"/>
      </w:pPr>
    </w:p>
    <w:p w14:paraId="54CC0883" w14:textId="77777777" w:rsidR="00D56DFB" w:rsidRDefault="00D56DFB" w:rsidP="00D56DFB">
      <w:pPr>
        <w:pStyle w:val="Standard"/>
      </w:pPr>
      <w:r>
        <w:t xml:space="preserve">Les prestations sont scindées en deux tranches distinctes : </w:t>
      </w:r>
    </w:p>
    <w:p w14:paraId="326F689A" w14:textId="77777777" w:rsidR="00D56DFB" w:rsidRDefault="00D56DFB" w:rsidP="00D56DFB">
      <w:pPr>
        <w:pStyle w:val="Standard"/>
      </w:pPr>
    </w:p>
    <w:tbl>
      <w:tblPr>
        <w:tblStyle w:val="Grilledutableau"/>
        <w:tblW w:w="0" w:type="auto"/>
        <w:tblLook w:val="04A0" w:firstRow="1" w:lastRow="0" w:firstColumn="1" w:lastColumn="0" w:noHBand="0" w:noVBand="1"/>
      </w:tblPr>
      <w:tblGrid>
        <w:gridCol w:w="6941"/>
        <w:gridCol w:w="2686"/>
      </w:tblGrid>
      <w:tr w:rsidR="00D56DFB" w:rsidRPr="004E355A" w14:paraId="3E60A62B" w14:textId="77777777" w:rsidTr="0002390D">
        <w:tc>
          <w:tcPr>
            <w:tcW w:w="6941" w:type="dxa"/>
            <w:shd w:val="clear" w:color="auto" w:fill="BDD6EE" w:themeFill="accent1" w:themeFillTint="66"/>
          </w:tcPr>
          <w:p w14:paraId="770C9BB5" w14:textId="77777777" w:rsidR="00D56DFB" w:rsidRPr="004E355A" w:rsidRDefault="00D56DFB" w:rsidP="0002390D">
            <w:pPr>
              <w:pStyle w:val="Standard"/>
              <w:jc w:val="center"/>
              <w:rPr>
                <w:b/>
                <w:bCs/>
              </w:rPr>
            </w:pPr>
            <w:r w:rsidRPr="004E355A">
              <w:rPr>
                <w:b/>
                <w:bCs/>
              </w:rPr>
              <w:lastRenderedPageBreak/>
              <w:t>TRANCHES</w:t>
            </w:r>
          </w:p>
          <w:p w14:paraId="39BE5EB3" w14:textId="77777777" w:rsidR="00D56DFB" w:rsidRPr="004E355A" w:rsidRDefault="00D56DFB" w:rsidP="0002390D">
            <w:pPr>
              <w:pStyle w:val="Standard"/>
              <w:jc w:val="center"/>
              <w:rPr>
                <w:b/>
                <w:bCs/>
              </w:rPr>
            </w:pPr>
          </w:p>
        </w:tc>
        <w:tc>
          <w:tcPr>
            <w:tcW w:w="2686" w:type="dxa"/>
            <w:shd w:val="clear" w:color="auto" w:fill="BDD6EE" w:themeFill="accent1" w:themeFillTint="66"/>
          </w:tcPr>
          <w:p w14:paraId="5743BAE3" w14:textId="77777777" w:rsidR="00D56DFB" w:rsidRDefault="00D56DFB" w:rsidP="0002390D">
            <w:pPr>
              <w:pStyle w:val="Standard"/>
              <w:jc w:val="center"/>
              <w:rPr>
                <w:b/>
                <w:bCs/>
              </w:rPr>
            </w:pPr>
            <w:r w:rsidRPr="004E355A">
              <w:rPr>
                <w:b/>
                <w:bCs/>
              </w:rPr>
              <w:t>DA</w:t>
            </w:r>
            <w:r>
              <w:rPr>
                <w:b/>
                <w:bCs/>
              </w:rPr>
              <w:t>TE</w:t>
            </w:r>
          </w:p>
          <w:p w14:paraId="5C6589B4" w14:textId="77777777" w:rsidR="00D56DFB" w:rsidRPr="004E355A" w:rsidRDefault="00D56DFB" w:rsidP="0002390D">
            <w:pPr>
              <w:pStyle w:val="Standard"/>
              <w:jc w:val="center"/>
              <w:rPr>
                <w:b/>
                <w:bCs/>
              </w:rPr>
            </w:pPr>
          </w:p>
        </w:tc>
      </w:tr>
      <w:tr w:rsidR="00D56DFB" w:rsidRPr="004E355A" w14:paraId="67532359" w14:textId="77777777" w:rsidTr="0002390D">
        <w:tc>
          <w:tcPr>
            <w:tcW w:w="6941" w:type="dxa"/>
          </w:tcPr>
          <w:p w14:paraId="1CD3890E" w14:textId="77777777" w:rsidR="00D56DFB" w:rsidRDefault="00D56DFB" w:rsidP="0002390D">
            <w:pPr>
              <w:pStyle w:val="Standard"/>
              <w:jc w:val="center"/>
              <w:rPr>
                <w:b/>
                <w:bCs/>
              </w:rPr>
            </w:pPr>
            <w:r w:rsidRPr="004E355A">
              <w:rPr>
                <w:b/>
                <w:bCs/>
              </w:rPr>
              <w:t>Tranche ferme</w:t>
            </w:r>
            <w:r>
              <w:rPr>
                <w:b/>
                <w:bCs/>
              </w:rPr>
              <w:t> :</w:t>
            </w:r>
          </w:p>
          <w:p w14:paraId="7A3D91DC" w14:textId="77777777" w:rsidR="00D56DFB" w:rsidRPr="003C6934" w:rsidRDefault="00D56DFB" w:rsidP="0002390D">
            <w:pPr>
              <w:pStyle w:val="Standard"/>
              <w:jc w:val="center"/>
            </w:pPr>
            <w:r w:rsidRPr="003C6934">
              <w:t>Deux groupes froids situés en toiture de l'IGH, assurant l’alimentation en eau glacée du bâtiment où sont stockées les archives.</w:t>
            </w:r>
          </w:p>
          <w:p w14:paraId="27119278" w14:textId="77777777" w:rsidR="00D56DFB" w:rsidRPr="004E355A" w:rsidRDefault="00D56DFB" w:rsidP="0002390D">
            <w:pPr>
              <w:pStyle w:val="Standard"/>
              <w:jc w:val="center"/>
              <w:rPr>
                <w:b/>
                <w:bCs/>
              </w:rPr>
            </w:pPr>
          </w:p>
        </w:tc>
        <w:tc>
          <w:tcPr>
            <w:tcW w:w="2686" w:type="dxa"/>
          </w:tcPr>
          <w:p w14:paraId="682CCEA6" w14:textId="77777777" w:rsidR="00D56DFB" w:rsidRDefault="00D56DFB" w:rsidP="0002390D">
            <w:pPr>
              <w:pStyle w:val="Standard"/>
              <w:jc w:val="center"/>
            </w:pPr>
          </w:p>
          <w:p w14:paraId="1A0093F8" w14:textId="77777777" w:rsidR="00D56DFB" w:rsidRDefault="00D56DFB" w:rsidP="0002390D">
            <w:pPr>
              <w:pStyle w:val="Standard"/>
              <w:jc w:val="center"/>
            </w:pPr>
            <w:r w:rsidRPr="004E355A">
              <w:t>Notification</w:t>
            </w:r>
          </w:p>
          <w:p w14:paraId="23394685" w14:textId="77777777" w:rsidR="00D56DFB" w:rsidRPr="004E355A" w:rsidRDefault="00D56DFB" w:rsidP="0002390D">
            <w:pPr>
              <w:pStyle w:val="Standard"/>
              <w:jc w:val="center"/>
            </w:pPr>
          </w:p>
        </w:tc>
      </w:tr>
      <w:tr w:rsidR="00D56DFB" w:rsidRPr="004E355A" w14:paraId="294275AE" w14:textId="77777777" w:rsidTr="0002390D">
        <w:tc>
          <w:tcPr>
            <w:tcW w:w="6941" w:type="dxa"/>
          </w:tcPr>
          <w:p w14:paraId="7B7FEEA9" w14:textId="77777777" w:rsidR="00D56DFB" w:rsidRDefault="00D56DFB" w:rsidP="0002390D">
            <w:pPr>
              <w:pStyle w:val="Standard"/>
              <w:jc w:val="center"/>
              <w:rPr>
                <w:b/>
                <w:bCs/>
              </w:rPr>
            </w:pPr>
            <w:r w:rsidRPr="004E355A">
              <w:rPr>
                <w:b/>
                <w:bCs/>
              </w:rPr>
              <w:t>Tranche optionnelle</w:t>
            </w:r>
            <w:r>
              <w:rPr>
                <w:b/>
                <w:bCs/>
              </w:rPr>
              <w:t> :</w:t>
            </w:r>
          </w:p>
          <w:p w14:paraId="75F3C7B8" w14:textId="3D9D64E5" w:rsidR="00D56DFB" w:rsidRDefault="00D56DFB" w:rsidP="0002390D">
            <w:pPr>
              <w:pStyle w:val="Standard"/>
              <w:jc w:val="center"/>
            </w:pPr>
            <w:r w:rsidRPr="003C6934">
              <w:t>Deux groupes froids installés dans un local technique extérieur, destinés à l’alimentation des satellites (bureaux</w:t>
            </w:r>
            <w:r w:rsidR="00631E03">
              <w:t>)</w:t>
            </w:r>
          </w:p>
          <w:p w14:paraId="2441E7A4" w14:textId="77777777" w:rsidR="00D56DFB" w:rsidRPr="004E355A" w:rsidRDefault="00D56DFB" w:rsidP="0002390D">
            <w:pPr>
              <w:pStyle w:val="Standard"/>
              <w:jc w:val="center"/>
            </w:pPr>
          </w:p>
        </w:tc>
        <w:tc>
          <w:tcPr>
            <w:tcW w:w="2686" w:type="dxa"/>
          </w:tcPr>
          <w:p w14:paraId="0F60338E" w14:textId="77777777" w:rsidR="00D56DFB" w:rsidRDefault="00D56DFB" w:rsidP="0002390D">
            <w:pPr>
              <w:pStyle w:val="Standard"/>
              <w:jc w:val="center"/>
            </w:pPr>
          </w:p>
          <w:p w14:paraId="78A6922B" w14:textId="2616A2B6" w:rsidR="00D56DFB" w:rsidRPr="004F143E" w:rsidRDefault="00D56DFB" w:rsidP="0002390D">
            <w:pPr>
              <w:pStyle w:val="Standard"/>
              <w:jc w:val="center"/>
            </w:pPr>
            <w:r w:rsidRPr="004F143E">
              <w:t>Levée de la tranche au plus tard le 31/12/20</w:t>
            </w:r>
            <w:r w:rsidR="004F143E" w:rsidRPr="004F143E">
              <w:t>27</w:t>
            </w:r>
            <w:r w:rsidRPr="004F143E">
              <w:t xml:space="preserve"> </w:t>
            </w:r>
          </w:p>
        </w:tc>
      </w:tr>
    </w:tbl>
    <w:p w14:paraId="75A96A00" w14:textId="77777777" w:rsidR="00D56DFB" w:rsidRDefault="00D56DFB" w:rsidP="00D56DFB">
      <w:pPr>
        <w:pStyle w:val="Standard"/>
      </w:pPr>
    </w:p>
    <w:p w14:paraId="7F548160" w14:textId="77777777" w:rsidR="00D56DFB" w:rsidRDefault="00D56DFB" w:rsidP="00D56DFB">
      <w:pPr>
        <w:spacing w:before="57"/>
        <w:jc w:val="both"/>
        <w:textAlignment w:val="center"/>
        <w:rPr>
          <w:rFonts w:ascii="Arial" w:hAnsi="Arial"/>
          <w:sz w:val="20"/>
        </w:rPr>
      </w:pPr>
      <w:bookmarkStart w:id="6" w:name="_Hlk197700545"/>
      <w:bookmarkStart w:id="7" w:name="_Hlk197705922"/>
      <w:r>
        <w:rPr>
          <w:rFonts w:ascii="Arial" w:hAnsi="Arial"/>
          <w:sz w:val="20"/>
        </w:rPr>
        <w:t>Le marché</w:t>
      </w:r>
      <w:r w:rsidRPr="00DB6D5F">
        <w:rPr>
          <w:rFonts w:ascii="Arial" w:hAnsi="Arial"/>
          <w:sz w:val="20"/>
        </w:rPr>
        <w:t xml:space="preserve"> comporte une tranche ferme pour laquelle la notification emporte acceptation. Et une tranche</w:t>
      </w:r>
      <w:r>
        <w:rPr>
          <w:rFonts w:ascii="Arial" w:hAnsi="Arial"/>
          <w:sz w:val="20"/>
        </w:rPr>
        <w:t xml:space="preserve"> </w:t>
      </w:r>
      <w:r w:rsidRPr="00DB6D5F">
        <w:rPr>
          <w:rFonts w:ascii="Arial" w:hAnsi="Arial"/>
          <w:sz w:val="20"/>
        </w:rPr>
        <w:t>optionnelle qui sera affermie ou non en cours d'exécution du marché par le biais d'un ordre de service</w:t>
      </w:r>
      <w:r>
        <w:rPr>
          <w:rFonts w:ascii="Arial" w:hAnsi="Arial"/>
          <w:sz w:val="20"/>
        </w:rPr>
        <w:t xml:space="preserve"> </w:t>
      </w:r>
      <w:r w:rsidRPr="00DB6D5F">
        <w:rPr>
          <w:rFonts w:ascii="Arial" w:hAnsi="Arial"/>
          <w:sz w:val="20"/>
        </w:rPr>
        <w:t xml:space="preserve">d'affermissement de la tranche optionnelle. </w:t>
      </w:r>
    </w:p>
    <w:p w14:paraId="67F437FC" w14:textId="77777777" w:rsidR="00D56DFB" w:rsidRDefault="00D56DFB" w:rsidP="00D56DFB">
      <w:pPr>
        <w:spacing w:before="57"/>
        <w:jc w:val="both"/>
        <w:textAlignment w:val="center"/>
        <w:rPr>
          <w:rFonts w:ascii="Arial" w:hAnsi="Arial"/>
          <w:sz w:val="20"/>
        </w:rPr>
      </w:pPr>
    </w:p>
    <w:bookmarkEnd w:id="6"/>
    <w:p w14:paraId="1F149EFB" w14:textId="0715F65F" w:rsidR="00D56DFB" w:rsidRDefault="00D56DFB" w:rsidP="00D56DFB">
      <w:pPr>
        <w:spacing w:before="57"/>
        <w:jc w:val="both"/>
        <w:textAlignment w:val="center"/>
        <w:rPr>
          <w:rFonts w:ascii="Arial" w:hAnsi="Arial"/>
          <w:sz w:val="20"/>
        </w:rPr>
      </w:pPr>
      <w:r w:rsidRPr="00DB6D5F">
        <w:rPr>
          <w:rFonts w:ascii="Arial" w:hAnsi="Arial"/>
          <w:sz w:val="20"/>
        </w:rPr>
        <w:t>En cas de non-affermissement de tranche, le titulaire ne peut</w:t>
      </w:r>
      <w:r>
        <w:rPr>
          <w:rFonts w:ascii="Arial" w:hAnsi="Arial"/>
          <w:sz w:val="20"/>
        </w:rPr>
        <w:t xml:space="preserve"> </w:t>
      </w:r>
      <w:r w:rsidRPr="00DB6D5F">
        <w:rPr>
          <w:rFonts w:ascii="Arial" w:hAnsi="Arial"/>
          <w:sz w:val="20"/>
        </w:rPr>
        <w:t xml:space="preserve">prétendre à aucune indemnité. La tranche optionnelle pourra être affermie </w:t>
      </w:r>
      <w:r>
        <w:rPr>
          <w:rFonts w:ascii="Arial" w:hAnsi="Arial"/>
          <w:sz w:val="20"/>
        </w:rPr>
        <w:t>jusqu’au 31/12/202</w:t>
      </w:r>
      <w:r w:rsidR="004F143E">
        <w:rPr>
          <w:rFonts w:ascii="Arial" w:hAnsi="Arial"/>
          <w:sz w:val="20"/>
        </w:rPr>
        <w:t>7</w:t>
      </w:r>
      <w:r>
        <w:rPr>
          <w:rFonts w:ascii="Arial" w:hAnsi="Arial"/>
          <w:sz w:val="20"/>
        </w:rPr>
        <w:t xml:space="preserve">. </w:t>
      </w:r>
    </w:p>
    <w:p w14:paraId="76B5EF89" w14:textId="5AB7C004" w:rsidR="00785935" w:rsidRDefault="00785935" w:rsidP="008A4A3C">
      <w:pPr>
        <w:pStyle w:val="Titre2"/>
        <w:ind w:left="1134"/>
      </w:pPr>
      <w:bookmarkStart w:id="8" w:name="_Toc198913384"/>
      <w:bookmarkEnd w:id="7"/>
      <w:r>
        <w:t>Variantes</w:t>
      </w:r>
      <w:bookmarkEnd w:id="8"/>
    </w:p>
    <w:p w14:paraId="775655CC" w14:textId="6BB8A407" w:rsidR="00785935" w:rsidRPr="00785935" w:rsidRDefault="00785935" w:rsidP="008A4A3C">
      <w:pPr>
        <w:pStyle w:val="Standard"/>
      </w:pPr>
      <w:r>
        <w:t xml:space="preserve">Les variantes sont interdites.  </w:t>
      </w:r>
    </w:p>
    <w:p w14:paraId="4CFBE6D1" w14:textId="3E61DB0A" w:rsidR="003A15BA" w:rsidRPr="003A15BA" w:rsidRDefault="003A15BA" w:rsidP="008A4A3C">
      <w:pPr>
        <w:pStyle w:val="Titre2"/>
        <w:ind w:left="1134"/>
      </w:pPr>
      <w:bookmarkStart w:id="9" w:name="_Toc198913385"/>
      <w:r w:rsidRPr="003A15BA">
        <w:t>Forme et étendue du marché</w:t>
      </w:r>
      <w:bookmarkEnd w:id="9"/>
    </w:p>
    <w:p w14:paraId="319C85C6" w14:textId="4E348B21" w:rsidR="003A15BA" w:rsidRDefault="003A15BA" w:rsidP="008A4A3C">
      <w:pPr>
        <w:pStyle w:val="Standard"/>
      </w:pPr>
    </w:p>
    <w:p w14:paraId="189D89AC" w14:textId="7933AC8C" w:rsidR="00C92398" w:rsidRDefault="00C92398" w:rsidP="00C92398">
      <w:pPr>
        <w:spacing w:before="57"/>
        <w:jc w:val="both"/>
        <w:textAlignment w:val="center"/>
        <w:rPr>
          <w:rFonts w:ascii="Arial" w:hAnsi="Arial"/>
          <w:sz w:val="20"/>
        </w:rPr>
      </w:pPr>
      <w:bookmarkStart w:id="10" w:name="_Hlk197704489"/>
      <w:r w:rsidRPr="00C92398">
        <w:rPr>
          <w:rFonts w:ascii="Arial" w:hAnsi="Arial"/>
          <w:sz w:val="20"/>
        </w:rPr>
        <w:t xml:space="preserve">Le marché est un marché à prix </w:t>
      </w:r>
      <w:r w:rsidR="00D22D5E">
        <w:rPr>
          <w:rFonts w:ascii="Arial" w:hAnsi="Arial"/>
          <w:sz w:val="20"/>
        </w:rPr>
        <w:t xml:space="preserve">mixte : </w:t>
      </w:r>
    </w:p>
    <w:p w14:paraId="22D5810E" w14:textId="77777777" w:rsidR="00D22D5E" w:rsidRDefault="00D22D5E" w:rsidP="00C92398">
      <w:pPr>
        <w:spacing w:before="57"/>
        <w:jc w:val="both"/>
        <w:textAlignment w:val="center"/>
        <w:rPr>
          <w:rFonts w:ascii="Arial" w:hAnsi="Arial"/>
          <w:sz w:val="20"/>
        </w:rPr>
      </w:pPr>
    </w:p>
    <w:p w14:paraId="008CC3C0" w14:textId="7538DAEA" w:rsidR="00D22D5E" w:rsidRDefault="00D22D5E" w:rsidP="00381F3A">
      <w:pPr>
        <w:pStyle w:val="Paragraphedeliste"/>
        <w:numPr>
          <w:ilvl w:val="0"/>
          <w:numId w:val="32"/>
        </w:numPr>
        <w:spacing w:before="57"/>
        <w:jc w:val="both"/>
        <w:textAlignment w:val="center"/>
        <w:rPr>
          <w:rFonts w:ascii="Arial" w:hAnsi="Arial"/>
          <w:bCs/>
          <w:sz w:val="20"/>
        </w:rPr>
      </w:pPr>
      <w:r w:rsidRPr="004420AD">
        <w:rPr>
          <w:rFonts w:ascii="Arial" w:hAnsi="Arial"/>
          <w:b/>
          <w:sz w:val="20"/>
          <w:u w:val="single"/>
        </w:rPr>
        <w:t>Un</w:t>
      </w:r>
      <w:r>
        <w:rPr>
          <w:rFonts w:ascii="Arial" w:hAnsi="Arial"/>
          <w:b/>
          <w:sz w:val="20"/>
          <w:u w:val="single"/>
        </w:rPr>
        <w:t xml:space="preserve">e part à prix </w:t>
      </w:r>
      <w:r w:rsidRPr="004420AD">
        <w:rPr>
          <w:rFonts w:ascii="Arial" w:hAnsi="Arial"/>
          <w:b/>
          <w:sz w:val="20"/>
          <w:u w:val="single"/>
        </w:rPr>
        <w:t>forfaitaire</w:t>
      </w:r>
      <w:r>
        <w:rPr>
          <w:rFonts w:ascii="Arial" w:hAnsi="Arial"/>
          <w:bCs/>
          <w:sz w:val="20"/>
        </w:rPr>
        <w:t xml:space="preserve"> pour les prestations figurant à la décomposition de prix global et forfaitaire (DPGF) intégrant une tranche ferme et une tranche optionnelle ;</w:t>
      </w:r>
    </w:p>
    <w:p w14:paraId="74377200" w14:textId="5A348745" w:rsidR="00D22D5E" w:rsidRDefault="00D22D5E" w:rsidP="00381F3A">
      <w:pPr>
        <w:pStyle w:val="Paragraphedeliste"/>
        <w:numPr>
          <w:ilvl w:val="0"/>
          <w:numId w:val="32"/>
        </w:numPr>
        <w:spacing w:before="57"/>
        <w:jc w:val="both"/>
        <w:textAlignment w:val="center"/>
        <w:rPr>
          <w:rFonts w:ascii="Arial" w:hAnsi="Arial"/>
          <w:bCs/>
          <w:sz w:val="20"/>
        </w:rPr>
      </w:pPr>
      <w:r w:rsidRPr="004420AD">
        <w:rPr>
          <w:rFonts w:ascii="Arial" w:hAnsi="Arial"/>
          <w:b/>
          <w:sz w:val="20"/>
          <w:u w:val="single"/>
        </w:rPr>
        <w:t xml:space="preserve">Une part à </w:t>
      </w:r>
      <w:r>
        <w:rPr>
          <w:rFonts w:ascii="Arial" w:hAnsi="Arial"/>
          <w:b/>
          <w:sz w:val="20"/>
          <w:u w:val="single"/>
        </w:rPr>
        <w:t xml:space="preserve">prix unitaire : accord-cadre mono-attributaire à </w:t>
      </w:r>
      <w:r w:rsidRPr="004420AD">
        <w:rPr>
          <w:rFonts w:ascii="Arial" w:hAnsi="Arial"/>
          <w:b/>
          <w:sz w:val="20"/>
          <w:u w:val="single"/>
        </w:rPr>
        <w:t>bon</w:t>
      </w:r>
      <w:r>
        <w:rPr>
          <w:rFonts w:ascii="Arial" w:hAnsi="Arial"/>
          <w:b/>
          <w:sz w:val="20"/>
          <w:u w:val="single"/>
        </w:rPr>
        <w:t>s</w:t>
      </w:r>
      <w:r w:rsidRPr="004420AD">
        <w:rPr>
          <w:rFonts w:ascii="Arial" w:hAnsi="Arial"/>
          <w:b/>
          <w:sz w:val="20"/>
          <w:u w:val="single"/>
        </w:rPr>
        <w:t xml:space="preserve"> de commandes</w:t>
      </w:r>
      <w:r w:rsidRPr="004420AD">
        <w:rPr>
          <w:rFonts w:ascii="Arial" w:hAnsi="Arial"/>
          <w:bCs/>
          <w:sz w:val="20"/>
        </w:rPr>
        <w:t xml:space="preserve"> </w:t>
      </w:r>
      <w:r>
        <w:rPr>
          <w:rFonts w:ascii="Arial" w:hAnsi="Arial"/>
          <w:bCs/>
          <w:sz w:val="20"/>
        </w:rPr>
        <w:t>pour les prestations figurant au bordereau de prix unitaire (BPU)</w:t>
      </w:r>
      <w:r w:rsidRPr="004420AD">
        <w:rPr>
          <w:rFonts w:ascii="Arial" w:hAnsi="Arial"/>
          <w:bCs/>
          <w:sz w:val="20"/>
        </w:rPr>
        <w:t>. La part à bon</w:t>
      </w:r>
      <w:r w:rsidR="00631E03">
        <w:rPr>
          <w:rFonts w:ascii="Arial" w:hAnsi="Arial"/>
          <w:bCs/>
          <w:sz w:val="20"/>
        </w:rPr>
        <w:t>s</w:t>
      </w:r>
      <w:r w:rsidRPr="004420AD">
        <w:rPr>
          <w:rFonts w:ascii="Arial" w:hAnsi="Arial"/>
          <w:bCs/>
          <w:sz w:val="20"/>
        </w:rPr>
        <w:t xml:space="preserve"> de commande dispose d’un montant maximum annuel passé</w:t>
      </w:r>
      <w:r>
        <w:rPr>
          <w:rFonts w:ascii="Arial" w:hAnsi="Arial"/>
          <w:bCs/>
          <w:sz w:val="20"/>
        </w:rPr>
        <w:t xml:space="preserve"> </w:t>
      </w:r>
      <w:r w:rsidRPr="004420AD">
        <w:rPr>
          <w:rFonts w:ascii="Arial" w:hAnsi="Arial"/>
          <w:bCs/>
          <w:sz w:val="20"/>
        </w:rPr>
        <w:t>en application des dispositions des articles R. 2162-13 et R.2162-14 du code de la commande publique</w:t>
      </w:r>
      <w:r>
        <w:rPr>
          <w:rFonts w:ascii="Arial" w:hAnsi="Arial"/>
          <w:bCs/>
          <w:sz w:val="20"/>
        </w:rPr>
        <w:t xml:space="preserve"> détaillé au tableau ci-dessous :</w:t>
      </w:r>
    </w:p>
    <w:p w14:paraId="333E59D1" w14:textId="3BDF474A" w:rsidR="00D22D5E" w:rsidRPr="00D22D5E" w:rsidRDefault="00D22D5E" w:rsidP="00D22D5E">
      <w:pPr>
        <w:spacing w:before="57"/>
        <w:ind w:left="360"/>
        <w:jc w:val="both"/>
        <w:textAlignment w:val="center"/>
        <w:rPr>
          <w:rFonts w:ascii="Arial" w:hAnsi="Arial"/>
          <w:bCs/>
          <w:sz w:val="20"/>
        </w:rPr>
      </w:pPr>
    </w:p>
    <w:tbl>
      <w:tblPr>
        <w:tblW w:w="9638" w:type="dxa"/>
        <w:tblLayout w:type="fixed"/>
        <w:tblCellMar>
          <w:left w:w="10" w:type="dxa"/>
          <w:right w:w="10" w:type="dxa"/>
        </w:tblCellMar>
        <w:tblLook w:val="04A0" w:firstRow="1" w:lastRow="0" w:firstColumn="1" w:lastColumn="0" w:noHBand="0" w:noVBand="1"/>
      </w:tblPr>
      <w:tblGrid>
        <w:gridCol w:w="6234"/>
        <w:gridCol w:w="3404"/>
      </w:tblGrid>
      <w:tr w:rsidR="00D22D5E" w:rsidRPr="000B0290" w14:paraId="471E3E88" w14:textId="77777777" w:rsidTr="0002390D">
        <w:tc>
          <w:tcPr>
            <w:tcW w:w="6234" w:type="dxa"/>
            <w:tcBorders>
              <w:top w:val="single" w:sz="2" w:space="0" w:color="000000"/>
              <w:left w:val="single" w:sz="2" w:space="0" w:color="000000"/>
              <w:bottom w:val="single" w:sz="4" w:space="0" w:color="000000"/>
            </w:tcBorders>
            <w:shd w:val="clear" w:color="auto" w:fill="C0C0C0"/>
            <w:tcMar>
              <w:top w:w="55" w:type="dxa"/>
              <w:left w:w="55" w:type="dxa"/>
              <w:bottom w:w="55" w:type="dxa"/>
              <w:right w:w="55" w:type="dxa"/>
            </w:tcMar>
          </w:tcPr>
          <w:p w14:paraId="55E48C18" w14:textId="77777777" w:rsidR="00D22D5E" w:rsidRDefault="00D22D5E" w:rsidP="00D22D5E">
            <w:pPr>
              <w:pStyle w:val="Paragraphedeliste"/>
              <w:suppressLineNumbers/>
              <w:spacing w:before="120" w:after="120"/>
              <w:textAlignment w:val="center"/>
              <w:rPr>
                <w:rFonts w:ascii="Arial" w:hAnsi="Arial"/>
                <w:b/>
                <w:iCs/>
                <w:sz w:val="20"/>
                <w:szCs w:val="32"/>
              </w:rPr>
            </w:pPr>
          </w:p>
          <w:p w14:paraId="7B2CB212" w14:textId="77BF1B09" w:rsidR="00D22D5E" w:rsidRPr="00D22D5E" w:rsidRDefault="00D22D5E" w:rsidP="00D22D5E">
            <w:pPr>
              <w:pStyle w:val="Paragraphedeliste"/>
              <w:suppressLineNumbers/>
              <w:spacing w:before="120" w:after="120"/>
              <w:jc w:val="center"/>
              <w:textAlignment w:val="center"/>
              <w:rPr>
                <w:rFonts w:ascii="Arial" w:hAnsi="Arial"/>
                <w:b/>
                <w:iCs/>
                <w:sz w:val="20"/>
                <w:szCs w:val="32"/>
              </w:rPr>
            </w:pPr>
            <w:r w:rsidRPr="00D22D5E">
              <w:rPr>
                <w:rFonts w:ascii="Arial" w:hAnsi="Arial"/>
                <w:b/>
                <w:iCs/>
                <w:sz w:val="20"/>
                <w:szCs w:val="32"/>
              </w:rPr>
              <w:t>Prestation</w:t>
            </w:r>
            <w:r>
              <w:rPr>
                <w:rFonts w:ascii="Arial" w:hAnsi="Arial"/>
                <w:b/>
                <w:iCs/>
                <w:sz w:val="20"/>
                <w:szCs w:val="32"/>
              </w:rPr>
              <w:t>s</w:t>
            </w:r>
          </w:p>
        </w:tc>
        <w:tc>
          <w:tcPr>
            <w:tcW w:w="3404" w:type="dxa"/>
            <w:tcBorders>
              <w:top w:val="single" w:sz="2" w:space="0" w:color="000000"/>
              <w:left w:val="single" w:sz="2" w:space="0" w:color="000000"/>
              <w:bottom w:val="single" w:sz="4" w:space="0" w:color="000000"/>
              <w:right w:val="single" w:sz="2" w:space="0" w:color="000000"/>
            </w:tcBorders>
            <w:shd w:val="clear" w:color="auto" w:fill="C0C0C0"/>
            <w:tcMar>
              <w:top w:w="55" w:type="dxa"/>
              <w:left w:w="55" w:type="dxa"/>
              <w:bottom w:w="55" w:type="dxa"/>
              <w:right w:w="55" w:type="dxa"/>
            </w:tcMar>
          </w:tcPr>
          <w:p w14:paraId="7CB8583E" w14:textId="77777777" w:rsidR="00D22D5E" w:rsidRPr="004E406F" w:rsidRDefault="00D22D5E" w:rsidP="0002390D">
            <w:pPr>
              <w:suppressLineNumbers/>
              <w:spacing w:before="120" w:after="120"/>
              <w:jc w:val="center"/>
              <w:textAlignment w:val="center"/>
              <w:rPr>
                <w:rFonts w:ascii="Arial" w:hAnsi="Arial"/>
                <w:b/>
                <w:iCs/>
                <w:sz w:val="20"/>
                <w:szCs w:val="32"/>
              </w:rPr>
            </w:pPr>
            <w:r w:rsidRPr="004E406F">
              <w:rPr>
                <w:rFonts w:ascii="Arial" w:hAnsi="Arial"/>
                <w:b/>
                <w:iCs/>
                <w:sz w:val="20"/>
                <w:szCs w:val="32"/>
              </w:rPr>
              <w:t>Montant HT maximum annuel</w:t>
            </w:r>
          </w:p>
        </w:tc>
      </w:tr>
      <w:tr w:rsidR="00D22D5E" w:rsidRPr="000B0290" w14:paraId="4AC8B7EB" w14:textId="77777777" w:rsidTr="0002390D">
        <w:tc>
          <w:tcPr>
            <w:tcW w:w="623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E51B28F" w14:textId="2C36595B" w:rsidR="00D22D5E" w:rsidRPr="002875A0" w:rsidRDefault="00D22D5E" w:rsidP="00D22D5E">
            <w:pPr>
              <w:suppressLineNumbers/>
              <w:spacing w:before="120" w:after="120"/>
              <w:jc w:val="center"/>
              <w:textAlignment w:val="center"/>
              <w:rPr>
                <w:rFonts w:ascii="Arial" w:hAnsi="Arial"/>
                <w:b/>
                <w:iCs/>
                <w:sz w:val="20"/>
                <w:szCs w:val="32"/>
              </w:rPr>
            </w:pPr>
            <w:r>
              <w:rPr>
                <w:rFonts w:ascii="Arial" w:hAnsi="Arial"/>
                <w:b/>
                <w:iCs/>
                <w:sz w:val="20"/>
                <w:szCs w:val="32"/>
              </w:rPr>
              <w:t>Prestations annexes à l’installation des groupes froids</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3BF8E8" w14:textId="709955A1" w:rsidR="00D22D5E" w:rsidRPr="002875A0" w:rsidRDefault="00D22D5E" w:rsidP="0002390D">
            <w:pPr>
              <w:suppressLineNumbers/>
              <w:spacing w:before="120" w:after="120"/>
              <w:jc w:val="center"/>
              <w:textAlignment w:val="center"/>
              <w:rPr>
                <w:rFonts w:ascii="Arial" w:hAnsi="Arial"/>
                <w:b/>
                <w:iCs/>
                <w:sz w:val="20"/>
                <w:szCs w:val="32"/>
              </w:rPr>
            </w:pPr>
            <w:r>
              <w:rPr>
                <w:rFonts w:ascii="Arial" w:hAnsi="Arial"/>
                <w:b/>
                <w:iCs/>
                <w:sz w:val="20"/>
                <w:szCs w:val="32"/>
              </w:rPr>
              <w:t>15</w:t>
            </w:r>
            <w:r w:rsidR="004F143E">
              <w:rPr>
                <w:rFonts w:ascii="Arial" w:hAnsi="Arial"/>
                <w:b/>
                <w:iCs/>
                <w:sz w:val="20"/>
                <w:szCs w:val="32"/>
              </w:rPr>
              <w:t>0</w:t>
            </w:r>
            <w:r>
              <w:rPr>
                <w:rFonts w:ascii="Arial" w:hAnsi="Arial"/>
                <w:b/>
                <w:iCs/>
                <w:sz w:val="20"/>
                <w:szCs w:val="32"/>
              </w:rPr>
              <w:t xml:space="preserve"> </w:t>
            </w:r>
            <w:r w:rsidRPr="002875A0">
              <w:rPr>
                <w:rFonts w:ascii="Arial" w:hAnsi="Arial"/>
                <w:b/>
                <w:iCs/>
                <w:sz w:val="20"/>
                <w:szCs w:val="32"/>
              </w:rPr>
              <w:t>000€</w:t>
            </w:r>
          </w:p>
        </w:tc>
      </w:tr>
    </w:tbl>
    <w:p w14:paraId="114491D5" w14:textId="77777777" w:rsidR="00D22D5E" w:rsidRPr="000B0290" w:rsidRDefault="00D22D5E" w:rsidP="00D22D5E">
      <w:pPr>
        <w:spacing w:before="57"/>
        <w:jc w:val="both"/>
        <w:textAlignment w:val="center"/>
        <w:rPr>
          <w:rFonts w:ascii="Arial" w:hAnsi="Arial"/>
          <w:bCs/>
          <w:sz w:val="20"/>
        </w:rPr>
      </w:pPr>
    </w:p>
    <w:p w14:paraId="0E9B5B98" w14:textId="77777777" w:rsidR="00D22D5E" w:rsidRDefault="00D22D5E" w:rsidP="00D22D5E">
      <w:pPr>
        <w:jc w:val="both"/>
        <w:rPr>
          <w:rFonts w:ascii="Arial" w:hAnsi="Arial"/>
          <w:sz w:val="20"/>
        </w:rPr>
      </w:pPr>
      <w:r w:rsidRPr="004420AD">
        <w:rPr>
          <w:rFonts w:ascii="Arial" w:hAnsi="Arial"/>
          <w:sz w:val="20"/>
        </w:rPr>
        <w:t xml:space="preserve">Les bons de commande seront notifiés par le pouvoir adjudicateur au fur et à mesure des besoins. </w:t>
      </w:r>
      <w:r>
        <w:rPr>
          <w:rFonts w:ascii="Arial" w:hAnsi="Arial"/>
          <w:sz w:val="20"/>
        </w:rPr>
        <w:t xml:space="preserve">Le marché </w:t>
      </w:r>
      <w:r w:rsidRPr="004420AD">
        <w:rPr>
          <w:rFonts w:ascii="Arial" w:hAnsi="Arial"/>
          <w:sz w:val="20"/>
        </w:rPr>
        <w:t>n’</w:t>
      </w:r>
      <w:r>
        <w:rPr>
          <w:rFonts w:ascii="Arial" w:hAnsi="Arial"/>
          <w:sz w:val="20"/>
        </w:rPr>
        <w:t>a</w:t>
      </w:r>
      <w:r w:rsidRPr="004420AD">
        <w:rPr>
          <w:rFonts w:ascii="Arial" w:hAnsi="Arial"/>
          <w:sz w:val="20"/>
        </w:rPr>
        <w:t xml:space="preserve"> pas de montant minimum.</w:t>
      </w:r>
    </w:p>
    <w:p w14:paraId="79158712" w14:textId="77777777" w:rsidR="00D22D5E" w:rsidRDefault="00D22D5E" w:rsidP="00D22D5E">
      <w:pPr>
        <w:jc w:val="both"/>
        <w:rPr>
          <w:rFonts w:ascii="Arial" w:hAnsi="Arial"/>
          <w:sz w:val="20"/>
        </w:rPr>
      </w:pPr>
    </w:p>
    <w:p w14:paraId="49EBA7DD" w14:textId="77777777" w:rsidR="00D22D5E" w:rsidRPr="000B0290" w:rsidRDefault="00D22D5E" w:rsidP="00D22D5E">
      <w:pPr>
        <w:jc w:val="both"/>
        <w:rPr>
          <w:rFonts w:ascii="Arial" w:hAnsi="Arial"/>
          <w:sz w:val="20"/>
        </w:rPr>
      </w:pPr>
      <w:r w:rsidRPr="000B0290">
        <w:rPr>
          <w:rFonts w:ascii="Arial" w:hAnsi="Arial"/>
          <w:sz w:val="20"/>
        </w:rPr>
        <w:t>L'émission des bons de commande s'effectue sans négociation ni remise en concurrence préalable et selon les modalités fixées au CCAP.</w:t>
      </w:r>
    </w:p>
    <w:p w14:paraId="28938C21" w14:textId="094DF0A0" w:rsidR="00813D3E" w:rsidRDefault="001C3459" w:rsidP="008A4A3C">
      <w:pPr>
        <w:pStyle w:val="Titre2"/>
        <w:ind w:left="1134"/>
      </w:pPr>
      <w:bookmarkStart w:id="11" w:name="_Toc198913386"/>
      <w:bookmarkEnd w:id="10"/>
      <w:r>
        <w:t>Durée du marché</w:t>
      </w:r>
      <w:bookmarkEnd w:id="11"/>
    </w:p>
    <w:p w14:paraId="3F739FCF" w14:textId="77777777" w:rsidR="00813D3E" w:rsidRDefault="00813D3E" w:rsidP="008A4A3C">
      <w:pPr>
        <w:pStyle w:val="Standard"/>
      </w:pPr>
    </w:p>
    <w:p w14:paraId="510BA947" w14:textId="42085E39" w:rsidR="009A1AD4" w:rsidRPr="009A1AD4" w:rsidRDefault="009A1AD4" w:rsidP="009A1AD4">
      <w:pPr>
        <w:pStyle w:val="Standard"/>
      </w:pPr>
      <w:r w:rsidRPr="009A1AD4">
        <w:t xml:space="preserve">Le marché est conclu pour une durée de </w:t>
      </w:r>
      <w:r w:rsidR="004F143E">
        <w:rPr>
          <w:b/>
          <w:bCs/>
        </w:rPr>
        <w:t>36</w:t>
      </w:r>
      <w:r w:rsidRPr="009A1AD4">
        <w:rPr>
          <w:b/>
          <w:bCs/>
        </w:rPr>
        <w:t xml:space="preserve"> mois</w:t>
      </w:r>
      <w:r w:rsidRPr="009A1AD4">
        <w:t xml:space="preserve"> à compter de sa date de notification</w:t>
      </w:r>
      <w:r w:rsidR="00973B8A">
        <w:t xml:space="preserve">. </w:t>
      </w:r>
    </w:p>
    <w:p w14:paraId="4769E33B" w14:textId="77777777" w:rsidR="009A1AD4" w:rsidRPr="009A1AD4" w:rsidRDefault="009A1AD4" w:rsidP="009A1AD4">
      <w:pPr>
        <w:pStyle w:val="Standard"/>
      </w:pPr>
    </w:p>
    <w:p w14:paraId="443F317D" w14:textId="0081FA95" w:rsidR="009A1AD4" w:rsidRPr="009A1AD4" w:rsidRDefault="009A1AD4" w:rsidP="009A1AD4">
      <w:pPr>
        <w:pStyle w:val="Standard"/>
      </w:pPr>
      <w:r w:rsidRPr="009A1AD4">
        <w:t>Les délais d'exécution</w:t>
      </w:r>
      <w:r w:rsidR="00631E03">
        <w:t>,</w:t>
      </w:r>
      <w:r w:rsidRPr="009A1AD4">
        <w:t xml:space="preserve"> d</w:t>
      </w:r>
      <w:r w:rsidR="00631E03">
        <w:t xml:space="preserve">es deux tranches du </w:t>
      </w:r>
      <w:r w:rsidRPr="009A1AD4">
        <w:t>marché</w:t>
      </w:r>
      <w:r w:rsidR="00631E03">
        <w:t>,</w:t>
      </w:r>
      <w:r w:rsidRPr="009A1AD4">
        <w:t xml:space="preserve"> sont estimés </w:t>
      </w:r>
      <w:r w:rsidRPr="00973B8A">
        <w:rPr>
          <w:b/>
          <w:bCs/>
        </w:rPr>
        <w:t>à 6 mois.</w:t>
      </w:r>
      <w:r w:rsidRPr="009A1AD4">
        <w:t xml:space="preserve"> </w:t>
      </w:r>
    </w:p>
    <w:p w14:paraId="475A6732" w14:textId="77777777" w:rsidR="009A1AD4" w:rsidRPr="009A1AD4" w:rsidRDefault="009A1AD4" w:rsidP="009A1AD4">
      <w:pPr>
        <w:pStyle w:val="Standard"/>
      </w:pPr>
    </w:p>
    <w:p w14:paraId="7235BA62" w14:textId="6E7D872D" w:rsidR="009A1AD4" w:rsidRPr="009A1AD4" w:rsidRDefault="009A1AD4" w:rsidP="009A1AD4">
      <w:pPr>
        <w:pStyle w:val="Standard"/>
      </w:pPr>
      <w:r w:rsidRPr="009A1AD4">
        <w:lastRenderedPageBreak/>
        <w:t>Le titulaire devra fournir un planning détaillé précisant les différentes phases des travaux. Ce phasage devra impérativement tenir compte des besoins des Archives nationales en production d’eau glacée, afin d’assurer le maintien des températures requises dans les magasins et de garantir des conditions de confort adaptées dans les bureaux.</w:t>
      </w:r>
    </w:p>
    <w:p w14:paraId="123C3DE9" w14:textId="77777777" w:rsidR="009A1AD4" w:rsidRPr="009A1AD4" w:rsidRDefault="009A1AD4" w:rsidP="009A1AD4">
      <w:pPr>
        <w:pStyle w:val="Standard"/>
      </w:pPr>
    </w:p>
    <w:p w14:paraId="2C1FD44F" w14:textId="77777777" w:rsidR="009A1AD4" w:rsidRPr="009A1AD4" w:rsidRDefault="009A1AD4" w:rsidP="009A1AD4">
      <w:pPr>
        <w:pStyle w:val="Standard"/>
      </w:pPr>
      <w:r w:rsidRPr="009A1AD4">
        <w:t>Dans la mesure du possible, l’intervention devra être planifiée entre octobre et avril, période la plus favorable à la réalisation des travaux tout en limitant l’impact sur l’exploitation du site.</w:t>
      </w:r>
    </w:p>
    <w:p w14:paraId="5C20AB2C" w14:textId="77777777" w:rsidR="009A1AD4" w:rsidRPr="009A1AD4" w:rsidRDefault="009A1AD4" w:rsidP="009A1AD4">
      <w:pPr>
        <w:pStyle w:val="Standard"/>
      </w:pPr>
    </w:p>
    <w:p w14:paraId="67449F50" w14:textId="20F97AE0" w:rsidR="009578AA" w:rsidRDefault="009A1AD4" w:rsidP="008A4A3C">
      <w:pPr>
        <w:pStyle w:val="Standard"/>
      </w:pPr>
      <w:r w:rsidRPr="009A1AD4">
        <w:t xml:space="preserve">Toute modification du calendrier devra être justifiée par le titulaire et soumise à l’approbation préalable de la maîtrise d’ouvrage avant mise en application. </w:t>
      </w:r>
    </w:p>
    <w:p w14:paraId="05F25B80" w14:textId="65F838F9" w:rsidR="00813D3E" w:rsidRDefault="001C3459" w:rsidP="008A4A3C">
      <w:pPr>
        <w:pStyle w:val="Titre2"/>
        <w:ind w:left="1134"/>
      </w:pPr>
      <w:bookmarkStart w:id="12" w:name="_Toc198913387"/>
      <w:r>
        <w:t>Lieu d'exécution</w:t>
      </w:r>
      <w:bookmarkEnd w:id="12"/>
    </w:p>
    <w:p w14:paraId="3DACF6E5" w14:textId="77777777" w:rsidR="00813D3E" w:rsidRDefault="00813D3E" w:rsidP="008A4A3C">
      <w:pPr>
        <w:pStyle w:val="Standard"/>
      </w:pPr>
    </w:p>
    <w:p w14:paraId="51F79834" w14:textId="58B9A27D" w:rsidR="009A1AD4" w:rsidRDefault="009A1AD4" w:rsidP="008A4A3C">
      <w:pPr>
        <w:pStyle w:val="Standard"/>
      </w:pPr>
      <w:r w:rsidRPr="009A1AD4">
        <w:t>Le lieu d'exécution des prestations objets de la consultation se situe au 59 rue Guynemer - 90001 Pierrefitte-sur-Seine - 93 383 SAINT-DENIS.</w:t>
      </w:r>
    </w:p>
    <w:p w14:paraId="327E2D5D" w14:textId="38C5D926" w:rsidR="00E95593" w:rsidRPr="00E95593" w:rsidRDefault="00E95593" w:rsidP="008A4A3C">
      <w:pPr>
        <w:pStyle w:val="Titre2"/>
        <w:ind w:left="1134"/>
      </w:pPr>
      <w:bookmarkStart w:id="13" w:name="_Toc161931129"/>
      <w:bookmarkStart w:id="14" w:name="_Toc198913388"/>
      <w:r w:rsidRPr="00E95593">
        <w:t>Égalité professionnelle et lutte contre les discriminations</w:t>
      </w:r>
      <w:bookmarkEnd w:id="13"/>
      <w:bookmarkEnd w:id="14"/>
    </w:p>
    <w:p w14:paraId="63290496" w14:textId="77777777" w:rsidR="00E95593" w:rsidRPr="00E95593" w:rsidRDefault="00E95593" w:rsidP="00E95593">
      <w:pPr>
        <w:spacing w:before="57"/>
        <w:jc w:val="both"/>
        <w:textAlignment w:val="center"/>
        <w:rPr>
          <w:rFonts w:ascii="Arial" w:hAnsi="Arial"/>
          <w:sz w:val="20"/>
        </w:rPr>
      </w:pPr>
    </w:p>
    <w:p w14:paraId="37A1EA46" w14:textId="77777777" w:rsidR="00E95593" w:rsidRPr="00E95593" w:rsidRDefault="00E95593" w:rsidP="00E95593">
      <w:pPr>
        <w:spacing w:before="57"/>
        <w:jc w:val="both"/>
        <w:textAlignment w:val="center"/>
        <w:rPr>
          <w:rFonts w:ascii="Arial" w:hAnsi="Arial"/>
          <w:sz w:val="20"/>
        </w:rPr>
      </w:pPr>
      <w:r w:rsidRPr="00E95593">
        <w:rPr>
          <w:rFonts w:ascii="Arial" w:hAnsi="Arial"/>
          <w:sz w:val="20"/>
        </w:rPr>
        <w:t>Le ministère de la Culture est détenteur depuis 2017 des labels « Égalité professionnelle » et « Diversité » délivrés par l'AFNOR. Il s’engage à ce titre à mettre en œuvre des procédures et outils relatifs aux problématiques de lutte contre les discriminations et pour la promotion de l’égalité professionnelle entre les femmes et les hommes, comme notamment :</w:t>
      </w:r>
    </w:p>
    <w:p w14:paraId="59A55BF7" w14:textId="77777777" w:rsidR="00E95593" w:rsidRPr="00E95593" w:rsidRDefault="00E95593" w:rsidP="00E95593">
      <w:pPr>
        <w:spacing w:before="57"/>
        <w:jc w:val="both"/>
        <w:textAlignment w:val="center"/>
        <w:rPr>
          <w:rFonts w:ascii="Arial" w:hAnsi="Arial"/>
          <w:sz w:val="20"/>
        </w:rPr>
      </w:pPr>
    </w:p>
    <w:p w14:paraId="37C5F915" w14:textId="77777777" w:rsidR="00E95593" w:rsidRPr="00E95593" w:rsidRDefault="00E95593" w:rsidP="00E95593">
      <w:pPr>
        <w:spacing w:before="57"/>
        <w:jc w:val="both"/>
        <w:textAlignment w:val="center"/>
        <w:rPr>
          <w:rFonts w:ascii="Arial" w:hAnsi="Arial"/>
          <w:sz w:val="20"/>
        </w:rPr>
      </w:pPr>
      <w:r w:rsidRPr="00E95593">
        <w:rPr>
          <w:rFonts w:ascii="Arial" w:hAnsi="Arial"/>
          <w:sz w:val="20"/>
        </w:rPr>
        <w:t>-des actions de sensibilisation et de formation à la prévention des discriminations à l’attention de tous les personnels, en ciblant plus particulièrement l’encadrement et les équipes de gestion des ressources humaines ;</w:t>
      </w:r>
    </w:p>
    <w:p w14:paraId="40F1791D" w14:textId="77777777" w:rsidR="00E95593" w:rsidRPr="00E95593" w:rsidRDefault="00E95593" w:rsidP="00E95593">
      <w:pPr>
        <w:spacing w:before="57"/>
        <w:jc w:val="both"/>
        <w:textAlignment w:val="center"/>
        <w:rPr>
          <w:rFonts w:ascii="Arial" w:hAnsi="Arial"/>
          <w:sz w:val="20"/>
        </w:rPr>
      </w:pPr>
      <w:r w:rsidRPr="00E95593">
        <w:rPr>
          <w:rFonts w:ascii="Arial" w:hAnsi="Arial"/>
          <w:sz w:val="20"/>
        </w:rPr>
        <w:t>-un plan d’actions pluriannuel afin de progresser en matière d’égalité entre les femmes et les hommes. Le ministère s’engage ainsi à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0AC02940" w14:textId="77777777" w:rsidR="00E95593" w:rsidRPr="00E95593" w:rsidRDefault="00E95593" w:rsidP="00E95593">
      <w:pPr>
        <w:spacing w:before="57"/>
        <w:jc w:val="both"/>
        <w:textAlignment w:val="center"/>
        <w:rPr>
          <w:rFonts w:ascii="Arial" w:hAnsi="Arial"/>
          <w:sz w:val="20"/>
        </w:rPr>
      </w:pPr>
    </w:p>
    <w:p w14:paraId="08FB3C51" w14:textId="77777777" w:rsidR="00E95593" w:rsidRPr="00E95593" w:rsidRDefault="00E95593" w:rsidP="00E95593">
      <w:pPr>
        <w:spacing w:before="57"/>
        <w:jc w:val="both"/>
        <w:textAlignment w:val="center"/>
        <w:rPr>
          <w:rFonts w:ascii="Arial" w:hAnsi="Arial"/>
          <w:sz w:val="20"/>
        </w:rPr>
      </w:pPr>
      <w:r w:rsidRPr="00E95593">
        <w:rPr>
          <w:rFonts w:ascii="Arial" w:hAnsi="Arial"/>
          <w:sz w:val="20"/>
        </w:rPr>
        <w:t>Dans le cadre de cette politique d'achats responsables et de lutte contre les discriminations, le ministère de la Culture souhaite mobiliser ses fournisseurs afin d’être informé de leurs propres actions en matière d’égalité femmes-hommes et de diversité professionnelle et/ou de les sensibiliser davantage à ces enjeux.</w:t>
      </w:r>
    </w:p>
    <w:p w14:paraId="2945AE84" w14:textId="77777777" w:rsidR="00E95593" w:rsidRPr="00E95593" w:rsidRDefault="00E95593" w:rsidP="00E95593">
      <w:pPr>
        <w:spacing w:before="57"/>
        <w:jc w:val="both"/>
        <w:textAlignment w:val="center"/>
        <w:rPr>
          <w:rFonts w:ascii="Arial" w:hAnsi="Arial"/>
          <w:sz w:val="20"/>
        </w:rPr>
      </w:pPr>
    </w:p>
    <w:p w14:paraId="7144D58B" w14:textId="2DE2EAF6" w:rsidR="00E95593" w:rsidRPr="00E95593" w:rsidRDefault="00E95593" w:rsidP="00E95593">
      <w:pPr>
        <w:spacing w:before="57"/>
        <w:jc w:val="both"/>
        <w:textAlignment w:val="center"/>
        <w:rPr>
          <w:rFonts w:ascii="Arial" w:hAnsi="Arial"/>
          <w:sz w:val="20"/>
        </w:rPr>
      </w:pPr>
      <w:r w:rsidRPr="00E95593">
        <w:rPr>
          <w:rFonts w:ascii="Arial" w:hAnsi="Arial"/>
          <w:sz w:val="20"/>
        </w:rPr>
        <w:t>Compte tenu de cette ambition, il est demandé au Titulaire de remplir au moment de la signature du marché le questionnaire « Egalité professionnelle et diversité professionnelle » proposé par le ministère (</w:t>
      </w:r>
      <w:r w:rsidR="008A4A3C">
        <w:rPr>
          <w:rFonts w:ascii="Arial" w:hAnsi="Arial"/>
          <w:sz w:val="20"/>
        </w:rPr>
        <w:t xml:space="preserve">RC - </w:t>
      </w:r>
      <w:r w:rsidRPr="00E95593">
        <w:rPr>
          <w:rFonts w:ascii="Arial" w:hAnsi="Arial"/>
          <w:sz w:val="20"/>
        </w:rPr>
        <w:t>Annexe 1</w:t>
      </w:r>
      <w:r w:rsidR="008A4A3C" w:rsidRPr="00E95593">
        <w:rPr>
          <w:rFonts w:ascii="Arial" w:hAnsi="Arial"/>
          <w:sz w:val="20"/>
        </w:rPr>
        <w:t>).</w:t>
      </w:r>
      <w:r w:rsidRPr="00E95593">
        <w:rPr>
          <w:rFonts w:ascii="Arial" w:hAnsi="Arial"/>
          <w:sz w:val="20"/>
        </w:rPr>
        <w:t xml:space="preserve"> Ce questionnaire n’est exigé que du seul Titulaire. Il prend la forme d’un formulaire informatique dont l’adresse lui sera communiquée au moment de l’attribution du marché.</w:t>
      </w:r>
    </w:p>
    <w:p w14:paraId="78C11C4B" w14:textId="77777777" w:rsidR="00E95593" w:rsidRPr="00E95593" w:rsidRDefault="00E95593" w:rsidP="00E95593">
      <w:pPr>
        <w:spacing w:before="57"/>
        <w:jc w:val="both"/>
        <w:textAlignment w:val="center"/>
        <w:rPr>
          <w:rFonts w:ascii="Arial" w:hAnsi="Arial"/>
          <w:sz w:val="20"/>
        </w:rPr>
      </w:pPr>
    </w:p>
    <w:p w14:paraId="2367718B" w14:textId="75ACD53F" w:rsidR="00E95593" w:rsidRPr="00E95593" w:rsidRDefault="00E95593" w:rsidP="00E95593">
      <w:pPr>
        <w:spacing w:before="57"/>
        <w:jc w:val="both"/>
        <w:textAlignment w:val="center"/>
        <w:rPr>
          <w:rFonts w:ascii="Arial" w:hAnsi="Arial"/>
          <w:sz w:val="20"/>
        </w:rPr>
      </w:pPr>
      <w:r w:rsidRPr="00E95593">
        <w:rPr>
          <w:rFonts w:ascii="Arial" w:hAnsi="Arial"/>
          <w:sz w:val="20"/>
        </w:rPr>
        <w:t>Dans une démarche d’amélioration et de progrès, le Titulaire s’engage à renseigner à nouveau le questionnaire en cours d’exécution du marché si le pouvoir adjudicateur lui en fait la demande. Celle-ci peut intervenir par exemple un mois avant l’échéance du marché. Le représentant de l’Acheteur compare alors la situation décrite à celle présentée initialement.</w:t>
      </w:r>
    </w:p>
    <w:p w14:paraId="00D128B7" w14:textId="1D820680" w:rsidR="004A5E17" w:rsidRDefault="004A5E17" w:rsidP="00D56568">
      <w:pPr>
        <w:pStyle w:val="Titre2"/>
        <w:ind w:left="1134"/>
      </w:pPr>
      <w:bookmarkStart w:id="15" w:name="_Toc198913389"/>
      <w:r w:rsidRPr="004A5E17">
        <w:t>Clause sociale de formation sous statut scolaire</w:t>
      </w:r>
      <w:bookmarkEnd w:id="15"/>
    </w:p>
    <w:p w14:paraId="0DAF86F9" w14:textId="77777777" w:rsidR="004A5E17" w:rsidRDefault="004A5E17" w:rsidP="004A5E17">
      <w:pPr>
        <w:pStyle w:val="Standard"/>
      </w:pPr>
    </w:p>
    <w:p w14:paraId="1DDA3FED" w14:textId="77777777" w:rsidR="004A5E17" w:rsidRPr="00E06907" w:rsidRDefault="004A5E17" w:rsidP="004A5E17">
      <w:pPr>
        <w:jc w:val="both"/>
        <w:rPr>
          <w:rFonts w:ascii="Arial" w:eastAsia="Arial" w:hAnsi="Arial" w:cs="Arial"/>
          <w:sz w:val="22"/>
          <w:szCs w:val="22"/>
        </w:rPr>
      </w:pPr>
    </w:p>
    <w:p w14:paraId="58D321C4" w14:textId="13342CB8" w:rsidR="004A5E17" w:rsidRPr="00631E03" w:rsidRDefault="004A5E17" w:rsidP="004A5E17">
      <w:pPr>
        <w:jc w:val="both"/>
        <w:rPr>
          <w:rFonts w:ascii="Arial" w:eastAsia="Arial" w:hAnsi="Arial" w:cs="Arial"/>
          <w:sz w:val="20"/>
          <w:szCs w:val="20"/>
        </w:rPr>
      </w:pPr>
      <w:r w:rsidRPr="00631E03">
        <w:rPr>
          <w:rFonts w:ascii="Arial" w:eastAsia="Arial" w:hAnsi="Arial" w:cs="Arial"/>
          <w:sz w:val="20"/>
          <w:szCs w:val="20"/>
        </w:rPr>
        <w:t xml:space="preserve">Afin de promouvoir la diversité et combattre l’exclusion, les Archives nationales souhaitent mobiliser les entreprises dans le cadre de sa politique d’achats responsables. </w:t>
      </w:r>
    </w:p>
    <w:p w14:paraId="36C33EA9" w14:textId="77777777" w:rsidR="004A5E17" w:rsidRPr="00631E03" w:rsidRDefault="004A5E17" w:rsidP="004A5E17">
      <w:pPr>
        <w:jc w:val="both"/>
        <w:rPr>
          <w:rFonts w:ascii="Arial" w:eastAsia="Arial" w:hAnsi="Arial" w:cs="Arial"/>
          <w:sz w:val="20"/>
          <w:szCs w:val="20"/>
        </w:rPr>
      </w:pPr>
    </w:p>
    <w:p w14:paraId="7B47A6CB" w14:textId="77777777" w:rsidR="004A5E17" w:rsidRPr="00631E03" w:rsidRDefault="004A5E17" w:rsidP="004A5E17">
      <w:pPr>
        <w:jc w:val="both"/>
        <w:rPr>
          <w:rFonts w:ascii="Arial" w:eastAsia="Arial" w:hAnsi="Arial" w:cs="Arial"/>
          <w:sz w:val="22"/>
          <w:szCs w:val="22"/>
        </w:rPr>
      </w:pPr>
      <w:r w:rsidRPr="00631E03">
        <w:rPr>
          <w:rFonts w:ascii="Arial" w:eastAsia="Arial" w:hAnsi="Arial" w:cs="Arial"/>
          <w:sz w:val="20"/>
          <w:szCs w:val="20"/>
        </w:rPr>
        <w:t xml:space="preserve">En application de l’article L.2112-2 du code de la commande publique, les candidats doivent obligatoirement proposer une action permettant la formation d’un ou plusieurs élèves à besoins spécifiques, de 16 à 25 ans, </w:t>
      </w:r>
      <w:r w:rsidRPr="00631E03">
        <w:rPr>
          <w:rFonts w:ascii="Arial" w:eastAsia="Arial" w:hAnsi="Arial" w:cs="Arial"/>
          <w:sz w:val="20"/>
          <w:szCs w:val="20"/>
        </w:rPr>
        <w:lastRenderedPageBreak/>
        <w:t xml:space="preserve">suivi par un référent du ministère de l’Education nationale (enseignant, CPE, référent décrochage scolaire, intervenant SRE, coordonnateur de dispositifs relais ou d’Unité Localisée pour l’Inclusion Scolaire). </w:t>
      </w:r>
    </w:p>
    <w:p w14:paraId="06D6ABF1" w14:textId="77777777" w:rsidR="004A5E17" w:rsidRPr="00631E03" w:rsidRDefault="004A5E17" w:rsidP="004A5E17">
      <w:pPr>
        <w:jc w:val="both"/>
        <w:rPr>
          <w:rFonts w:ascii="Arial" w:eastAsia="Arial" w:hAnsi="Arial" w:cs="Arial"/>
          <w:sz w:val="20"/>
          <w:szCs w:val="20"/>
        </w:rPr>
      </w:pPr>
    </w:p>
    <w:p w14:paraId="748EE921" w14:textId="77777777" w:rsidR="004A5E17" w:rsidRPr="00631E03" w:rsidRDefault="004A5E17" w:rsidP="004A5E17">
      <w:pPr>
        <w:jc w:val="both"/>
        <w:rPr>
          <w:rFonts w:ascii="Arial" w:eastAsia="Arial" w:hAnsi="Arial" w:cs="Arial"/>
          <w:sz w:val="20"/>
          <w:szCs w:val="20"/>
        </w:rPr>
      </w:pPr>
      <w:r w:rsidRPr="00631E03">
        <w:rPr>
          <w:rFonts w:ascii="Arial" w:eastAsia="Arial" w:hAnsi="Arial" w:cs="Arial"/>
          <w:sz w:val="20"/>
          <w:szCs w:val="20"/>
        </w:rPr>
        <w:t xml:space="preserve">Dans le cahier des charges, cette exigence se présente sous la forme d’un volume horaire minimum et constitue une condition d’exécution du présent marché. </w:t>
      </w:r>
    </w:p>
    <w:p w14:paraId="29929A1D" w14:textId="005D842D" w:rsidR="004A5E17" w:rsidRPr="00631E03" w:rsidRDefault="004A5E17" w:rsidP="004A5E17">
      <w:pPr>
        <w:jc w:val="both"/>
        <w:rPr>
          <w:rFonts w:ascii="Arial" w:eastAsia="Arial" w:hAnsi="Arial" w:cs="Arial"/>
          <w:sz w:val="20"/>
          <w:szCs w:val="20"/>
        </w:rPr>
      </w:pPr>
      <w:r w:rsidRPr="00631E03">
        <w:rPr>
          <w:rFonts w:ascii="Arial" w:eastAsia="Arial" w:hAnsi="Arial" w:cs="Arial"/>
          <w:sz w:val="20"/>
          <w:szCs w:val="20"/>
        </w:rPr>
        <w:t>Le volume horaire minimum est à réaliser pendant la période ferme du march</w:t>
      </w:r>
      <w:r w:rsidR="00631E03">
        <w:rPr>
          <w:rFonts w:ascii="Arial" w:eastAsia="Arial" w:hAnsi="Arial" w:cs="Arial"/>
          <w:sz w:val="20"/>
          <w:szCs w:val="20"/>
        </w:rPr>
        <w:t>é</w:t>
      </w:r>
      <w:r w:rsidRPr="00631E03">
        <w:rPr>
          <w:rFonts w:ascii="Arial" w:eastAsia="Arial" w:hAnsi="Arial" w:cs="Arial"/>
          <w:sz w:val="20"/>
          <w:szCs w:val="20"/>
        </w:rPr>
        <w:t xml:space="preserve">. Néanmoins, les candidats peuvent dépasser ce volume horaire s’ils le souhaitent. </w:t>
      </w:r>
    </w:p>
    <w:p w14:paraId="782F1F93" w14:textId="77777777" w:rsidR="004A5E17" w:rsidRPr="00631E03" w:rsidRDefault="004A5E17" w:rsidP="004A5E17">
      <w:pPr>
        <w:jc w:val="both"/>
        <w:rPr>
          <w:rFonts w:ascii="Arial" w:eastAsia="Arial" w:hAnsi="Arial" w:cs="Arial"/>
          <w:sz w:val="20"/>
          <w:szCs w:val="20"/>
        </w:rPr>
      </w:pPr>
    </w:p>
    <w:p w14:paraId="42DB50D3" w14:textId="1B869423" w:rsidR="004A5E17" w:rsidRPr="00631E03" w:rsidRDefault="004A5E17" w:rsidP="004A5E17">
      <w:pPr>
        <w:jc w:val="both"/>
        <w:rPr>
          <w:rFonts w:ascii="Arial" w:eastAsia="Arial" w:hAnsi="Arial" w:cs="Arial"/>
          <w:sz w:val="20"/>
          <w:szCs w:val="20"/>
        </w:rPr>
      </w:pPr>
      <w:r w:rsidRPr="00631E03">
        <w:rPr>
          <w:rFonts w:ascii="Arial" w:eastAsia="Arial" w:hAnsi="Arial" w:cs="Arial"/>
          <w:sz w:val="20"/>
          <w:szCs w:val="20"/>
        </w:rPr>
        <w:t>L’offre déposée par les candidats doit obligatoirement contenir la « Fiche entreprise » annexée au règlement de la consultation (Cf. annexe 1), complétée précisément et de manière adaptée au public concerné.</w:t>
      </w:r>
    </w:p>
    <w:p w14:paraId="72B88365" w14:textId="77777777" w:rsidR="004A5E17" w:rsidRPr="00631E03" w:rsidRDefault="004A5E17" w:rsidP="004A5E17">
      <w:pPr>
        <w:jc w:val="both"/>
        <w:rPr>
          <w:rFonts w:ascii="Arial" w:eastAsia="Arial" w:hAnsi="Arial" w:cs="Arial"/>
          <w:sz w:val="20"/>
          <w:szCs w:val="20"/>
        </w:rPr>
      </w:pPr>
    </w:p>
    <w:p w14:paraId="2B95A43E" w14:textId="77777777" w:rsidR="004A5E17" w:rsidRPr="00631E03" w:rsidRDefault="004A5E17" w:rsidP="004A5E17">
      <w:pPr>
        <w:jc w:val="both"/>
        <w:rPr>
          <w:rFonts w:ascii="Arial" w:eastAsia="Arial" w:hAnsi="Arial" w:cs="Arial"/>
          <w:b/>
          <w:sz w:val="20"/>
          <w:szCs w:val="20"/>
        </w:rPr>
      </w:pPr>
      <w:r w:rsidRPr="00631E03">
        <w:rPr>
          <w:rFonts w:ascii="Arial" w:eastAsia="Arial" w:hAnsi="Arial" w:cs="Arial"/>
          <w:b/>
          <w:sz w:val="20"/>
          <w:szCs w:val="20"/>
        </w:rPr>
        <w:t xml:space="preserve">Une offre qui ne présente pas une action de formation sous statut scolaire, selon les formes requises (« Fiche entreprise » remplie), est irrégulière. </w:t>
      </w:r>
    </w:p>
    <w:p w14:paraId="26CA9D64" w14:textId="77777777" w:rsidR="004A5E17" w:rsidRPr="00631E03" w:rsidRDefault="004A5E17" w:rsidP="004A5E17">
      <w:pPr>
        <w:jc w:val="both"/>
        <w:rPr>
          <w:rFonts w:ascii="Arial" w:eastAsia="Arial" w:hAnsi="Arial" w:cs="Arial"/>
          <w:sz w:val="20"/>
          <w:szCs w:val="20"/>
        </w:rPr>
      </w:pPr>
    </w:p>
    <w:p w14:paraId="4604C804" w14:textId="001134DB" w:rsidR="004A5E17" w:rsidRPr="00631E03" w:rsidRDefault="004A5E17" w:rsidP="004A5E17">
      <w:pPr>
        <w:jc w:val="both"/>
        <w:rPr>
          <w:rFonts w:ascii="Arial" w:eastAsia="Arial" w:hAnsi="Arial" w:cs="Arial"/>
          <w:sz w:val="20"/>
          <w:szCs w:val="20"/>
        </w:rPr>
      </w:pPr>
      <w:r w:rsidRPr="00631E03">
        <w:rPr>
          <w:rFonts w:ascii="Arial" w:eastAsia="Arial" w:hAnsi="Arial" w:cs="Arial"/>
          <w:sz w:val="20"/>
          <w:szCs w:val="20"/>
        </w:rPr>
        <w:t xml:space="preserve">Pour plus d’informations sur la clause sociale, il convient de se reporter à l’annexe 2 du présent règlement de la consultation. </w:t>
      </w:r>
    </w:p>
    <w:p w14:paraId="407A0E41" w14:textId="77777777" w:rsidR="004A5E17" w:rsidRPr="00631E03" w:rsidRDefault="004A5E17" w:rsidP="004A5E17">
      <w:pPr>
        <w:jc w:val="both"/>
        <w:rPr>
          <w:rFonts w:ascii="Arial" w:eastAsia="Arial" w:hAnsi="Arial" w:cs="Arial"/>
          <w:sz w:val="20"/>
          <w:szCs w:val="20"/>
        </w:rPr>
      </w:pPr>
    </w:p>
    <w:p w14:paraId="7A8D61DF" w14:textId="5118675B" w:rsidR="004A5E17" w:rsidRPr="00631E03" w:rsidRDefault="004A5E17" w:rsidP="004A5E17">
      <w:pPr>
        <w:jc w:val="both"/>
        <w:rPr>
          <w:rFonts w:ascii="Arial" w:eastAsia="Times New Roman" w:hAnsi="Arial" w:cs="Arial"/>
          <w:iCs/>
          <w:sz w:val="20"/>
          <w:szCs w:val="20"/>
          <w:lang w:eastAsia="fr-FR"/>
        </w:rPr>
      </w:pPr>
      <w:r w:rsidRPr="00631E03">
        <w:rPr>
          <w:rFonts w:ascii="Arial" w:eastAsia="Arial" w:hAnsi="Arial" w:cs="Arial"/>
          <w:sz w:val="20"/>
          <w:szCs w:val="20"/>
        </w:rPr>
        <w:t xml:space="preserve">A titre supplémentaire, s’ils le souhaitent, les candidats peuvent proposer d’autres projets permettant d’enrichir leur offre sociale. </w:t>
      </w:r>
    </w:p>
    <w:p w14:paraId="2A62D9D8" w14:textId="6F072988" w:rsidR="00D56568" w:rsidRDefault="00D56568" w:rsidP="00D56568">
      <w:pPr>
        <w:pStyle w:val="Titre2"/>
        <w:ind w:left="1134"/>
      </w:pPr>
      <w:bookmarkStart w:id="16" w:name="_Toc198913390"/>
      <w:r>
        <w:t>Clause</w:t>
      </w:r>
      <w:r w:rsidRPr="00D56568">
        <w:t xml:space="preserve"> impact carbone – BEGES</w:t>
      </w:r>
      <w:bookmarkEnd w:id="16"/>
    </w:p>
    <w:p w14:paraId="576B5B1B" w14:textId="77777777" w:rsidR="00D56568" w:rsidRDefault="00D56568" w:rsidP="00D56568">
      <w:pPr>
        <w:pStyle w:val="Standard"/>
      </w:pPr>
    </w:p>
    <w:p w14:paraId="0F12ED2B" w14:textId="45B5AD12" w:rsidR="00D56568" w:rsidRDefault="00D56568" w:rsidP="00D56568">
      <w:pPr>
        <w:pStyle w:val="Standard"/>
      </w:pPr>
      <w:r>
        <w:t xml:space="preserve">En application de l’article L 229-25 du code de l’environnement, le titulaire s’engage à fournir aux Archives nationales le bilan carbone engendré par les prestations réalisées dans le cadre du marché objet de la consultation. </w:t>
      </w:r>
    </w:p>
    <w:p w14:paraId="64213926" w14:textId="77777777" w:rsidR="00D56568" w:rsidRDefault="00D56568" w:rsidP="00D56568">
      <w:pPr>
        <w:pStyle w:val="Standard"/>
      </w:pPr>
    </w:p>
    <w:p w14:paraId="699A5F4A" w14:textId="77777777" w:rsidR="00D56568" w:rsidRDefault="00D56568" w:rsidP="00D56568">
      <w:pPr>
        <w:pStyle w:val="Standard"/>
      </w:pPr>
      <w:r>
        <w:t xml:space="preserve">La réalisation d’un bilan d'émissions de gaz à effet de serre (BEGES) a pour but d’évaluer la quantité de gaz à effet de serre dans l’atmosphère issue des activités des entreprises et de les réduire. </w:t>
      </w:r>
    </w:p>
    <w:p w14:paraId="624676B8" w14:textId="6F3B8841" w:rsidR="00D56568" w:rsidRDefault="00D56568" w:rsidP="00D56568">
      <w:pPr>
        <w:pStyle w:val="Standard"/>
      </w:pPr>
      <w:r>
        <w:t xml:space="preserve">Pour accompagner les entreprises dans cette démarche, plusieurs ressources sont mises à disposition. Le ministère de l’économie accompagne les personnes morales et recense des ressources sur les bilans de gaz à effet de serre, propose des ressources réglementaires et méthodologiques permettant aux entreprises d’évaluer </w:t>
      </w:r>
      <w:r w:rsidR="004A5E17">
        <w:t>leur empreinte carbone</w:t>
      </w:r>
      <w:r>
        <w:t xml:space="preserve"> et le cas échéant des pistes pour la réduire :   </w:t>
      </w:r>
      <w:hyperlink r:id="rId9" w:history="1">
        <w:r>
          <w:rPr>
            <w:rStyle w:val="Lienhypertexte"/>
          </w:rPr>
          <w:t>https://www.economie.gouv.fr/cedef/bilan-carbone-entreprise</w:t>
        </w:r>
      </w:hyperlink>
    </w:p>
    <w:p w14:paraId="44454CB5" w14:textId="77777777" w:rsidR="00D56568" w:rsidRDefault="00D56568" w:rsidP="00D56568">
      <w:pPr>
        <w:pStyle w:val="Standard"/>
      </w:pPr>
    </w:p>
    <w:p w14:paraId="319C89C1" w14:textId="77777777" w:rsidR="00D56568" w:rsidRDefault="00D56568" w:rsidP="00D56568">
      <w:pPr>
        <w:pStyle w:val="Standard"/>
      </w:pPr>
      <w:r>
        <w:t xml:space="preserve">Les informations relatives aux procédures et en particulier les méthodes éditées par le ministère de la transition écologique et les guides sectoriels réalisés avec </w:t>
      </w:r>
      <w:proofErr w:type="spellStart"/>
      <w:r>
        <w:t>l'Ademe</w:t>
      </w:r>
      <w:proofErr w:type="spellEnd"/>
      <w:r>
        <w:t xml:space="preserve"> : </w:t>
      </w:r>
      <w:hyperlink r:id="rId10" w:history="1">
        <w:r>
          <w:rPr>
            <w:rStyle w:val="Lienhypertexte"/>
          </w:rPr>
          <w:t>https://bilans-ges.ademe.fr/ressources/etapes-dun-bilan-ges</w:t>
        </w:r>
      </w:hyperlink>
    </w:p>
    <w:p w14:paraId="157D9D94" w14:textId="77777777" w:rsidR="00D56568" w:rsidRPr="00D56568" w:rsidRDefault="00D56568" w:rsidP="00D56568">
      <w:pPr>
        <w:pStyle w:val="Standard"/>
      </w:pPr>
    </w:p>
    <w:p w14:paraId="0B901B22" w14:textId="627129F0" w:rsidR="00D56568" w:rsidRDefault="00D56568" w:rsidP="00D56568">
      <w:pPr>
        <w:pStyle w:val="Titre2"/>
        <w:ind w:left="1134"/>
      </w:pPr>
      <w:bookmarkStart w:id="17" w:name="_Toc198913391"/>
      <w:r>
        <w:t>Clause gestion des déchets</w:t>
      </w:r>
      <w:bookmarkEnd w:id="17"/>
      <w:r>
        <w:t xml:space="preserve"> </w:t>
      </w:r>
    </w:p>
    <w:p w14:paraId="7A074691" w14:textId="77777777" w:rsidR="00D56568" w:rsidRDefault="00D56568" w:rsidP="00D56568">
      <w:pPr>
        <w:pStyle w:val="Standard"/>
      </w:pPr>
    </w:p>
    <w:p w14:paraId="19669F70" w14:textId="77777777" w:rsidR="00D56568" w:rsidRDefault="00D56568" w:rsidP="00D56568">
      <w:pPr>
        <w:pStyle w:val="Standard"/>
      </w:pPr>
      <w:r>
        <w:t>Les déchets de chantier sont gérés conformément aux dispositions de l'article 36 CCAG-Travaux.</w:t>
      </w:r>
    </w:p>
    <w:p w14:paraId="10FF59FE" w14:textId="77777777" w:rsidR="00D56568" w:rsidRDefault="00D56568" w:rsidP="00D56568">
      <w:pPr>
        <w:pStyle w:val="Standard"/>
      </w:pPr>
      <w:r>
        <w:t>Aux fins de contrôle et de suivi, le titulaire assure la traçabilité des déchets. Les sujétions de dépose, de tri et d'élimination des produits de démolition, de démontage et de traitement des déchets sont précisés dans les documents techniques du marché.</w:t>
      </w:r>
    </w:p>
    <w:p w14:paraId="2F2C11A2" w14:textId="77777777" w:rsidR="00D56568" w:rsidRPr="00C32BF0" w:rsidRDefault="00D56568" w:rsidP="00D56568">
      <w:pPr>
        <w:pStyle w:val="Standard"/>
      </w:pPr>
      <w:r>
        <w:t>En cas de manquement du titulaire à ses obligations, les déchets non enlevés peuvent être transportés d'office, à ses frais.</w:t>
      </w:r>
    </w:p>
    <w:p w14:paraId="0E157791" w14:textId="73C14FBA" w:rsidR="00813D3E" w:rsidRDefault="001C3459" w:rsidP="008A4A3C">
      <w:pPr>
        <w:pStyle w:val="Titre2"/>
        <w:ind w:left="1134"/>
      </w:pPr>
      <w:bookmarkStart w:id="18" w:name="_Toc198913392"/>
      <w:r>
        <w:t>Traitement de données à caractère personnel</w:t>
      </w:r>
      <w:bookmarkEnd w:id="18"/>
    </w:p>
    <w:p w14:paraId="68989F7C" w14:textId="77777777" w:rsidR="00813D3E" w:rsidRDefault="00813D3E" w:rsidP="008A4A3C">
      <w:pPr>
        <w:pStyle w:val="Standard"/>
      </w:pPr>
    </w:p>
    <w:p w14:paraId="6D290376" w14:textId="77777777" w:rsidR="00631E03" w:rsidRPr="00631E03" w:rsidRDefault="00631E03" w:rsidP="00631E03">
      <w:pPr>
        <w:pStyle w:val="Standard"/>
        <w:rPr>
          <w:lang/>
        </w:rPr>
      </w:pPr>
      <w:r w:rsidRPr="00631E03">
        <w:rPr>
          <w:lang/>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w:t>
      </w:r>
      <w:r w:rsidRPr="00631E03">
        <w:rPr>
          <w:lang/>
        </w:rPr>
        <w:lastRenderedPageBreak/>
        <w:t>présente procédure de passation et dans le cadre de l'exécution du présent marché public sont susceptibles de faire l'objet de traitements.</w:t>
      </w:r>
    </w:p>
    <w:p w14:paraId="5976A998" w14:textId="77777777" w:rsidR="00631E03" w:rsidRPr="00631E03" w:rsidRDefault="00631E03" w:rsidP="00631E03">
      <w:pPr>
        <w:pStyle w:val="Standard"/>
        <w:rPr>
          <w:lang/>
        </w:rPr>
      </w:pPr>
      <w:r w:rsidRPr="00631E03">
        <w:rPr>
          <w:lang/>
        </w:rPr>
        <w:br/>
      </w:r>
      <w:r w:rsidRPr="00631E03">
        <w:rPr>
          <w:b/>
          <w:lang/>
        </w:rPr>
        <w:t>Identité et coordonnées du responsable de traitement et de son représentant :</w:t>
      </w:r>
    </w:p>
    <w:p w14:paraId="3855236E" w14:textId="77777777" w:rsidR="00631E03" w:rsidRPr="00631E03" w:rsidRDefault="00631E03" w:rsidP="00631E03">
      <w:pPr>
        <w:pStyle w:val="Standard"/>
        <w:rPr>
          <w:lang/>
        </w:rPr>
      </w:pPr>
      <w:r w:rsidRPr="00631E03">
        <w:rPr>
          <w:lang/>
        </w:rPr>
        <w:br/>
        <w:t>Ministère de la culture</w:t>
      </w:r>
    </w:p>
    <w:p w14:paraId="353D0C6D" w14:textId="77777777" w:rsidR="00631E03" w:rsidRPr="00631E03" w:rsidRDefault="00631E03" w:rsidP="00631E03">
      <w:pPr>
        <w:pStyle w:val="Standard"/>
        <w:rPr>
          <w:lang/>
        </w:rPr>
      </w:pPr>
      <w:r w:rsidRPr="00631E03">
        <w:rPr>
          <w:lang/>
        </w:rPr>
        <w:t>182, rue Saint Honoré</w:t>
      </w:r>
    </w:p>
    <w:p w14:paraId="021286CC" w14:textId="77777777" w:rsidR="00631E03" w:rsidRPr="00631E03" w:rsidRDefault="00631E03" w:rsidP="00631E03">
      <w:pPr>
        <w:pStyle w:val="Standard"/>
        <w:rPr>
          <w:lang/>
        </w:rPr>
      </w:pPr>
      <w:r w:rsidRPr="00631E03">
        <w:rPr>
          <w:lang/>
        </w:rPr>
        <w:t>75033 Paris cedex 01</w:t>
      </w:r>
    </w:p>
    <w:p w14:paraId="1BC9E161" w14:textId="77777777" w:rsidR="00631E03" w:rsidRPr="00631E03" w:rsidRDefault="00631E03" w:rsidP="00631E03">
      <w:pPr>
        <w:pStyle w:val="Standard"/>
        <w:rPr>
          <w:lang/>
        </w:rPr>
      </w:pPr>
      <w:r w:rsidRPr="00631E03">
        <w:rPr>
          <w:lang/>
        </w:rPr>
        <w:t>Représenté par le secrétaire général</w:t>
      </w:r>
    </w:p>
    <w:p w14:paraId="2AD81298" w14:textId="77777777" w:rsidR="00631E03" w:rsidRPr="00631E03" w:rsidRDefault="00631E03" w:rsidP="00631E03">
      <w:pPr>
        <w:pStyle w:val="Standard"/>
        <w:rPr>
          <w:lang/>
        </w:rPr>
      </w:pPr>
      <w:r w:rsidRPr="00631E03">
        <w:rPr>
          <w:lang/>
        </w:rPr>
        <w:br/>
      </w:r>
      <w:r w:rsidRPr="00631E03">
        <w:rPr>
          <w:b/>
          <w:lang/>
        </w:rPr>
        <w:t>Responsable de Traitement Opérationnel (RTO) :</w:t>
      </w:r>
    </w:p>
    <w:p w14:paraId="3E4E1F38" w14:textId="77777777" w:rsidR="00631E03" w:rsidRPr="00631E03" w:rsidRDefault="00631E03" w:rsidP="00631E03">
      <w:pPr>
        <w:pStyle w:val="Standard"/>
        <w:rPr>
          <w:lang/>
        </w:rPr>
      </w:pPr>
      <w:r w:rsidRPr="00631E03">
        <w:rPr>
          <w:lang/>
        </w:rPr>
        <w:t>Le service à compétence nationale Archives nationales</w:t>
      </w:r>
    </w:p>
    <w:p w14:paraId="5610848E" w14:textId="77777777" w:rsidR="00631E03" w:rsidRPr="00631E03" w:rsidRDefault="00631E03" w:rsidP="00631E03">
      <w:pPr>
        <w:pStyle w:val="Standard"/>
        <w:rPr>
          <w:lang/>
        </w:rPr>
      </w:pPr>
      <w:r w:rsidRPr="00631E03">
        <w:rPr>
          <w:lang/>
        </w:rPr>
        <w:t>Représenté par son directeur</w:t>
      </w:r>
    </w:p>
    <w:p w14:paraId="52BA13ED" w14:textId="77777777" w:rsidR="00631E03" w:rsidRPr="00631E03" w:rsidRDefault="00631E03" w:rsidP="00631E03">
      <w:pPr>
        <w:pStyle w:val="Standard"/>
        <w:rPr>
          <w:lang/>
        </w:rPr>
      </w:pPr>
    </w:p>
    <w:p w14:paraId="479B4ADB" w14:textId="77777777" w:rsidR="00631E03" w:rsidRPr="00631E03" w:rsidRDefault="00631E03" w:rsidP="00631E03">
      <w:pPr>
        <w:pStyle w:val="Standard"/>
        <w:rPr>
          <w:lang/>
        </w:rPr>
      </w:pPr>
      <w:r w:rsidRPr="00631E03">
        <w:rPr>
          <w:lang/>
        </w:rPr>
        <w:t>Coordonnées du délégué à la protection des données :</w:t>
      </w:r>
    </w:p>
    <w:p w14:paraId="2B9392A5" w14:textId="77777777" w:rsidR="00631E03" w:rsidRPr="00631E03" w:rsidRDefault="00631E03" w:rsidP="00631E03">
      <w:pPr>
        <w:pStyle w:val="Standard"/>
        <w:rPr>
          <w:lang/>
        </w:rPr>
      </w:pPr>
      <w:hyperlink r:id="rId11" w:history="1">
        <w:r w:rsidRPr="00631E03">
          <w:rPr>
            <w:rStyle w:val="Lienhypertexte"/>
            <w:lang/>
          </w:rPr>
          <w:t>delegue-protection-donnees@culture.gouv.fr</w:t>
        </w:r>
      </w:hyperlink>
      <w:r w:rsidRPr="00631E03">
        <w:rPr>
          <w:lang/>
        </w:rPr>
        <w:br/>
      </w:r>
    </w:p>
    <w:p w14:paraId="576D8AAC" w14:textId="77777777" w:rsidR="00631E03" w:rsidRPr="00631E03" w:rsidRDefault="00631E03" w:rsidP="00631E03">
      <w:pPr>
        <w:pStyle w:val="Standard"/>
        <w:rPr>
          <w:lang/>
        </w:rPr>
      </w:pPr>
      <w:r w:rsidRPr="00631E03">
        <w:rPr>
          <w:lang/>
        </w:rPr>
        <w:br/>
      </w:r>
      <w:r w:rsidRPr="00631E03">
        <w:rPr>
          <w:b/>
          <w:lang/>
        </w:rPr>
        <w:t>Base juridique des traitements </w:t>
      </w:r>
      <w:r w:rsidRPr="00631E03">
        <w:rPr>
          <w:lang/>
        </w:rPr>
        <w:t>: b) et c) de l'article 6.1 du RGPD</w:t>
      </w:r>
    </w:p>
    <w:p w14:paraId="206DD44F" w14:textId="77777777" w:rsidR="00631E03" w:rsidRPr="00631E03" w:rsidRDefault="00631E03" w:rsidP="00631E03">
      <w:pPr>
        <w:pStyle w:val="Standard"/>
        <w:rPr>
          <w:lang/>
        </w:rPr>
      </w:pPr>
      <w:r w:rsidRPr="00631E03">
        <w:rPr>
          <w:lang/>
        </w:rPr>
        <w:br/>
      </w:r>
      <w:r w:rsidRPr="00631E03">
        <w:rPr>
          <w:b/>
          <w:lang/>
        </w:rPr>
        <w:t>Finalités des traitements</w:t>
      </w:r>
      <w:r w:rsidRPr="00631E03">
        <w:rPr>
          <w:lang/>
        </w:rPr>
        <w:t xml:space="preserve"> : suivi de la présente procédure de passation, attribution du marché public </w:t>
      </w:r>
      <w:proofErr w:type="gramStart"/>
      <w:r w:rsidRPr="00631E03">
        <w:rPr>
          <w:lang/>
        </w:rPr>
        <w:t>et  obligations</w:t>
      </w:r>
      <w:proofErr w:type="gramEnd"/>
      <w:r w:rsidRPr="00631E03">
        <w:rPr>
          <w:lang/>
        </w:rPr>
        <w:t xml:space="preserve"> légales en matière de durée d'utilité administrative (DUA) applicable aux marchés publics.</w:t>
      </w:r>
    </w:p>
    <w:p w14:paraId="30769CCA" w14:textId="77777777" w:rsidR="00631E03" w:rsidRPr="00631E03" w:rsidRDefault="00631E03" w:rsidP="00631E03">
      <w:pPr>
        <w:pStyle w:val="Standard"/>
        <w:rPr>
          <w:lang/>
        </w:rPr>
      </w:pPr>
      <w:r w:rsidRPr="00631E03">
        <w:rPr>
          <w:lang/>
        </w:rPr>
        <w:br/>
      </w:r>
      <w:r w:rsidRPr="00631E03">
        <w:rPr>
          <w:b/>
          <w:lang/>
        </w:rPr>
        <w:t>Destinataires ou catégorie de destinataires </w:t>
      </w:r>
      <w:r w:rsidRPr="00631E03">
        <w:rPr>
          <w:lang/>
        </w:rPr>
        <w:t>: les données à caractère personnel concernées sont destinées exclusivement aux agents de l'Acheteur en charge de la passation de la procédure de marché puis de l'exécution du présent contrat.</w:t>
      </w:r>
    </w:p>
    <w:p w14:paraId="5169ACCD" w14:textId="77777777" w:rsidR="00631E03" w:rsidRPr="00631E03" w:rsidRDefault="00631E03" w:rsidP="00631E03">
      <w:pPr>
        <w:pStyle w:val="Standard"/>
        <w:rPr>
          <w:lang/>
        </w:rPr>
      </w:pPr>
      <w:r w:rsidRPr="00631E03">
        <w:rPr>
          <w:lang/>
        </w:rPr>
        <w:br/>
      </w:r>
      <w:r w:rsidRPr="00631E03">
        <w:rPr>
          <w:b/>
          <w:lang/>
        </w:rPr>
        <w:t>Durée de conservation </w:t>
      </w:r>
      <w:r w:rsidRPr="00631E03">
        <w:rPr>
          <w:lang/>
        </w:rPr>
        <w:t>: ces données sont conservées pendant toute la durée de la procédure de passation et d'exécution du contrat ainsi que durant la DUA applicable au contrat.</w:t>
      </w:r>
    </w:p>
    <w:p w14:paraId="351AD8C3" w14:textId="77777777" w:rsidR="00631E03" w:rsidRPr="00631E03" w:rsidRDefault="00631E03" w:rsidP="00631E03">
      <w:pPr>
        <w:pStyle w:val="Standard"/>
        <w:rPr>
          <w:lang/>
        </w:rPr>
      </w:pPr>
      <w:r w:rsidRPr="00631E03">
        <w:rPr>
          <w:lang/>
        </w:rPr>
        <w:br/>
        <w:t>Conformément aux dispositions des articles 15 à 21 du RGPD, les personnes dont les données à caractère personnel sont collectées disposent notamment d'un droit d'accès, de transparence et information, de rectification et de limitation des informations qui les concernent. L'exercice des droits d'information et d'accès aux données à caractère personnel peut être effectué auprès du délégué à la protection des données.</w:t>
      </w:r>
    </w:p>
    <w:p w14:paraId="61FA721A" w14:textId="21793462" w:rsidR="00631E03" w:rsidRPr="00631E03" w:rsidRDefault="00631E03" w:rsidP="00631E03">
      <w:pPr>
        <w:pStyle w:val="Standard"/>
        <w:rPr>
          <w:lang/>
        </w:rPr>
      </w:pPr>
      <w:r w:rsidRPr="00631E03">
        <w:rPr>
          <w:u w:val="single"/>
          <w:lang/>
        </w:rPr>
        <w:br/>
        <w:t>Pour exercer vos droits :</w:t>
      </w:r>
    </w:p>
    <w:p w14:paraId="5FF83CCD" w14:textId="77777777" w:rsidR="00631E03" w:rsidRPr="00631E03" w:rsidRDefault="00631E03" w:rsidP="00631E03">
      <w:pPr>
        <w:pStyle w:val="Standard"/>
        <w:rPr>
          <w:lang/>
        </w:rPr>
      </w:pPr>
      <w:r w:rsidRPr="00631E03">
        <w:rPr>
          <w:lang/>
        </w:rPr>
        <w:t xml:space="preserve">- par courrier électronique à l’adresse suivante : </w:t>
      </w:r>
      <w:hyperlink r:id="rId12" w:history="1">
        <w:r w:rsidRPr="00631E03">
          <w:rPr>
            <w:rStyle w:val="Lienhypertexte"/>
            <w:lang/>
          </w:rPr>
          <w:t>marches.archives-nationales@culture.gouv.fr</w:t>
        </w:r>
      </w:hyperlink>
      <w:r w:rsidRPr="00631E03">
        <w:rPr>
          <w:u w:val="single"/>
          <w:lang/>
        </w:rPr>
        <w:t xml:space="preserve"> </w:t>
      </w:r>
      <w:r w:rsidRPr="00631E03">
        <w:rPr>
          <w:lang/>
        </w:rPr>
        <w:t xml:space="preserve">ou par courrier postal à l’adresse suivante : Direction administrative et financière / service juridique – 59 rue Guynemer – 90001 </w:t>
      </w:r>
      <w:proofErr w:type="gramStart"/>
      <w:r w:rsidRPr="00631E03">
        <w:rPr>
          <w:lang/>
        </w:rPr>
        <w:t>–  93</w:t>
      </w:r>
      <w:proofErr w:type="gramEnd"/>
      <w:r w:rsidRPr="00631E03">
        <w:rPr>
          <w:lang/>
        </w:rPr>
        <w:t> 383 Pierrefitte sur Seine ou auprès du Délégué à la protection des données</w:t>
      </w:r>
    </w:p>
    <w:p w14:paraId="51417577" w14:textId="77777777" w:rsidR="00631E03" w:rsidRPr="00631E03" w:rsidRDefault="00631E03" w:rsidP="00631E03">
      <w:pPr>
        <w:pStyle w:val="Standard"/>
        <w:rPr>
          <w:lang/>
        </w:rPr>
      </w:pPr>
      <w:r w:rsidRPr="00631E03">
        <w:rPr>
          <w:lang/>
        </w:rPr>
        <w:t xml:space="preserve">- par courrier électronique à l’adresse suivante : </w:t>
      </w:r>
      <w:r w:rsidRPr="00631E03">
        <w:rPr>
          <w:u w:val="single"/>
          <w:lang/>
        </w:rPr>
        <w:t>delegue-protection-donnees@culture.gouv.fr</w:t>
      </w:r>
      <w:r w:rsidRPr="00631E03">
        <w:rPr>
          <w:lang/>
        </w:rPr>
        <w:t xml:space="preserve"> ou par courrier postal à l’adresse suivante : Monsieur le Délégué à la protection des données </w:t>
      </w:r>
      <w:proofErr w:type="gramStart"/>
      <w:r w:rsidRPr="00631E03">
        <w:rPr>
          <w:lang/>
        </w:rPr>
        <w:t>–  182</w:t>
      </w:r>
      <w:proofErr w:type="gramEnd"/>
      <w:r w:rsidRPr="00631E03">
        <w:rPr>
          <w:lang/>
        </w:rPr>
        <w:t>, rue Saint-Honoré – 75033 Paris cedex 01, en justifiant de votre identité par tout moyen.</w:t>
      </w:r>
    </w:p>
    <w:p w14:paraId="57442CC6" w14:textId="77777777" w:rsidR="00631E03" w:rsidRPr="00631E03" w:rsidRDefault="00631E03" w:rsidP="00631E03">
      <w:pPr>
        <w:pStyle w:val="Standard"/>
        <w:rPr>
          <w:lang/>
        </w:rPr>
      </w:pPr>
    </w:p>
    <w:p w14:paraId="6D7679E6" w14:textId="77777777" w:rsidR="00631E03" w:rsidRPr="00631E03" w:rsidRDefault="00631E03" w:rsidP="00631E03">
      <w:pPr>
        <w:pStyle w:val="Standard"/>
        <w:rPr>
          <w:lang/>
        </w:rPr>
      </w:pPr>
      <w:r w:rsidRPr="00631E03">
        <w:rPr>
          <w:lang/>
        </w:rPr>
        <w:t>Si vous estimez, après nous avoir contactés, que vos droits relatifs à la réglementation sur la protection des données ne sont pas respectés, vous avez le droit d’introduire une réclamation auprès de la Commission Nationale de l’Informatique et des Libertés (CNIL), autorité de contrôle en charge du respect des obligations en matière de données à caractère personnel.</w:t>
      </w:r>
    </w:p>
    <w:p w14:paraId="1BADE923" w14:textId="77777777" w:rsidR="00631E03" w:rsidRDefault="00631E03" w:rsidP="008A4A3C">
      <w:pPr>
        <w:pStyle w:val="Standard"/>
      </w:pPr>
    </w:p>
    <w:p w14:paraId="33CBABEC" w14:textId="1F271683" w:rsidR="00813D3E" w:rsidRDefault="001C3459" w:rsidP="008A4A3C">
      <w:pPr>
        <w:pStyle w:val="Titre2"/>
        <w:ind w:left="1134"/>
      </w:pPr>
      <w:bookmarkStart w:id="19" w:name="_Toc198913393"/>
      <w:r>
        <w:t>Protection du secret des affaires</w:t>
      </w:r>
      <w:bookmarkEnd w:id="19"/>
    </w:p>
    <w:p w14:paraId="278F5B98" w14:textId="77777777" w:rsidR="00813D3E" w:rsidRDefault="00813D3E" w:rsidP="008A4A3C">
      <w:pPr>
        <w:pStyle w:val="Standard"/>
      </w:pPr>
    </w:p>
    <w:p w14:paraId="41B9AE69" w14:textId="77777777" w:rsidR="00813D3E" w:rsidRDefault="001C3459" w:rsidP="008A4A3C">
      <w:pPr>
        <w:pStyle w:val="Standard"/>
      </w:pPr>
      <w:r>
        <w:t xml:space="preserve">Le titulaire met en œuvre les moyens appropriés afin de garder confidentiels les informations, les documents </w:t>
      </w:r>
      <w:r>
        <w:lastRenderedPageBreak/>
        <w:t>et les objets auxquels il a accès lors de l'exécution du marché, sans qu’il soit besoin d’en expliciter systématiquement le caractère confidentiel.</w:t>
      </w:r>
    </w:p>
    <w:p w14:paraId="0B64C3F8" w14:textId="77777777" w:rsidR="00813D3E" w:rsidRDefault="001C3459" w:rsidP="008A4A3C">
      <w:pPr>
        <w:pStyle w:val="Standard"/>
      </w:pPr>
      <w:r>
        <w:t>Ces informations, documents ou objets ne peuvent être, sans autorisation expresse de l’acheteur, divulgués, publiés, communiqués à des tiers ou être utilisés directement par le titulaire, hors du marché ou à l'issue de son exécution.</w:t>
      </w:r>
    </w:p>
    <w:p w14:paraId="33BEC20F" w14:textId="77777777" w:rsidR="00813D3E" w:rsidRDefault="001C3459" w:rsidP="008A4A3C">
      <w:pPr>
        <w:pStyle w:val="Standard"/>
      </w:pPr>
      <w:r>
        <w:t>Le titulaire s’engage à faire respecter ces obligations à l’ensemble de son personnel, le cas échéant à ses sous-traitants et fournisseurs.</w:t>
      </w:r>
    </w:p>
    <w:p w14:paraId="38277F6F" w14:textId="77777777" w:rsidR="00813D3E" w:rsidRDefault="001C3459" w:rsidP="008A4A3C">
      <w:pPr>
        <w:pStyle w:val="Standard"/>
      </w:pPr>
      <w:r>
        <w:t>L’acheteur peut demander, à tout moment, au titulaire, de lui retourner les éléments ou supports d’informations confidentielles qui lui auraient été fournis, sans en conserver aucune copie ou trace.</w:t>
      </w:r>
    </w:p>
    <w:p w14:paraId="5E5091D3" w14:textId="77777777" w:rsidR="00813D3E" w:rsidRDefault="001C3459" w:rsidP="008A4A3C">
      <w:pPr>
        <w:pStyle w:val="Standard"/>
      </w:pPr>
      <w:r>
        <w:t>La violation de l’obligation de confidentialité par le titulaire peut entraîner la résiliation du marché aux torts du titulaire.</w:t>
      </w:r>
    </w:p>
    <w:p w14:paraId="53F736F3" w14:textId="77777777" w:rsidR="00813D3E" w:rsidRDefault="00813D3E" w:rsidP="008A4A3C">
      <w:pPr>
        <w:pStyle w:val="Standard"/>
      </w:pPr>
    </w:p>
    <w:p w14:paraId="4E03E650" w14:textId="77777777" w:rsidR="00813D3E" w:rsidRDefault="001C3459" w:rsidP="008A4A3C">
      <w:pPr>
        <w:pStyle w:val="Standard"/>
      </w:pPr>
      <w:r>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14:paraId="06A76355" w14:textId="77777777" w:rsidR="00813D3E" w:rsidRDefault="00813D3E" w:rsidP="008A4A3C">
      <w:pPr>
        <w:pStyle w:val="Standard"/>
      </w:pPr>
    </w:p>
    <w:p w14:paraId="5E9A664E" w14:textId="77777777" w:rsidR="00813D3E" w:rsidRDefault="001C3459" w:rsidP="008A4A3C">
      <w:pPr>
        <w:pStyle w:val="Standard"/>
      </w:pPr>
      <w:r>
        <w:t>L'acheteur s'engage, le cas échéant, à obtenir de ce tiers toutes les assurances nécessaires quant à la mise en œuvre par ce dernier et ses éventuels sous-traitants de mesures effectives de protection des informations couvertes par le secret des affaires.</w:t>
      </w:r>
    </w:p>
    <w:p w14:paraId="6453A18A" w14:textId="77777777" w:rsidR="00813D3E" w:rsidRDefault="001C3459" w:rsidP="008A4A3C">
      <w:pPr>
        <w:pStyle w:val="Standard"/>
      </w:pPr>
      <w:r>
        <w:t>L'acheteur informe le titulaire par écrit 15 jours avant de divulguer de telles informations, en précisant le motif, la durée ainsi que les informations et documents concernés.</w:t>
      </w:r>
    </w:p>
    <w:p w14:paraId="15C4F58B" w14:textId="77777777" w:rsidR="00813D3E" w:rsidRDefault="00813D3E" w:rsidP="008A4A3C">
      <w:pPr>
        <w:pStyle w:val="Standard"/>
      </w:pPr>
    </w:p>
    <w:p w14:paraId="400C85FA" w14:textId="563ADE9C" w:rsidR="00813D3E" w:rsidRDefault="001C3459" w:rsidP="008A4A3C">
      <w:pPr>
        <w:pStyle w:val="Titre1"/>
      </w:pPr>
      <w:bookmarkStart w:id="20" w:name="_Toc198913394"/>
      <w:r>
        <w:t>INFORMATION DES CANDIDATS</w:t>
      </w:r>
      <w:bookmarkEnd w:id="20"/>
    </w:p>
    <w:p w14:paraId="3B7C8F4D" w14:textId="42C75F1E" w:rsidR="00813D3E" w:rsidRDefault="001C3459" w:rsidP="008A4A3C">
      <w:pPr>
        <w:pStyle w:val="Titre2"/>
        <w:ind w:left="1134"/>
      </w:pPr>
      <w:bookmarkStart w:id="21" w:name="_Toc198913395"/>
      <w:r>
        <w:t>Contenu des documents de la consultation</w:t>
      </w:r>
      <w:bookmarkEnd w:id="21"/>
    </w:p>
    <w:p w14:paraId="349261C1" w14:textId="77777777" w:rsidR="00813D3E" w:rsidRDefault="00813D3E" w:rsidP="008A4A3C">
      <w:pPr>
        <w:pStyle w:val="Standard"/>
      </w:pPr>
    </w:p>
    <w:p w14:paraId="6EBCE85A" w14:textId="77777777" w:rsidR="00813D3E" w:rsidRDefault="001C3459" w:rsidP="008A4A3C">
      <w:pPr>
        <w:pStyle w:val="Standard"/>
      </w:pPr>
      <w:r>
        <w:t>Les documents de la consultation mis à disposition sont les suivants :</w:t>
      </w:r>
    </w:p>
    <w:p w14:paraId="602AAA39" w14:textId="534A3BA2" w:rsidR="00813D3E" w:rsidRDefault="001C3459" w:rsidP="00381F3A">
      <w:pPr>
        <w:pStyle w:val="Standard"/>
        <w:numPr>
          <w:ilvl w:val="0"/>
          <w:numId w:val="26"/>
        </w:numPr>
      </w:pPr>
      <w:proofErr w:type="gramStart"/>
      <w:r>
        <w:t>l’acte</w:t>
      </w:r>
      <w:proofErr w:type="gramEnd"/>
      <w:r>
        <w:t xml:space="preserve"> d’engagement pour un candidat unique ou en groupement (AE)</w:t>
      </w:r>
      <w:r w:rsidR="00911896">
        <w:t xml:space="preserve">; </w:t>
      </w:r>
    </w:p>
    <w:p w14:paraId="1980FF8C" w14:textId="2CDC43DB" w:rsidR="00631E03" w:rsidRDefault="00631E03" w:rsidP="00381F3A">
      <w:pPr>
        <w:pStyle w:val="Standard"/>
        <w:numPr>
          <w:ilvl w:val="0"/>
          <w:numId w:val="26"/>
        </w:numPr>
      </w:pPr>
      <w:r>
        <w:t>Bordereau de Prix Unitaires (BPU) ;</w:t>
      </w:r>
    </w:p>
    <w:p w14:paraId="76789240" w14:textId="7BD4B1B7" w:rsidR="00813D3E" w:rsidRDefault="001C3459" w:rsidP="00381F3A">
      <w:pPr>
        <w:pStyle w:val="Standard"/>
        <w:numPr>
          <w:ilvl w:val="0"/>
          <w:numId w:val="26"/>
        </w:numPr>
      </w:pPr>
      <w:proofErr w:type="gramStart"/>
      <w:r>
        <w:t>l</w:t>
      </w:r>
      <w:r w:rsidR="00A512F4">
        <w:t>a</w:t>
      </w:r>
      <w:proofErr w:type="gramEnd"/>
      <w:r w:rsidR="00A512F4">
        <w:t xml:space="preserve"> Décomposition Prix Global et Forfaitaire </w:t>
      </w:r>
      <w:r>
        <w:t>(</w:t>
      </w:r>
      <w:r w:rsidR="00A512F4">
        <w:t>DPGF</w:t>
      </w:r>
      <w:r>
        <w:t>)</w:t>
      </w:r>
      <w:r w:rsidR="00911896">
        <w:t xml:space="preserve"> ; </w:t>
      </w:r>
    </w:p>
    <w:p w14:paraId="0A8FA5CD" w14:textId="54EF4A58" w:rsidR="00813D3E" w:rsidRDefault="001C3459" w:rsidP="00381F3A">
      <w:pPr>
        <w:pStyle w:val="Standard"/>
        <w:numPr>
          <w:ilvl w:val="0"/>
          <w:numId w:val="26"/>
        </w:numPr>
      </w:pPr>
      <w:proofErr w:type="gramStart"/>
      <w:r>
        <w:t>le</w:t>
      </w:r>
      <w:proofErr w:type="gramEnd"/>
      <w:r>
        <w:t xml:space="preserve"> cahier des clauses administratives particulières</w:t>
      </w:r>
      <w:r w:rsidR="00A512F4">
        <w:t xml:space="preserve"> </w:t>
      </w:r>
      <w:r>
        <w:t>(CCAP) dont seul l’exemplaire conservé par le pouvoir adjudicateur fait foi ; et son annexe consignes de sécurité du site de Pierrefitte</w:t>
      </w:r>
    </w:p>
    <w:p w14:paraId="43D86963" w14:textId="115FFCBB" w:rsidR="00813D3E" w:rsidRDefault="00F10086" w:rsidP="00381F3A">
      <w:pPr>
        <w:pStyle w:val="Standard"/>
        <w:numPr>
          <w:ilvl w:val="0"/>
          <w:numId w:val="26"/>
        </w:numPr>
      </w:pPr>
      <w:proofErr w:type="gramStart"/>
      <w:r>
        <w:t>le</w:t>
      </w:r>
      <w:proofErr w:type="gramEnd"/>
      <w:r>
        <w:t xml:space="preserve"> cahier des clauses techniques particulières spécifiques </w:t>
      </w:r>
      <w:r w:rsidR="001C3459">
        <w:t xml:space="preserve">(CCTP) dont seul l’exemplaire conservé par le pouvoir adjudicateur fait foi </w:t>
      </w:r>
    </w:p>
    <w:p w14:paraId="714A9884" w14:textId="74E2EB7C" w:rsidR="00813D3E" w:rsidRDefault="001C3459" w:rsidP="00381F3A">
      <w:pPr>
        <w:pStyle w:val="Standard"/>
        <w:numPr>
          <w:ilvl w:val="0"/>
          <w:numId w:val="26"/>
        </w:numPr>
      </w:pPr>
      <w:proofErr w:type="gramStart"/>
      <w:r>
        <w:t>le</w:t>
      </w:r>
      <w:proofErr w:type="gramEnd"/>
      <w:r>
        <w:t xml:space="preserve"> présent règlement de consultation (RC)</w:t>
      </w:r>
    </w:p>
    <w:p w14:paraId="4E7F6C3F" w14:textId="3F7F0558" w:rsidR="00F10086" w:rsidRDefault="001C3459" w:rsidP="008A4A3C">
      <w:pPr>
        <w:pStyle w:val="Standard"/>
        <w:numPr>
          <w:ilvl w:val="0"/>
          <w:numId w:val="26"/>
        </w:numPr>
      </w:pPr>
      <w:proofErr w:type="gramStart"/>
      <w:r>
        <w:t>le</w:t>
      </w:r>
      <w:proofErr w:type="gramEnd"/>
      <w:r>
        <w:t xml:space="preserve"> cadre de réponse</w:t>
      </w:r>
      <w:r w:rsidR="00A512F4">
        <w:t xml:space="preserve"> </w:t>
      </w:r>
      <w:r w:rsidR="004F143E">
        <w:t xml:space="preserve">à compléter </w:t>
      </w:r>
      <w:r w:rsidR="004F143E" w:rsidRPr="004F143E">
        <w:rPr>
          <w:b/>
          <w:bCs/>
        </w:rPr>
        <w:t>OBLIGATOIREMENT</w:t>
      </w:r>
      <w:r w:rsidR="004F143E">
        <w:t xml:space="preserve"> </w:t>
      </w:r>
      <w:r w:rsidR="00911896" w:rsidRPr="00911896">
        <w:t xml:space="preserve">; </w:t>
      </w:r>
      <w:r>
        <w:t>(annexe</w:t>
      </w:r>
      <w:r w:rsidR="00911896">
        <w:t>s</w:t>
      </w:r>
      <w:r>
        <w:t xml:space="preserve"> au RC)</w:t>
      </w:r>
    </w:p>
    <w:p w14:paraId="2A04AFAC" w14:textId="010ED571" w:rsidR="0006284C" w:rsidRDefault="0006284C" w:rsidP="008A4A3C">
      <w:pPr>
        <w:pStyle w:val="Standard"/>
        <w:numPr>
          <w:ilvl w:val="0"/>
          <w:numId w:val="26"/>
        </w:numPr>
      </w:pPr>
      <w:r>
        <w:t xml:space="preserve">L’annexe relative </w:t>
      </w:r>
      <w:r w:rsidRPr="0006284C">
        <w:t>Annexe RC n°1- Clause sociale de formation (CSF) - Fiche entreprise</w:t>
      </w:r>
      <w:r>
        <w:t>.</w:t>
      </w:r>
    </w:p>
    <w:p w14:paraId="31866846" w14:textId="77777777" w:rsidR="0006284C" w:rsidRDefault="0006284C" w:rsidP="0006284C">
      <w:pPr>
        <w:pStyle w:val="Standard"/>
        <w:ind w:left="1065"/>
      </w:pPr>
    </w:p>
    <w:p w14:paraId="46A18BFB" w14:textId="77777777" w:rsidR="00813D3E" w:rsidRDefault="001C3459" w:rsidP="008A4A3C">
      <w:pPr>
        <w:pStyle w:val="Standard"/>
      </w:pPr>
      <w:r>
        <w:t>De plus, sont joints les documents administratifs suivants :</w:t>
      </w:r>
    </w:p>
    <w:p w14:paraId="3E83F26D" w14:textId="3DF7AF90" w:rsidR="00813D3E" w:rsidRDefault="001C3459" w:rsidP="00381F3A">
      <w:pPr>
        <w:pStyle w:val="Standard"/>
        <w:numPr>
          <w:ilvl w:val="0"/>
          <w:numId w:val="22"/>
        </w:numPr>
      </w:pPr>
      <w:r>
        <w:t>DC1 lettre de candidature, DC2 déclaration du candidat, DC4 déclaration de sous-traitance et leurs notices explicatives ;</w:t>
      </w:r>
    </w:p>
    <w:p w14:paraId="66F81C0F" w14:textId="7C91684E" w:rsidR="00813D3E" w:rsidRDefault="001C3459" w:rsidP="00381F3A">
      <w:pPr>
        <w:pStyle w:val="Standard"/>
        <w:numPr>
          <w:ilvl w:val="0"/>
          <w:numId w:val="22"/>
        </w:numPr>
      </w:pPr>
      <w:r>
        <w:t>Modèle d’attestation sur l’honneur.</w:t>
      </w:r>
    </w:p>
    <w:p w14:paraId="715B6A60" w14:textId="77777777" w:rsidR="008A7B2D" w:rsidRDefault="008A7B2D" w:rsidP="008A4A3C">
      <w:pPr>
        <w:pStyle w:val="Standard"/>
      </w:pPr>
    </w:p>
    <w:p w14:paraId="57594AD5" w14:textId="69A953CC" w:rsidR="00813D3E" w:rsidRDefault="001C3459" w:rsidP="008A4A3C">
      <w:pPr>
        <w:pStyle w:val="Titre2"/>
        <w:ind w:left="1134"/>
      </w:pPr>
      <w:bookmarkStart w:id="22" w:name="_Toc198913396"/>
      <w:r>
        <w:t>Principes généraux sur les échanges électroniques</w:t>
      </w:r>
      <w:bookmarkEnd w:id="22"/>
    </w:p>
    <w:p w14:paraId="1798AFFD" w14:textId="77777777" w:rsidR="00813D3E" w:rsidRDefault="00813D3E" w:rsidP="008A4A3C">
      <w:pPr>
        <w:pStyle w:val="Standard"/>
      </w:pPr>
    </w:p>
    <w:p w14:paraId="57A431E2" w14:textId="77777777" w:rsidR="00813D3E" w:rsidRDefault="001C3459" w:rsidP="008A4A3C">
      <w:pPr>
        <w:pStyle w:val="Standard"/>
      </w:pPr>
      <w:r>
        <w:t xml:space="preserve">Les documents de la consultation sont accessibles uniquement par voie électronique, sur la plate-forme des achats de l’État (PLACE) </w:t>
      </w:r>
      <w:hyperlink r:id="rId13" w:history="1">
        <w:r>
          <w:rPr>
            <w:rStyle w:val="Lienhypertexte"/>
          </w:rPr>
          <w:t>www.marches-publics.gouv.fr</w:t>
        </w:r>
      </w:hyperlink>
      <w:r>
        <w:t xml:space="preserve"> </w:t>
      </w:r>
    </w:p>
    <w:p w14:paraId="511A950D" w14:textId="77777777" w:rsidR="00813D3E" w:rsidRDefault="00813D3E" w:rsidP="008A4A3C">
      <w:pPr>
        <w:pStyle w:val="Standard"/>
      </w:pPr>
    </w:p>
    <w:p w14:paraId="03D4E76C" w14:textId="77777777" w:rsidR="00813D3E" w:rsidRDefault="001C3459" w:rsidP="008A4A3C">
      <w:pPr>
        <w:pStyle w:val="Standard"/>
      </w:pPr>
      <w:r>
        <w:t xml:space="preserve">Pour cette consultation, seuls sont autorisés les dépôts électroniques à l'adresse suivante : </w:t>
      </w:r>
      <w:hyperlink r:id="rId14" w:history="1">
        <w:r>
          <w:rPr>
            <w:rStyle w:val="Lienhypertexte"/>
          </w:rPr>
          <w:t>https://www.marches-publics.gouv.fr</w:t>
        </w:r>
      </w:hyperlink>
      <w:r>
        <w:t xml:space="preserve"> </w:t>
      </w:r>
    </w:p>
    <w:p w14:paraId="19BEC997" w14:textId="77777777" w:rsidR="00813D3E" w:rsidRDefault="00813D3E" w:rsidP="008A4A3C">
      <w:pPr>
        <w:pStyle w:val="Standard"/>
      </w:pPr>
    </w:p>
    <w:p w14:paraId="474877E7" w14:textId="77777777" w:rsidR="00813D3E" w:rsidRDefault="001C3459" w:rsidP="008A4A3C">
      <w:pPr>
        <w:pStyle w:val="Standard"/>
      </w:pPr>
      <w:r>
        <w:t>En cas d'envois de plis successifs et conformément à l’arrêt "Société TDS" du Conseil d’Etat du 20 décembre 2021, l’acheteur considèrera le dernier pli réceptionné avant la date limite de remise des plis comme pli à prendre en compte au titre de l’offre et la candidature du soumissionnaire. Néanmoins, l’acheteur accepte d’ouvrir les plis précédents transmis par le même soumissionnaire s’ils s’avèrent complémentaires du dernier pli envoyé. Chaque pli sera donc ouvert si les circonstances l’exigent, tout en respectant le principe d’égalité de traitement des candidats.</w:t>
      </w:r>
    </w:p>
    <w:p w14:paraId="422CAEC9" w14:textId="77777777" w:rsidR="00813D3E" w:rsidRDefault="00813D3E" w:rsidP="008A4A3C">
      <w:pPr>
        <w:pStyle w:val="Standard"/>
      </w:pPr>
    </w:p>
    <w:p w14:paraId="473A3501" w14:textId="77777777" w:rsidR="00813D3E" w:rsidRDefault="001C3459" w:rsidP="008A4A3C">
      <w:pPr>
        <w:pStyle w:val="Standard"/>
      </w:pPr>
      <w:r>
        <w:t>Aucun envoi papier, par télécopie ou courriel ne sera accepté.</w:t>
      </w:r>
    </w:p>
    <w:p w14:paraId="1F1034FE" w14:textId="77777777" w:rsidR="00813D3E" w:rsidRDefault="00813D3E" w:rsidP="008A4A3C">
      <w:pPr>
        <w:pStyle w:val="Standard"/>
      </w:pPr>
    </w:p>
    <w:p w14:paraId="4BCDAEA4" w14:textId="1C5044B9" w:rsidR="00813D3E" w:rsidRDefault="001C3459" w:rsidP="008A4A3C">
      <w:pPr>
        <w:pStyle w:val="Standard"/>
      </w:pPr>
      <w:r>
        <w:t xml:space="preserve">Les candidats ou les soumissionnaires trouveront sur le site www.marches-publics.gouv.fr un </w:t>
      </w:r>
      <w:r>
        <w:rPr>
          <w:rFonts w:ascii="Cambria Math" w:hAnsi="Cambria Math" w:cs="Cambria Math"/>
        </w:rPr>
        <w:t>≪</w:t>
      </w:r>
      <w:r>
        <w:t>guide utilisateur</w:t>
      </w:r>
      <w:r>
        <w:rPr>
          <w:rFonts w:ascii="Cambria Math" w:hAnsi="Cambria Math" w:cs="Cambria Math"/>
        </w:rPr>
        <w:t>≫</w:t>
      </w:r>
      <w:r>
        <w:t xml:space="preserve"> t</w:t>
      </w:r>
      <w:r>
        <w:rPr>
          <w:rFonts w:cs="Arial"/>
        </w:rPr>
        <w:t>é</w:t>
      </w:r>
      <w:r>
        <w:t>l</w:t>
      </w:r>
      <w:r>
        <w:rPr>
          <w:rFonts w:cs="Arial"/>
        </w:rPr>
        <w:t>é</w:t>
      </w:r>
      <w:r>
        <w:t>chargeable qui pr</w:t>
      </w:r>
      <w:r>
        <w:rPr>
          <w:rFonts w:cs="Arial"/>
        </w:rPr>
        <w:t>é</w:t>
      </w:r>
      <w:r>
        <w:t>cise les conditions d</w:t>
      </w:r>
      <w:r>
        <w:rPr>
          <w:rFonts w:cs="Arial"/>
        </w:rPr>
        <w:t>’</w:t>
      </w:r>
      <w:r>
        <w:t>utilisations de la plate-forme des achats de l’État, notamment les prérequis techniques et certificats électroniques.</w:t>
      </w:r>
    </w:p>
    <w:p w14:paraId="2CB1B686" w14:textId="77777777" w:rsidR="00813D3E" w:rsidRDefault="001C3459" w:rsidP="008A4A3C">
      <w:pPr>
        <w:pStyle w:val="Standard"/>
      </w:pPr>
      <w:r>
        <w:t>Les frais d’accès au réseau et de recours à la signature électronique sont à la charge de chaque candidat/soumissionnaire.</w:t>
      </w:r>
    </w:p>
    <w:p w14:paraId="38B41091" w14:textId="77777777" w:rsidR="00813D3E" w:rsidRDefault="00813D3E" w:rsidP="008A4A3C">
      <w:pPr>
        <w:pStyle w:val="Standard"/>
      </w:pPr>
    </w:p>
    <w:p w14:paraId="6EEC5501" w14:textId="77777777" w:rsidR="00813D3E" w:rsidRDefault="001C3459" w:rsidP="008A4A3C">
      <w:pPr>
        <w:pStyle w:val="Standard"/>
      </w:pPr>
      <w:r>
        <w:t xml:space="preserve">Les candidats sont invités à tester la configuration de leur poste de travail et répondre </w:t>
      </w:r>
      <w:proofErr w:type="spellStart"/>
      <w:proofErr w:type="gramStart"/>
      <w:r>
        <w:t>a</w:t>
      </w:r>
      <w:proofErr w:type="spellEnd"/>
      <w:proofErr w:type="gramEnd"/>
      <w:r>
        <w:t xml:space="preserve"> une consultation test, afin de s’assurer du bon fonctionnement de l’environnement informatique.</w:t>
      </w:r>
    </w:p>
    <w:p w14:paraId="7B85E864" w14:textId="77777777" w:rsidR="00813D3E" w:rsidRDefault="001C3459" w:rsidP="008A4A3C">
      <w:pPr>
        <w:pStyle w:val="Standard"/>
      </w:pPr>
      <w:r>
        <w:t>Ils disposent sur le site d’une aide qui expose le mode opératoire relatif au dépôt des plis électroniques.</w:t>
      </w:r>
    </w:p>
    <w:p w14:paraId="5B314D39" w14:textId="77777777" w:rsidR="00813D3E" w:rsidRDefault="001C3459" w:rsidP="008A4A3C">
      <w:pPr>
        <w:pStyle w:val="Standard"/>
      </w:pPr>
      <w:r>
        <w:t xml:space="preserve">Plusieurs documents et informations sont disponibles </w:t>
      </w:r>
      <w:proofErr w:type="spellStart"/>
      <w:proofErr w:type="gramStart"/>
      <w:r>
        <w:t>a</w:t>
      </w:r>
      <w:proofErr w:type="spellEnd"/>
      <w:proofErr w:type="gramEnd"/>
      <w:r>
        <w:t xml:space="preserve"> la rubrique </w:t>
      </w:r>
      <w:r>
        <w:rPr>
          <w:rFonts w:ascii="Cambria Math" w:hAnsi="Cambria Math" w:cs="Cambria Math"/>
        </w:rPr>
        <w:t>≪</w:t>
      </w:r>
      <w:r>
        <w:t xml:space="preserve"> aide </w:t>
      </w:r>
      <w:r>
        <w:rPr>
          <w:rFonts w:ascii="Cambria Math" w:hAnsi="Cambria Math" w:cs="Cambria Math"/>
        </w:rPr>
        <w:t>≫</w:t>
      </w:r>
      <w:r>
        <w:t xml:space="preserve"> de PLACE :</w:t>
      </w:r>
    </w:p>
    <w:p w14:paraId="0D6C5828" w14:textId="77777777" w:rsidR="00813D3E" w:rsidRDefault="001C3459" w:rsidP="008A4A3C">
      <w:pPr>
        <w:pStyle w:val="Standard"/>
      </w:pPr>
      <w:r>
        <w:t>– Manuel d’utilisation afin de faciliter le maniement de la plate-forme ;</w:t>
      </w:r>
    </w:p>
    <w:p w14:paraId="107E9ED9" w14:textId="77777777" w:rsidR="00813D3E" w:rsidRDefault="001C3459" w:rsidP="008A4A3C">
      <w:pPr>
        <w:pStyle w:val="Standard"/>
      </w:pPr>
      <w:r>
        <w:t>– Assistance téléphonique ;</w:t>
      </w:r>
    </w:p>
    <w:p w14:paraId="64A093AB" w14:textId="77777777" w:rsidR="00813D3E" w:rsidRDefault="001C3459" w:rsidP="008A4A3C">
      <w:pPr>
        <w:pStyle w:val="Standard"/>
      </w:pPr>
      <w:r>
        <w:t>– Module d'autoformation à destination des candidats ;</w:t>
      </w:r>
    </w:p>
    <w:p w14:paraId="7F4DE0BB" w14:textId="77777777" w:rsidR="00813D3E" w:rsidRDefault="001C3459" w:rsidP="008A4A3C">
      <w:pPr>
        <w:pStyle w:val="Standard"/>
      </w:pPr>
      <w:r>
        <w:t>– Foire aux questions ;</w:t>
      </w:r>
    </w:p>
    <w:p w14:paraId="69B36F6D" w14:textId="77777777" w:rsidR="00813D3E" w:rsidRDefault="001C3459" w:rsidP="008A4A3C">
      <w:pPr>
        <w:pStyle w:val="Standard"/>
      </w:pPr>
      <w:r>
        <w:t>– Outils informatiques.</w:t>
      </w:r>
    </w:p>
    <w:p w14:paraId="23C68E6D" w14:textId="77777777" w:rsidR="00813D3E" w:rsidRDefault="00813D3E" w:rsidP="008A4A3C">
      <w:pPr>
        <w:pStyle w:val="Standard"/>
      </w:pPr>
    </w:p>
    <w:p w14:paraId="1352BFAC" w14:textId="77777777" w:rsidR="00813D3E" w:rsidRDefault="001C3459" w:rsidP="008A4A3C">
      <w:pPr>
        <w:pStyle w:val="Standard"/>
      </w:pPr>
      <w: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688FD551" w14:textId="77777777" w:rsidR="00813D3E" w:rsidRDefault="001C3459" w:rsidP="008A4A3C">
      <w:pPr>
        <w:pStyle w:val="Standard"/>
      </w:pPr>
      <w:r>
        <w:t>L’absence de message de confirmation de bonne réception ou d’accusé de réception électronique signifie que la réponse n’est pas parvenue à l'acheteur.</w:t>
      </w:r>
    </w:p>
    <w:p w14:paraId="70F7683A" w14:textId="77777777" w:rsidR="00813D3E" w:rsidRDefault="001C3459" w:rsidP="008A4A3C">
      <w:pPr>
        <w:pStyle w:val="Standard"/>
      </w:pPr>
      <w:r>
        <w:t xml:space="preserve">L’opérateur économique s'assure que les messages envoyés par la Plate-forme des achats de l’État (PLACE) notamment, </w:t>
      </w:r>
      <w:hyperlink r:id="rId15" w:history="1">
        <w:r>
          <w:rPr>
            <w:rStyle w:val="Lienhypertexte"/>
          </w:rPr>
          <w:t>nepasrepondre@marches-publics.gouv.fr</w:t>
        </w:r>
      </w:hyperlink>
      <w:r>
        <w:t>, ne sont pas traités comme des courriels indésirables.</w:t>
      </w:r>
    </w:p>
    <w:p w14:paraId="5E66772C" w14:textId="77777777" w:rsidR="00813D3E" w:rsidRDefault="00813D3E" w:rsidP="008A4A3C">
      <w:pPr>
        <w:pStyle w:val="Standard"/>
      </w:pPr>
    </w:p>
    <w:p w14:paraId="1BF6C7CD" w14:textId="77777777" w:rsidR="00813D3E" w:rsidRDefault="001C3459" w:rsidP="008A4A3C">
      <w:pPr>
        <w:pStyle w:val="Standard"/>
      </w:pPr>
      <w:r>
        <w:t>Présentation des dossiers et format des fichiers</w:t>
      </w:r>
    </w:p>
    <w:p w14:paraId="655BBDC4" w14:textId="77777777" w:rsidR="00813D3E" w:rsidRDefault="00813D3E" w:rsidP="008A4A3C">
      <w:pPr>
        <w:pStyle w:val="Standard"/>
      </w:pPr>
    </w:p>
    <w:p w14:paraId="0B8BEE2F" w14:textId="77777777" w:rsidR="00813D3E" w:rsidRDefault="001C3459" w:rsidP="008A4A3C">
      <w:pPr>
        <w:pStyle w:val="Standard"/>
      </w:pPr>
      <w:r>
        <w:t>Les formats acceptés sont les suivants : .</w:t>
      </w:r>
      <w:proofErr w:type="spellStart"/>
      <w:r>
        <w:t>pdf</w:t>
      </w:r>
      <w:proofErr w:type="spellEnd"/>
      <w:r>
        <w:t>, .doc, .</w:t>
      </w:r>
      <w:proofErr w:type="spellStart"/>
      <w:r>
        <w:t>xls</w:t>
      </w:r>
      <w:proofErr w:type="spellEnd"/>
      <w:r>
        <w:t>, .</w:t>
      </w:r>
      <w:proofErr w:type="spellStart"/>
      <w:r>
        <w:t>ppt</w:t>
      </w:r>
      <w:proofErr w:type="spellEnd"/>
      <w:r>
        <w:t xml:space="preserve">,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ainsi que les formats images .jpg, .png et les documents au format .html.</w:t>
      </w:r>
    </w:p>
    <w:p w14:paraId="123D3CB8" w14:textId="77777777" w:rsidR="00813D3E" w:rsidRDefault="001C3459" w:rsidP="008A4A3C">
      <w:pPr>
        <w:pStyle w:val="Standard"/>
      </w:pPr>
      <w:r>
        <w:t>Le candidat ou le soumissionnaire ne doit pas utiliser de code actif dans sa réponse, tels que :</w:t>
      </w:r>
    </w:p>
    <w:p w14:paraId="524F28CC" w14:textId="77777777" w:rsidR="00813D3E" w:rsidRDefault="001C3459" w:rsidP="008A4A3C">
      <w:pPr>
        <w:pStyle w:val="Standard"/>
      </w:pPr>
      <w:r>
        <w:t>– Formats exécutables, notamment : .exe, .com, .</w:t>
      </w:r>
      <w:proofErr w:type="spellStart"/>
      <w:r>
        <w:t>scr</w:t>
      </w:r>
      <w:proofErr w:type="spellEnd"/>
    </w:p>
    <w:p w14:paraId="41DCFEAA" w14:textId="77777777" w:rsidR="00813D3E" w:rsidRDefault="001C3459" w:rsidP="008A4A3C">
      <w:pPr>
        <w:pStyle w:val="Standard"/>
      </w:pPr>
      <w:r>
        <w:t>– Macros ;</w:t>
      </w:r>
    </w:p>
    <w:p w14:paraId="56229074" w14:textId="77777777" w:rsidR="00813D3E" w:rsidRDefault="001C3459" w:rsidP="008A4A3C">
      <w:pPr>
        <w:pStyle w:val="Standard"/>
      </w:pPr>
      <w:r>
        <w:t>– ActiveX, Applets, scripts</w:t>
      </w:r>
    </w:p>
    <w:p w14:paraId="070CA409" w14:textId="77777777" w:rsidR="00813D3E" w:rsidRDefault="001C3459" w:rsidP="008A4A3C">
      <w:pPr>
        <w:pStyle w:val="Standard"/>
      </w:pPr>
      <w:r>
        <w:t>La taille de chaque fichier dépose par les entreprises ne peut excéder 1 Go.</w:t>
      </w:r>
    </w:p>
    <w:p w14:paraId="0AFDA458" w14:textId="77777777" w:rsidR="00813D3E" w:rsidRDefault="00813D3E" w:rsidP="008A4A3C">
      <w:pPr>
        <w:pStyle w:val="Standard"/>
      </w:pPr>
    </w:p>
    <w:p w14:paraId="3F968ADA" w14:textId="77777777" w:rsidR="00813D3E" w:rsidRDefault="001C3459" w:rsidP="008A4A3C">
      <w:pPr>
        <w:pStyle w:val="Standard"/>
      </w:pPr>
      <w:r>
        <w:t>Horodatage</w:t>
      </w:r>
    </w:p>
    <w:p w14:paraId="0D59A098" w14:textId="77777777" w:rsidR="00813D3E" w:rsidRDefault="001C3459" w:rsidP="008A4A3C">
      <w:pPr>
        <w:pStyle w:val="Standard"/>
      </w:pPr>
      <w:r>
        <w:t xml:space="preserve">Les plis (candidatures et/ou offres) transmis par voie électronique sont horodatés. Les plis reçus après la date et l’heure </w:t>
      </w:r>
      <w:proofErr w:type="gramStart"/>
      <w:r>
        <w:t>limite fixées</w:t>
      </w:r>
      <w:proofErr w:type="gramEnd"/>
      <w:r>
        <w:t xml:space="preserve"> par la présente consultation sont considérés comme hors délai et sont rejetés. En cas d’indisponibilité de la plate-forme, la date et l’heure limite de remise des plis peuvent être modifiées.</w:t>
      </w:r>
    </w:p>
    <w:p w14:paraId="4272A110" w14:textId="77777777" w:rsidR="00813D3E" w:rsidRDefault="00813D3E" w:rsidP="008A4A3C">
      <w:pPr>
        <w:pStyle w:val="Standard"/>
      </w:pPr>
    </w:p>
    <w:p w14:paraId="4299C558" w14:textId="77777777" w:rsidR="00813D3E" w:rsidRDefault="001C3459" w:rsidP="008A4A3C">
      <w:pPr>
        <w:pStyle w:val="Standard"/>
      </w:pPr>
      <w:r>
        <w:t>Copie de sauvegarde</w:t>
      </w:r>
    </w:p>
    <w:p w14:paraId="20349557" w14:textId="77777777" w:rsidR="00813D3E" w:rsidRDefault="001C3459" w:rsidP="008A4A3C">
      <w:pPr>
        <w:pStyle w:val="Standard"/>
      </w:pPr>
      <w:r>
        <w:t>Le candidat ou le soumissionnaire peut faire parvenir une copie de sauvegarde dans les délais impartis pour la remise des candidatures ou des offres.</w:t>
      </w:r>
    </w:p>
    <w:p w14:paraId="1C51F250" w14:textId="77777777" w:rsidR="00813D3E" w:rsidRDefault="00813D3E" w:rsidP="008A4A3C">
      <w:pPr>
        <w:pStyle w:val="Standard"/>
      </w:pPr>
    </w:p>
    <w:p w14:paraId="0EC9BA63" w14:textId="77777777" w:rsidR="00813D3E" w:rsidRDefault="001C3459" w:rsidP="008A4A3C">
      <w:pPr>
        <w:pStyle w:val="Standard"/>
      </w:pPr>
      <w:r>
        <w:t>La copie de sauvegarde, transmise à l'acheteur sur support papier ou sur support physique électronique doit être placée dans un pli comportant les mentions suivantes :</w:t>
      </w:r>
    </w:p>
    <w:p w14:paraId="6C001AD7" w14:textId="77777777" w:rsidR="00813D3E" w:rsidRDefault="001C3459" w:rsidP="008A4A3C">
      <w:pPr>
        <w:pStyle w:val="Standard"/>
      </w:pPr>
      <w:r>
        <w:t>– « Copie de sauvegarde » ;</w:t>
      </w:r>
    </w:p>
    <w:p w14:paraId="5B1290C2" w14:textId="77777777" w:rsidR="00813D3E" w:rsidRDefault="001C3459" w:rsidP="008A4A3C">
      <w:pPr>
        <w:pStyle w:val="Standard"/>
      </w:pPr>
      <w:r>
        <w:t>– Intitulé de la consultation ;</w:t>
      </w:r>
    </w:p>
    <w:p w14:paraId="7248369E" w14:textId="77777777" w:rsidR="00813D3E" w:rsidRDefault="001C3459" w:rsidP="008A4A3C">
      <w:pPr>
        <w:pStyle w:val="Standard"/>
      </w:pPr>
      <w:r>
        <w:t>– Nom ou dénomination du candidat.</w:t>
      </w:r>
    </w:p>
    <w:p w14:paraId="57644AED" w14:textId="77777777" w:rsidR="00813D3E" w:rsidRDefault="00813D3E" w:rsidP="008A4A3C">
      <w:pPr>
        <w:pStyle w:val="Standard"/>
      </w:pPr>
    </w:p>
    <w:p w14:paraId="3D9B45EE" w14:textId="77777777" w:rsidR="00813D3E" w:rsidRDefault="001C3459" w:rsidP="008A4A3C">
      <w:pPr>
        <w:pStyle w:val="Standard"/>
      </w:pPr>
      <w:r>
        <w:t>La copie de sauvegarde ne peut être ouverte que dans les deux cas suivants :</w:t>
      </w:r>
    </w:p>
    <w:p w14:paraId="08D6A184" w14:textId="77777777" w:rsidR="00813D3E" w:rsidRDefault="001C3459" w:rsidP="008A4A3C">
      <w:pPr>
        <w:pStyle w:val="Standard"/>
      </w:pPr>
      <w:r>
        <w:t>– en cas de détection d’un programme informatique malveillant dans les candidatures ou les offres transmises par voie électronique ;</w:t>
      </w:r>
    </w:p>
    <w:p w14:paraId="2CFF0791" w14:textId="77777777" w:rsidR="00813D3E" w:rsidRDefault="001C3459" w:rsidP="008A4A3C">
      <w:pPr>
        <w:pStyle w:val="Standard"/>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4ED20B82" w14:textId="77777777" w:rsidR="00813D3E" w:rsidRDefault="00813D3E" w:rsidP="008A4A3C">
      <w:pPr>
        <w:pStyle w:val="Standard"/>
      </w:pPr>
    </w:p>
    <w:p w14:paraId="6B105F27" w14:textId="77777777" w:rsidR="00813D3E" w:rsidRDefault="001C3459" w:rsidP="008A4A3C">
      <w:pPr>
        <w:pStyle w:val="Standard"/>
      </w:pPr>
      <w:r>
        <w:t>Si un programme informatique malveillant est détecté, la copie de sauvegarde est écartée par l’acheteur.</w:t>
      </w:r>
    </w:p>
    <w:p w14:paraId="6E1F4EB4" w14:textId="77777777" w:rsidR="00813D3E" w:rsidRDefault="00813D3E" w:rsidP="008A4A3C">
      <w:pPr>
        <w:pStyle w:val="Standard"/>
      </w:pPr>
    </w:p>
    <w:p w14:paraId="421B5331" w14:textId="77777777" w:rsidR="00813D3E" w:rsidRDefault="001C3459" w:rsidP="008A4A3C">
      <w:pPr>
        <w:pStyle w:val="Standard"/>
      </w:pPr>
      <w:r>
        <w:t xml:space="preserve">Une copie de sauvegarde ouverte est conservée en cas d'ouverture conformément aux dispositions des articles R.2184-12 et R.2184-13 du code de la commande publique. Si au contraire elle n’a pas été ouverte ou si elle a été écartée </w:t>
      </w:r>
      <w:proofErr w:type="gramStart"/>
      <w:r>
        <w:t>suite à</w:t>
      </w:r>
      <w:proofErr w:type="gramEnd"/>
      <w:r>
        <w:t xml:space="preserve"> la détection d’un programme malveillant, celle-ci est détruite</w:t>
      </w:r>
    </w:p>
    <w:p w14:paraId="2D5345C2" w14:textId="77777777" w:rsidR="00813D3E" w:rsidRDefault="00813D3E" w:rsidP="008A4A3C">
      <w:pPr>
        <w:pStyle w:val="Standard"/>
      </w:pPr>
    </w:p>
    <w:p w14:paraId="6EA7FDD6" w14:textId="667B7C29" w:rsidR="00813D3E" w:rsidRDefault="001C3459" w:rsidP="008A4A3C">
      <w:pPr>
        <w:pStyle w:val="Standard"/>
      </w:pPr>
      <w:r>
        <w:t>L’envoi par courrier postal avec AR de la copie de sauvegarde s’effectue à l’adresse suivante :</w:t>
      </w:r>
    </w:p>
    <w:p w14:paraId="2A573033" w14:textId="77777777" w:rsidR="008834DC" w:rsidRDefault="008834DC" w:rsidP="008A4A3C">
      <w:pPr>
        <w:pStyle w:val="Standard"/>
      </w:pPr>
    </w:p>
    <w:p w14:paraId="3DC1FD31" w14:textId="77777777" w:rsidR="00813D3E" w:rsidRPr="00BF60CA" w:rsidRDefault="001C3459" w:rsidP="008A4A3C">
      <w:pPr>
        <w:pStyle w:val="Standard"/>
        <w:rPr>
          <w:b/>
        </w:rPr>
      </w:pPr>
      <w:r w:rsidRPr="00BF60CA">
        <w:rPr>
          <w:b/>
        </w:rPr>
        <w:t>Archives nationales</w:t>
      </w:r>
    </w:p>
    <w:p w14:paraId="561B23C8" w14:textId="77777777" w:rsidR="00813D3E" w:rsidRPr="00BF60CA" w:rsidRDefault="001C3459" w:rsidP="008A4A3C">
      <w:pPr>
        <w:pStyle w:val="Standard"/>
        <w:rPr>
          <w:b/>
        </w:rPr>
      </w:pPr>
      <w:r w:rsidRPr="00BF60CA">
        <w:rPr>
          <w:b/>
        </w:rPr>
        <w:t>Direction administrative et financière – Service Juridique</w:t>
      </w:r>
    </w:p>
    <w:p w14:paraId="498414E6" w14:textId="77777777" w:rsidR="0006284C" w:rsidRPr="0006284C" w:rsidRDefault="0006284C" w:rsidP="0006284C">
      <w:pPr>
        <w:pStyle w:val="Standard"/>
        <w:rPr>
          <w:b/>
        </w:rPr>
      </w:pPr>
      <w:r w:rsidRPr="0006284C">
        <w:rPr>
          <w:b/>
        </w:rPr>
        <w:t>59 rue Guynemer</w:t>
      </w:r>
    </w:p>
    <w:p w14:paraId="6B228941" w14:textId="77777777" w:rsidR="0006284C" w:rsidRPr="0006284C" w:rsidRDefault="0006284C" w:rsidP="0006284C">
      <w:pPr>
        <w:pStyle w:val="Standard"/>
        <w:rPr>
          <w:b/>
        </w:rPr>
      </w:pPr>
      <w:r w:rsidRPr="0006284C">
        <w:rPr>
          <w:b/>
        </w:rPr>
        <w:t>90001 Pierrefitte-sur-Seine</w:t>
      </w:r>
    </w:p>
    <w:p w14:paraId="26F86A51" w14:textId="77777777" w:rsidR="0006284C" w:rsidRPr="0006284C" w:rsidRDefault="0006284C" w:rsidP="0006284C">
      <w:pPr>
        <w:pStyle w:val="Standard"/>
        <w:rPr>
          <w:b/>
        </w:rPr>
      </w:pPr>
      <w:r w:rsidRPr="0006284C">
        <w:rPr>
          <w:b/>
        </w:rPr>
        <w:t>93 383 SAINT-DENIS</w:t>
      </w:r>
    </w:p>
    <w:p w14:paraId="31C27475" w14:textId="77777777" w:rsidR="008834DC" w:rsidRPr="00361EDD" w:rsidRDefault="008834DC" w:rsidP="008A4A3C">
      <w:pPr>
        <w:pStyle w:val="Standard"/>
      </w:pPr>
    </w:p>
    <w:p w14:paraId="690F198A" w14:textId="383B0D23" w:rsidR="00813D3E" w:rsidRDefault="001C3459" w:rsidP="008A4A3C">
      <w:pPr>
        <w:pStyle w:val="Standard"/>
      </w:pPr>
      <w:r>
        <w:t xml:space="preserve">Avec la mention ; “Copie de sauvegarde – </w:t>
      </w:r>
      <w:r w:rsidR="003B113C" w:rsidRPr="003B113C">
        <w:t xml:space="preserve">TRAVAUX-MMP </w:t>
      </w:r>
      <w:r>
        <w:t>sur le site de Pierrefitte-sur-Seine des Archives nationales</w:t>
      </w:r>
    </w:p>
    <w:p w14:paraId="0353AD9C" w14:textId="77777777" w:rsidR="00813D3E" w:rsidRDefault="00813D3E" w:rsidP="008A4A3C">
      <w:pPr>
        <w:pStyle w:val="Standard"/>
      </w:pPr>
    </w:p>
    <w:p w14:paraId="3C37F16B" w14:textId="77777777" w:rsidR="00813D3E" w:rsidRDefault="001C3459" w:rsidP="008A4A3C">
      <w:pPr>
        <w:pStyle w:val="Standard"/>
      </w:pPr>
      <w:r>
        <w:t>Antivirus</w:t>
      </w:r>
    </w:p>
    <w:p w14:paraId="4935751B" w14:textId="77777777" w:rsidR="00813D3E" w:rsidRDefault="001C3459" w:rsidP="008A4A3C">
      <w:pPr>
        <w:pStyle w:val="Standard"/>
      </w:pPr>
      <w:r>
        <w:t>Le candidat ou le soumissionnaire doit s’assurer que les fichiers transmis ne comportent pas de virus.</w:t>
      </w:r>
    </w:p>
    <w:p w14:paraId="22DA787C" w14:textId="77777777" w:rsidR="00813D3E" w:rsidRDefault="001C3459" w:rsidP="008A4A3C">
      <w:pPr>
        <w:pStyle w:val="Standard"/>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324CE133" w14:textId="016B28B0" w:rsidR="00813D3E" w:rsidRDefault="001C3459" w:rsidP="008A4A3C">
      <w:pPr>
        <w:pStyle w:val="Titre2"/>
        <w:ind w:left="1134"/>
      </w:pPr>
      <w:bookmarkStart w:id="23" w:name="_Toc198913397"/>
      <w:r>
        <w:t>Echanges électroniques (candidature et offre)</w:t>
      </w:r>
      <w:bookmarkEnd w:id="23"/>
    </w:p>
    <w:p w14:paraId="4A682530" w14:textId="77777777" w:rsidR="00813D3E" w:rsidRDefault="00813D3E" w:rsidP="008A4A3C">
      <w:pPr>
        <w:pStyle w:val="Standard"/>
      </w:pPr>
    </w:p>
    <w:p w14:paraId="54189618" w14:textId="6D4FB84A" w:rsidR="0006284C" w:rsidRDefault="0006284C" w:rsidP="0006284C">
      <w:pPr>
        <w:pStyle w:val="Standard"/>
      </w:pPr>
      <w:r>
        <w:t>Les documents de la consultation sont accessibles uniquement par voie électronique, sur la plate-forme des achats de l'Etat (PLACE) (</w:t>
      </w:r>
      <w:hyperlink r:id="rId16" w:history="1">
        <w:r w:rsidRPr="00DD28BB">
          <w:rPr>
            <w:rStyle w:val="Lienhypertexte"/>
          </w:rPr>
          <w:t>www.marches-publics.gouv.fr</w:t>
        </w:r>
      </w:hyperlink>
      <w:r>
        <w:t>).</w:t>
      </w:r>
    </w:p>
    <w:p w14:paraId="488CC3DB" w14:textId="4B0E05A6" w:rsidR="0006284C" w:rsidRDefault="0006284C" w:rsidP="0006284C">
      <w:pPr>
        <w:pStyle w:val="Standard"/>
      </w:pPr>
      <w:r>
        <w:t xml:space="preserve">Le dossier est enregistré sous la référence : </w:t>
      </w:r>
      <w:r>
        <w:t>2025/004</w:t>
      </w:r>
    </w:p>
    <w:p w14:paraId="37245419" w14:textId="77777777" w:rsidR="0006284C" w:rsidRDefault="0006284C" w:rsidP="0006284C">
      <w:pPr>
        <w:pStyle w:val="Standard"/>
      </w:pPr>
    </w:p>
    <w:p w14:paraId="18677D1A" w14:textId="651DEFFE" w:rsidR="00813D3E" w:rsidRDefault="001C3459" w:rsidP="008A4A3C">
      <w:pPr>
        <w:pStyle w:val="Standard"/>
      </w:pPr>
      <w:r>
        <w:t>Les plis devront être transmis au plus tard le</w:t>
      </w:r>
      <w:r w:rsidR="009578AA" w:rsidRPr="009578AA">
        <w:t xml:space="preserve"> </w:t>
      </w:r>
      <w:r w:rsidR="00931B4C">
        <w:rPr>
          <w:b/>
          <w:highlight w:val="yellow"/>
          <w:u w:val="single"/>
        </w:rPr>
        <w:t>04/07</w:t>
      </w:r>
      <w:r w:rsidR="007D6704" w:rsidRPr="00E753F9">
        <w:rPr>
          <w:b/>
          <w:highlight w:val="yellow"/>
          <w:u w:val="single"/>
        </w:rPr>
        <w:t>/</w:t>
      </w:r>
      <w:r w:rsidR="009578AA" w:rsidRPr="00E753F9">
        <w:rPr>
          <w:b/>
          <w:highlight w:val="yellow"/>
          <w:u w:val="single"/>
        </w:rPr>
        <w:t>202</w:t>
      </w:r>
      <w:r w:rsidR="00E753F9" w:rsidRPr="00E753F9">
        <w:rPr>
          <w:b/>
          <w:highlight w:val="yellow"/>
          <w:u w:val="single"/>
        </w:rPr>
        <w:t>5</w:t>
      </w:r>
      <w:r w:rsidR="009578AA" w:rsidRPr="00E753F9">
        <w:rPr>
          <w:b/>
          <w:highlight w:val="yellow"/>
          <w:u w:val="single"/>
        </w:rPr>
        <w:t xml:space="preserve"> à 15h00</w:t>
      </w:r>
      <w:r w:rsidR="009578AA" w:rsidRPr="009578AA">
        <w:t>.</w:t>
      </w:r>
    </w:p>
    <w:p w14:paraId="5537200B" w14:textId="77777777" w:rsidR="00813D3E" w:rsidRDefault="00813D3E" w:rsidP="008A4A3C">
      <w:pPr>
        <w:pStyle w:val="Standard"/>
      </w:pPr>
    </w:p>
    <w:p w14:paraId="3ED5186B" w14:textId="77777777" w:rsidR="00813D3E" w:rsidRDefault="001C3459" w:rsidP="008A4A3C">
      <w:pPr>
        <w:pStyle w:val="Standard"/>
      </w:pPr>
      <w:r>
        <w:lastRenderedPageBreak/>
        <w:t>Seuls peuvent être ouverts les plis qui ont été reçus au plus tard à la date et à l’heure limites mentionnées ci-dessus. Les plis qui sont reçus ou remis après ces date et heure ne sont pas ouverts.</w:t>
      </w:r>
    </w:p>
    <w:p w14:paraId="10169338" w14:textId="77777777" w:rsidR="00813D3E" w:rsidRDefault="001C3459" w:rsidP="008A4A3C">
      <w:pPr>
        <w:pStyle w:val="Standard"/>
      </w:pPr>
      <w:r>
        <w:t>Les plis et la “copie de sauvegarde” parvenus hors délai sont inscrits au registre des dépôts et sont rejetés.</w:t>
      </w:r>
    </w:p>
    <w:p w14:paraId="4D1A96B9" w14:textId="77777777" w:rsidR="00813D3E" w:rsidRDefault="00813D3E" w:rsidP="008A4A3C">
      <w:pPr>
        <w:pStyle w:val="Standard"/>
      </w:pPr>
    </w:p>
    <w:p w14:paraId="101506B6" w14:textId="77777777" w:rsidR="00813D3E" w:rsidRDefault="001C3459" w:rsidP="008A4A3C">
      <w:pPr>
        <w:pStyle w:val="Standard"/>
      </w:pPr>
      <w:r>
        <w:t xml:space="preserve">Pendant la phase de consultation, les candidats peuvent faire parvenir leurs questions et les demandes de renseignements complémentaires sur la plate-forme des achats de l’État (PLACE) : </w:t>
      </w:r>
      <w:hyperlink r:id="rId17" w:history="1">
        <w:r>
          <w:rPr>
            <w:rStyle w:val="Lienhypertexte"/>
          </w:rPr>
          <w:t>https://www.marches-publics.gouv.fr</w:t>
        </w:r>
      </w:hyperlink>
      <w:r>
        <w:t xml:space="preserve"> </w:t>
      </w:r>
    </w:p>
    <w:p w14:paraId="11AF1CE2" w14:textId="77777777" w:rsidR="00813D3E" w:rsidRDefault="00813D3E" w:rsidP="008A4A3C">
      <w:pPr>
        <w:pStyle w:val="Standard"/>
      </w:pPr>
    </w:p>
    <w:p w14:paraId="05F3B663" w14:textId="2E7166EC" w:rsidR="00813D3E" w:rsidRDefault="001C3459" w:rsidP="008A4A3C">
      <w:pPr>
        <w:pStyle w:val="Standard"/>
      </w:pPr>
      <w:r>
        <w:t xml:space="preserve">Les réponses aux demandes de renseignements complémentaires reçues en temps utile, au plus tard </w:t>
      </w:r>
      <w:r w:rsidR="009578AA">
        <w:t xml:space="preserve">le </w:t>
      </w:r>
      <w:r w:rsidR="00931B4C">
        <w:rPr>
          <w:b/>
          <w:highlight w:val="yellow"/>
        </w:rPr>
        <w:t>1</w:t>
      </w:r>
      <w:r w:rsidR="00C51961">
        <w:rPr>
          <w:b/>
          <w:highlight w:val="yellow"/>
        </w:rPr>
        <w:t>8</w:t>
      </w:r>
      <w:r w:rsidR="00931B4C">
        <w:rPr>
          <w:b/>
          <w:highlight w:val="yellow"/>
        </w:rPr>
        <w:t>/0</w:t>
      </w:r>
      <w:r w:rsidR="00C51961">
        <w:rPr>
          <w:b/>
          <w:highlight w:val="yellow"/>
        </w:rPr>
        <w:t>6</w:t>
      </w:r>
      <w:r w:rsidR="009578AA" w:rsidRPr="00E753F9">
        <w:rPr>
          <w:b/>
          <w:highlight w:val="yellow"/>
        </w:rPr>
        <w:t>/202</w:t>
      </w:r>
      <w:r w:rsidR="00E753F9" w:rsidRPr="00E753F9">
        <w:rPr>
          <w:b/>
          <w:highlight w:val="yellow"/>
        </w:rPr>
        <w:t>5</w:t>
      </w:r>
      <w:r>
        <w:t xml:space="preserve">, sont transmises aux opérateurs économiques au plus tard </w:t>
      </w:r>
      <w:r w:rsidRPr="00E753F9">
        <w:rPr>
          <w:b/>
          <w:bCs/>
        </w:rPr>
        <w:t>6 jours</w:t>
      </w:r>
      <w:r>
        <w:t xml:space="preserve"> avant la date limite de réception des offres.</w:t>
      </w:r>
    </w:p>
    <w:p w14:paraId="71A8B4DA" w14:textId="77777777" w:rsidR="00813D3E" w:rsidRDefault="00813D3E" w:rsidP="008A4A3C">
      <w:pPr>
        <w:pStyle w:val="Standard"/>
      </w:pPr>
    </w:p>
    <w:p w14:paraId="702EF492" w14:textId="77777777" w:rsidR="00813D3E" w:rsidRDefault="001C3459" w:rsidP="008A4A3C">
      <w:pPr>
        <w:pStyle w:val="Standard"/>
      </w:pPr>
      <w:r>
        <w:t>Des modifications peuvent être apportées aux documents de la consultation au plus tard 6 jours avant la date limite de réception des offres. Les modifications sont communiquées aux seuls opérateurs économiques dûment identifiés lors du retrait des documents de la consultation.</w:t>
      </w:r>
    </w:p>
    <w:p w14:paraId="54697C19" w14:textId="77777777" w:rsidR="00813D3E" w:rsidRDefault="001C3459" w:rsidP="008A4A3C">
      <w:pPr>
        <w:pStyle w:val="Standard"/>
      </w:pPr>
      <w:r>
        <w:tab/>
      </w:r>
    </w:p>
    <w:p w14:paraId="6DCABD0C" w14:textId="77777777" w:rsidR="00813D3E" w:rsidRDefault="001C3459" w:rsidP="008A4A3C">
      <w:pPr>
        <w:pStyle w:val="Standard"/>
      </w:pPr>
      <w: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15C359C4" w14:textId="1FF7C3DE" w:rsidR="00813D3E" w:rsidRDefault="001C3459" w:rsidP="008A4A3C">
      <w:pPr>
        <w:pStyle w:val="Titre2"/>
        <w:ind w:left="1134"/>
      </w:pPr>
      <w:bookmarkStart w:id="24" w:name="_Toc198913398"/>
      <w:r>
        <w:t>Visite sur site</w:t>
      </w:r>
      <w:r w:rsidR="009578AA">
        <w:t xml:space="preserve"> obligatoire</w:t>
      </w:r>
      <w:bookmarkEnd w:id="24"/>
      <w:r w:rsidR="009578AA">
        <w:t xml:space="preserve"> </w:t>
      </w:r>
    </w:p>
    <w:p w14:paraId="025776F8" w14:textId="77777777" w:rsidR="00813D3E" w:rsidRDefault="00813D3E" w:rsidP="008A4A3C">
      <w:pPr>
        <w:pStyle w:val="Standard"/>
      </w:pPr>
    </w:p>
    <w:p w14:paraId="707BB57F" w14:textId="27411D63" w:rsidR="00813D3E" w:rsidRDefault="001C3459" w:rsidP="008A4A3C">
      <w:pPr>
        <w:pStyle w:val="Standard"/>
      </w:pPr>
      <w:r>
        <w:t>Afin de prendre connaissance des contraintes relatives à l'exécution des prestations, les candidats doivent obligatoirement être présents à la visite de site qui sera organisée l</w:t>
      </w:r>
      <w:r w:rsidR="009578AA">
        <w:t xml:space="preserve">e </w:t>
      </w:r>
      <w:r w:rsidR="00931B4C">
        <w:rPr>
          <w:b/>
          <w:highlight w:val="yellow"/>
          <w:u w:val="single"/>
        </w:rPr>
        <w:t>16/06</w:t>
      </w:r>
      <w:r w:rsidR="009578AA" w:rsidRPr="00E753F9">
        <w:rPr>
          <w:b/>
          <w:highlight w:val="yellow"/>
          <w:u w:val="single"/>
        </w:rPr>
        <w:t>/202</w:t>
      </w:r>
      <w:r w:rsidR="00E753F9" w:rsidRPr="00E753F9">
        <w:rPr>
          <w:b/>
          <w:highlight w:val="yellow"/>
          <w:u w:val="single"/>
        </w:rPr>
        <w:t>5</w:t>
      </w:r>
      <w:r w:rsidR="009578AA" w:rsidRPr="00E753F9">
        <w:rPr>
          <w:b/>
          <w:highlight w:val="yellow"/>
          <w:u w:val="single"/>
        </w:rPr>
        <w:t xml:space="preserve"> à 1</w:t>
      </w:r>
      <w:r w:rsidR="004F143E">
        <w:rPr>
          <w:b/>
          <w:highlight w:val="yellow"/>
          <w:u w:val="single"/>
        </w:rPr>
        <w:t>4</w:t>
      </w:r>
      <w:r w:rsidR="009578AA" w:rsidRPr="00E753F9">
        <w:rPr>
          <w:b/>
          <w:highlight w:val="yellow"/>
          <w:u w:val="single"/>
        </w:rPr>
        <w:t>h30</w:t>
      </w:r>
      <w:r w:rsidRPr="009578AA">
        <w:t xml:space="preserve"> </w:t>
      </w:r>
      <w:r>
        <w:t>à l'adresse suivante :</w:t>
      </w:r>
    </w:p>
    <w:p w14:paraId="54EECC30" w14:textId="77777777" w:rsidR="00813D3E" w:rsidRDefault="00813D3E" w:rsidP="008A4A3C">
      <w:pPr>
        <w:pStyle w:val="Standard"/>
      </w:pPr>
    </w:p>
    <w:p w14:paraId="681C325D" w14:textId="7D959FC0" w:rsidR="00813D3E" w:rsidRPr="008A4A3C" w:rsidRDefault="001C3459" w:rsidP="008A4A3C">
      <w:pPr>
        <w:pStyle w:val="Standard"/>
        <w:jc w:val="center"/>
        <w:rPr>
          <w:b/>
        </w:rPr>
      </w:pPr>
      <w:r w:rsidRPr="008A4A3C">
        <w:rPr>
          <w:b/>
        </w:rPr>
        <w:t>Archives nationales</w:t>
      </w:r>
    </w:p>
    <w:p w14:paraId="2C827A4A" w14:textId="18DEA376" w:rsidR="00E753F9" w:rsidRPr="00E753F9" w:rsidRDefault="00E753F9" w:rsidP="00E753F9">
      <w:pPr>
        <w:pStyle w:val="Standard"/>
        <w:jc w:val="center"/>
        <w:rPr>
          <w:b/>
        </w:rPr>
      </w:pPr>
      <w:r w:rsidRPr="00E753F9">
        <w:rPr>
          <w:b/>
        </w:rPr>
        <w:t>59 rue Guynemer</w:t>
      </w:r>
    </w:p>
    <w:p w14:paraId="249A2B32" w14:textId="77777777" w:rsidR="00E753F9" w:rsidRPr="00E753F9" w:rsidRDefault="00E753F9" w:rsidP="00E753F9">
      <w:pPr>
        <w:pStyle w:val="Standard"/>
        <w:jc w:val="center"/>
        <w:rPr>
          <w:b/>
        </w:rPr>
      </w:pPr>
      <w:r w:rsidRPr="00E753F9">
        <w:rPr>
          <w:b/>
        </w:rPr>
        <w:t>90001 Pierrefitte-sur-Seine</w:t>
      </w:r>
    </w:p>
    <w:p w14:paraId="790CD5FE" w14:textId="4977ED7D" w:rsidR="00813D3E" w:rsidRPr="008A4A3C" w:rsidRDefault="00E753F9" w:rsidP="00E753F9">
      <w:pPr>
        <w:pStyle w:val="Standard"/>
        <w:jc w:val="center"/>
        <w:rPr>
          <w:b/>
        </w:rPr>
      </w:pPr>
      <w:r w:rsidRPr="00E753F9">
        <w:rPr>
          <w:b/>
        </w:rPr>
        <w:t>93 383 SAINT-DENIS</w:t>
      </w:r>
    </w:p>
    <w:p w14:paraId="7C7A7345" w14:textId="77777777" w:rsidR="00813D3E" w:rsidRDefault="00813D3E" w:rsidP="008A4A3C">
      <w:pPr>
        <w:pStyle w:val="Standard"/>
      </w:pPr>
    </w:p>
    <w:p w14:paraId="00A523F8" w14:textId="07BB1D26" w:rsidR="00813D3E" w:rsidRDefault="001C3459" w:rsidP="008A4A3C">
      <w:pPr>
        <w:pStyle w:val="Standard"/>
      </w:pPr>
      <w:r>
        <w:t xml:space="preserve">À l’issue de cette visite, ils reçoivent une attestation de visite. Les candidats joignent cette attestation dans leur réponse à la consultation.  L’offre d’un candidat n’ayant pas procédé à la visite préalable obligatoire sera éliminée. </w:t>
      </w:r>
    </w:p>
    <w:p w14:paraId="5A6184FC" w14:textId="77777777" w:rsidR="00813D3E" w:rsidRDefault="00813D3E" w:rsidP="008A4A3C">
      <w:pPr>
        <w:pStyle w:val="Standard"/>
      </w:pPr>
    </w:p>
    <w:p w14:paraId="6A37919C" w14:textId="78A07B71" w:rsidR="00813D3E" w:rsidRDefault="001C3459" w:rsidP="008A4A3C">
      <w:pPr>
        <w:pStyle w:val="Standard"/>
      </w:pPr>
      <w:r>
        <w:t xml:space="preserve">Pour procéder à cette visite, </w:t>
      </w:r>
      <w:r w:rsidR="0092662F">
        <w:t xml:space="preserve">il est conseillé aux candidats de </w:t>
      </w:r>
      <w:r>
        <w:t>se faire connaître au préalable auprès de :</w:t>
      </w:r>
    </w:p>
    <w:p w14:paraId="70D9FFB6" w14:textId="77777777" w:rsidR="00813D3E" w:rsidRDefault="00813D3E" w:rsidP="008A4A3C">
      <w:pPr>
        <w:pStyle w:val="Standard"/>
      </w:pPr>
    </w:p>
    <w:p w14:paraId="7633D47D" w14:textId="77777777" w:rsidR="00813D3E" w:rsidRPr="008A4A3C" w:rsidRDefault="001C3459" w:rsidP="008A4A3C">
      <w:pPr>
        <w:pStyle w:val="Standard"/>
        <w:jc w:val="center"/>
        <w:rPr>
          <w:b/>
        </w:rPr>
      </w:pPr>
      <w:r w:rsidRPr="008A4A3C">
        <w:rPr>
          <w:b/>
        </w:rPr>
        <w:t>Archives nationales</w:t>
      </w:r>
    </w:p>
    <w:p w14:paraId="3D6BA47D" w14:textId="77777777" w:rsidR="00813D3E" w:rsidRPr="008A4A3C" w:rsidRDefault="001C3459" w:rsidP="008A4A3C">
      <w:pPr>
        <w:pStyle w:val="Standard"/>
        <w:jc w:val="center"/>
        <w:rPr>
          <w:b/>
        </w:rPr>
      </w:pPr>
      <w:r w:rsidRPr="008A4A3C">
        <w:rPr>
          <w:b/>
        </w:rPr>
        <w:t>Direction administrative et financière</w:t>
      </w:r>
    </w:p>
    <w:p w14:paraId="65922A99" w14:textId="77777777" w:rsidR="00813D3E" w:rsidRPr="008A4A3C" w:rsidRDefault="001C3459" w:rsidP="008A4A3C">
      <w:pPr>
        <w:pStyle w:val="Standard"/>
        <w:jc w:val="center"/>
        <w:rPr>
          <w:b/>
        </w:rPr>
      </w:pPr>
      <w:r w:rsidRPr="008A4A3C">
        <w:rPr>
          <w:b/>
        </w:rPr>
        <w:t>Service juridique</w:t>
      </w:r>
    </w:p>
    <w:p w14:paraId="33790B98" w14:textId="61364532" w:rsidR="00813D3E" w:rsidRPr="008A4A3C" w:rsidRDefault="001C3459" w:rsidP="008A4A3C">
      <w:pPr>
        <w:pStyle w:val="Standard"/>
        <w:jc w:val="center"/>
        <w:rPr>
          <w:rStyle w:val="Lienhypertexte"/>
          <w:b/>
        </w:rPr>
      </w:pPr>
      <w:r w:rsidRPr="008A4A3C">
        <w:rPr>
          <w:b/>
        </w:rPr>
        <w:t xml:space="preserve">Courriel : </w:t>
      </w:r>
      <w:hyperlink r:id="rId18" w:history="1">
        <w:r w:rsidRPr="008A4A3C">
          <w:rPr>
            <w:rStyle w:val="Lienhypertexte"/>
            <w:b/>
          </w:rPr>
          <w:t>marches.archives-nationales@culture.gouv.fr</w:t>
        </w:r>
      </w:hyperlink>
    </w:p>
    <w:p w14:paraId="7A0984B9" w14:textId="77777777" w:rsidR="009578AA" w:rsidRDefault="009578AA" w:rsidP="008A4A3C">
      <w:pPr>
        <w:pStyle w:val="Standard"/>
      </w:pPr>
    </w:p>
    <w:p w14:paraId="4281BED1" w14:textId="2A23209C" w:rsidR="0092662F" w:rsidRDefault="0092662F" w:rsidP="008A4A3C">
      <w:pPr>
        <w:pStyle w:val="Standard"/>
      </w:pPr>
      <w:r>
        <w:t xml:space="preserve">Les candidats véhiculés, qui en font la demande, pourront se garer sur le parking du site de Pierrefitte-Sur Seine.  </w:t>
      </w:r>
    </w:p>
    <w:p w14:paraId="5A7CA9BD" w14:textId="77777777" w:rsidR="0092662F" w:rsidRDefault="0092662F" w:rsidP="008A4A3C">
      <w:pPr>
        <w:pStyle w:val="Standard"/>
      </w:pPr>
    </w:p>
    <w:p w14:paraId="45BEA228" w14:textId="3E889C50" w:rsidR="00813D3E" w:rsidRDefault="001C3459" w:rsidP="008A4A3C">
      <w:pPr>
        <w:pStyle w:val="Titre1"/>
      </w:pPr>
      <w:bookmarkStart w:id="25" w:name="_Toc198913399"/>
      <w:r>
        <w:t>CANDIDATURE</w:t>
      </w:r>
      <w:bookmarkEnd w:id="25"/>
    </w:p>
    <w:p w14:paraId="3D5FAD80" w14:textId="64E5A12A" w:rsidR="00813D3E" w:rsidRDefault="001C3459" w:rsidP="004F143E">
      <w:pPr>
        <w:pStyle w:val="Titre2"/>
      </w:pPr>
      <w:bookmarkStart w:id="26" w:name="_Toc198913400"/>
      <w:r>
        <w:t xml:space="preserve">Précisions concernant les groupements </w:t>
      </w:r>
      <w:r>
        <w:lastRenderedPageBreak/>
        <w:t>d’opérateurs économiques et la sous-traitance</w:t>
      </w:r>
      <w:bookmarkEnd w:id="26"/>
    </w:p>
    <w:p w14:paraId="1A8FE098" w14:textId="77777777" w:rsidR="00813D3E" w:rsidRDefault="001C3459" w:rsidP="008A4A3C">
      <w:pPr>
        <w:pStyle w:val="Titre3"/>
      </w:pPr>
      <w:r>
        <w:t>Précisions concernant les groupements d'opérateurs économiques</w:t>
      </w:r>
    </w:p>
    <w:p w14:paraId="1CA7D993" w14:textId="77777777" w:rsidR="00813D3E" w:rsidRDefault="00813D3E" w:rsidP="008A4A3C">
      <w:pPr>
        <w:pStyle w:val="Standard"/>
      </w:pPr>
    </w:p>
    <w:p w14:paraId="6E529246" w14:textId="77777777" w:rsidR="00813D3E" w:rsidRDefault="001C3459" w:rsidP="008A4A3C">
      <w:pPr>
        <w:pStyle w:val="Standard"/>
      </w:pPr>
      <w:r>
        <w:t>Un service de bourse à la cotraitance est proposé sur le portail « entreprises » du profil d’acheteur de l’État (Plateforme des achats de l’État : PLACE) utilisé par les ministères et les établissements publics d’État. Ce service entend faciliter les contacts des entreprises entre elles qui souhaitent répondre à des marchés publics de manière groupée sous la forme d’un groupement d’opérateurs économiques.</w:t>
      </w:r>
    </w:p>
    <w:p w14:paraId="70C27845" w14:textId="77777777" w:rsidR="00813D3E" w:rsidRDefault="001C3459" w:rsidP="008A4A3C">
      <w:pPr>
        <w:pStyle w:val="Standard"/>
      </w:pPr>
      <w:r>
        <w:t>Des fiches explicatives et le mode d'emploi de ce service sont disponibles aux adresses suivantes :</w:t>
      </w:r>
    </w:p>
    <w:p w14:paraId="6F8CDE2F" w14:textId="77777777" w:rsidR="00813D3E" w:rsidRDefault="001C3459" w:rsidP="008A4A3C">
      <w:pPr>
        <w:pStyle w:val="Standard"/>
      </w:pPr>
      <w:r>
        <w:t>https://www.marches-publics.gouv.fr/docs/outils-esr-2017/place/Bourse_cotraitance_mode_emploi6.pdf</w:t>
      </w:r>
    </w:p>
    <w:p w14:paraId="0A34994E" w14:textId="77777777" w:rsidR="00813D3E" w:rsidRDefault="00813D3E" w:rsidP="008A4A3C">
      <w:pPr>
        <w:pStyle w:val="Standard"/>
      </w:pPr>
    </w:p>
    <w:p w14:paraId="1EE9EBED" w14:textId="77777777" w:rsidR="00813D3E" w:rsidRDefault="0012057B" w:rsidP="008A4A3C">
      <w:pPr>
        <w:pStyle w:val="Standard"/>
      </w:pPr>
      <w:hyperlink r:id="rId19" w:history="1">
        <w:r w:rsidR="001C3459">
          <w:rPr>
            <w:rStyle w:val="Lienhypertexte"/>
          </w:rPr>
          <w:t>https://www.economie.gouv.fr/dae/bourse-a-cotraitance-service-pour-aider-entreprises</w:t>
        </w:r>
      </w:hyperlink>
      <w:r w:rsidR="001C3459">
        <w:t xml:space="preserve"> </w:t>
      </w:r>
    </w:p>
    <w:p w14:paraId="0F0CAB7B" w14:textId="77777777" w:rsidR="00813D3E" w:rsidRDefault="00813D3E" w:rsidP="008A4A3C">
      <w:pPr>
        <w:pStyle w:val="Standard"/>
      </w:pPr>
    </w:p>
    <w:p w14:paraId="741B52FD" w14:textId="77777777" w:rsidR="00813D3E" w:rsidRDefault="001C3459" w:rsidP="008A4A3C">
      <w:pPr>
        <w:pStyle w:val="Standard"/>
      </w:pPr>
      <w:r>
        <w:t>La forme du groupement n’est pas imposée au stade de la procédure de passation.</w:t>
      </w:r>
    </w:p>
    <w:p w14:paraId="574BB4C9" w14:textId="77777777" w:rsidR="00813D3E" w:rsidRDefault="001C3459" w:rsidP="008A4A3C">
      <w:pPr>
        <w:pStyle w:val="Standard"/>
      </w:pPr>
      <w:r>
        <w:t>En cas de groupement conjoint, le mandataire est solidaire pour l'exécution du marché de chacun des membres du groupement pour ses obligations contractuelles à l'égard de l’acheteur.</w:t>
      </w:r>
    </w:p>
    <w:p w14:paraId="0E636D0C" w14:textId="77777777" w:rsidR="00813D3E" w:rsidRDefault="001C3459" w:rsidP="008A4A3C">
      <w:pPr>
        <w:pStyle w:val="Standard"/>
      </w:pPr>
      <w:r>
        <w:t xml:space="preserve"> </w:t>
      </w:r>
    </w:p>
    <w:p w14:paraId="175B19AA" w14:textId="77777777" w:rsidR="00813D3E" w:rsidRDefault="001C3459" w:rsidP="008A4A3C">
      <w:pPr>
        <w:pStyle w:val="Titre3"/>
      </w:pPr>
      <w:r>
        <w:t>Motifs d'exclusion en cas de groupement d'opérateurs économiques</w:t>
      </w:r>
    </w:p>
    <w:p w14:paraId="1CF439FE" w14:textId="77777777" w:rsidR="00813D3E" w:rsidRDefault="00813D3E" w:rsidP="008A4A3C">
      <w:pPr>
        <w:pStyle w:val="Standard"/>
      </w:pPr>
    </w:p>
    <w:p w14:paraId="606197B1" w14:textId="77777777" w:rsidR="00813D3E" w:rsidRDefault="001C3459" w:rsidP="008A4A3C">
      <w:pPr>
        <w:pStyle w:val="Standard"/>
      </w:pPr>
      <w:r>
        <w:t>Lorsque le motif d'exclusion de la procédure de passation concerne un des membres du groupement, le maître d'ouvrage exige son remplacement par une personne qui ne fait pas l'objet d'un motif d'exclusion dans un délai de dix jours à compter de la réception de cette demande par le mandataire du groupement. A défaut, le groupement est exclu de la procédure.</w:t>
      </w:r>
    </w:p>
    <w:p w14:paraId="1B055A03" w14:textId="77777777" w:rsidR="00813D3E" w:rsidRDefault="001C3459" w:rsidP="008A4A3C">
      <w:pPr>
        <w:pStyle w:val="Titre3"/>
      </w:pPr>
      <w:r>
        <w:t>Conditions de présentation</w:t>
      </w:r>
    </w:p>
    <w:p w14:paraId="375AF078" w14:textId="77777777" w:rsidR="00813D3E" w:rsidRDefault="00813D3E" w:rsidP="008A4A3C">
      <w:pPr>
        <w:pStyle w:val="Standard"/>
      </w:pPr>
    </w:p>
    <w:p w14:paraId="36C7FB18" w14:textId="77777777" w:rsidR="00813D3E" w:rsidRDefault="001C3459" w:rsidP="008A4A3C">
      <w:pPr>
        <w:pStyle w:val="Standard"/>
      </w:pPr>
      <w:r>
        <w:t>Dans le cadre de la consultation, le maître d’ouvrage autorise le candidat à présenter plusieurs offres en agissant à la fois :</w:t>
      </w:r>
    </w:p>
    <w:p w14:paraId="30F896D8" w14:textId="77777777" w:rsidR="00813D3E" w:rsidRDefault="00813D3E" w:rsidP="008A4A3C">
      <w:pPr>
        <w:pStyle w:val="Standard"/>
      </w:pPr>
    </w:p>
    <w:p w14:paraId="4BBFAF1D" w14:textId="77777777" w:rsidR="00813D3E" w:rsidRDefault="001C3459" w:rsidP="008A4A3C">
      <w:pPr>
        <w:pStyle w:val="Standard"/>
      </w:pPr>
      <w:r>
        <w:t xml:space="preserve">- en qualité de candidat individuel et de membre d’un ou plusieurs groupements d’opérateurs </w:t>
      </w:r>
      <w:proofErr w:type="gramStart"/>
      <w:r>
        <w:t>économiques;</w:t>
      </w:r>
      <w:proofErr w:type="gramEnd"/>
    </w:p>
    <w:p w14:paraId="13ADD2CA" w14:textId="77777777" w:rsidR="00813D3E" w:rsidRDefault="001C3459" w:rsidP="008A4A3C">
      <w:pPr>
        <w:pStyle w:val="Standard"/>
      </w:pPr>
      <w:r>
        <w:t>- en qualité de membres de plusieurs groupements d’opérateurs économiques.</w:t>
      </w:r>
    </w:p>
    <w:p w14:paraId="0E7C4E67" w14:textId="77777777" w:rsidR="00813D3E" w:rsidRDefault="00813D3E" w:rsidP="008A4A3C">
      <w:pPr>
        <w:pStyle w:val="Standard"/>
      </w:pPr>
    </w:p>
    <w:p w14:paraId="51D86FAD" w14:textId="77777777" w:rsidR="00813D3E" w:rsidRDefault="001C3459" w:rsidP="008A4A3C">
      <w:pPr>
        <w:pStyle w:val="Standard"/>
      </w:pPr>
      <w: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7412AC4" w14:textId="77777777" w:rsidR="00813D3E" w:rsidRDefault="001C3459" w:rsidP="008A4A3C">
      <w:pPr>
        <w:pStyle w:val="Standard"/>
      </w:pPr>
      <w:r>
        <w:t xml:space="preserve"> </w:t>
      </w:r>
    </w:p>
    <w:p w14:paraId="1A12A920" w14:textId="77777777" w:rsidR="00813D3E" w:rsidRDefault="001C3459" w:rsidP="008A4A3C">
      <w:pPr>
        <w:pStyle w:val="Titre3"/>
      </w:pPr>
      <w:r>
        <w:t>Candidature avec les formulaires DC1 et DC2</w:t>
      </w:r>
    </w:p>
    <w:p w14:paraId="58EEF748" w14:textId="77777777" w:rsidR="00813D3E" w:rsidRDefault="00813D3E" w:rsidP="008A4A3C">
      <w:pPr>
        <w:pStyle w:val="Standard"/>
      </w:pPr>
    </w:p>
    <w:p w14:paraId="62916A02" w14:textId="77777777" w:rsidR="00813D3E" w:rsidRDefault="001C3459" w:rsidP="008A4A3C">
      <w:pPr>
        <w:pStyle w:val="Standard"/>
      </w:pPr>
      <w:r>
        <w:t>Les candidats transmettent les renseignements suivants des formulaires DC1 et DC2.</w:t>
      </w:r>
    </w:p>
    <w:p w14:paraId="7F9CBB4B" w14:textId="77777777" w:rsidR="00813D3E" w:rsidRDefault="00813D3E">
      <w:pPr>
        <w:spacing w:before="57"/>
        <w:jc w:val="both"/>
        <w:textAlignment w:val="center"/>
        <w:rPr>
          <w:rFonts w:ascii="Calibri" w:eastAsia="Arial" w:hAnsi="Calibri" w:cs="Calibri"/>
          <w:sz w:val="20"/>
        </w:rPr>
      </w:pPr>
    </w:p>
    <w:p w14:paraId="3ACA3404" w14:textId="77777777" w:rsidR="00813D3E" w:rsidRDefault="001C3459">
      <w:pPr>
        <w:spacing w:before="57"/>
        <w:jc w:val="both"/>
        <w:textAlignment w:val="center"/>
      </w:pPr>
      <w:r>
        <w:rPr>
          <w:rFonts w:ascii="Calibri" w:eastAsia="Arial" w:hAnsi="Calibri" w:cs="Calibri"/>
          <w:sz w:val="20"/>
        </w:rPr>
        <w:t xml:space="preserve">Lettre de candidature ou formulaire DC1 téléchargeable à partir du lien </w:t>
      </w:r>
      <w:hyperlink r:id="rId20" w:history="1">
        <w:r>
          <w:rPr>
            <w:rFonts w:ascii="Calibri" w:eastAsia="Arial" w:hAnsi="Calibri" w:cs="Calibri"/>
            <w:color w:val="0563C1"/>
            <w:sz w:val="20"/>
            <w:u w:val="single"/>
          </w:rPr>
          <w:t>https://www.economie.gouv.fr/daj/formulaires-declaration-du-candidat</w:t>
        </w:r>
      </w:hyperlink>
      <w:r>
        <w:rPr>
          <w:rFonts w:ascii="Calibri" w:eastAsia="Arial" w:hAnsi="Calibri" w:cs="Calibri"/>
          <w:sz w:val="20"/>
        </w:rPr>
        <w:t xml:space="preserve"> ou équivalent, dûment rempli, et daté. Dans le cas d’un groupement d’opérateurs économiques, le formulaire DC1 sera complété pour chaque membre du groupement.</w:t>
      </w:r>
    </w:p>
    <w:p w14:paraId="7A3A5C62" w14:textId="77777777" w:rsidR="00813D3E" w:rsidRDefault="00813D3E">
      <w:pPr>
        <w:spacing w:before="57"/>
        <w:jc w:val="both"/>
        <w:textAlignment w:val="center"/>
        <w:rPr>
          <w:rFonts w:ascii="Calibri" w:eastAsia="Arial" w:hAnsi="Calibri" w:cs="Calibri"/>
          <w:sz w:val="20"/>
        </w:rPr>
      </w:pPr>
    </w:p>
    <w:p w14:paraId="2BF72120" w14:textId="77777777" w:rsidR="00813D3E" w:rsidRDefault="001C3459">
      <w:pPr>
        <w:spacing w:before="57"/>
        <w:jc w:val="both"/>
        <w:textAlignment w:val="center"/>
      </w:pPr>
      <w:r>
        <w:rPr>
          <w:rFonts w:ascii="Calibri" w:eastAsia="Arial" w:hAnsi="Calibri" w:cs="Calibri"/>
          <w:sz w:val="20"/>
        </w:rPr>
        <w:t xml:space="preserve">Déclaration du candidat ou formulaire DC2 téléchargeable à partir du lien </w:t>
      </w:r>
      <w:hyperlink r:id="rId21" w:history="1">
        <w:r>
          <w:rPr>
            <w:rFonts w:ascii="Calibri" w:eastAsia="Arial" w:hAnsi="Calibri" w:cs="Calibri"/>
            <w:color w:val="0563C1"/>
            <w:sz w:val="20"/>
            <w:u w:val="single"/>
          </w:rPr>
          <w:t>https://www.economie.gouv.fr/daj/formulaires-declaration-du-candidat</w:t>
        </w:r>
      </w:hyperlink>
      <w:r>
        <w:rPr>
          <w:rFonts w:ascii="Calibri" w:eastAsia="Arial" w:hAnsi="Calibri" w:cs="Calibri"/>
          <w:sz w:val="20"/>
        </w:rPr>
        <w:t xml:space="preserve"> ou équivalent, dûment rempli et </w:t>
      </w:r>
      <w:proofErr w:type="gramStart"/>
      <w:r>
        <w:rPr>
          <w:rFonts w:ascii="Calibri" w:eastAsia="Arial" w:hAnsi="Calibri" w:cs="Calibri"/>
          <w:sz w:val="20"/>
        </w:rPr>
        <w:t>daté;</w:t>
      </w:r>
      <w:proofErr w:type="gramEnd"/>
      <w:r>
        <w:rPr>
          <w:rFonts w:ascii="Calibri" w:eastAsia="Arial" w:hAnsi="Calibri" w:cs="Calibri"/>
          <w:sz w:val="20"/>
        </w:rPr>
        <w:t xml:space="preserve"> en cas de candidature groupée, le DC2 est rempli par chaque membre du groupement.</w:t>
      </w:r>
    </w:p>
    <w:p w14:paraId="42BE967A" w14:textId="77777777" w:rsidR="00813D3E" w:rsidRDefault="001C3459" w:rsidP="008A4A3C">
      <w:pPr>
        <w:pStyle w:val="Titre3"/>
      </w:pPr>
      <w:r>
        <w:t>Précisions concernant la sous-traitance</w:t>
      </w:r>
    </w:p>
    <w:p w14:paraId="249F9599" w14:textId="77777777" w:rsidR="00813D3E" w:rsidRDefault="00813D3E" w:rsidP="008A4A3C">
      <w:pPr>
        <w:pStyle w:val="Standard"/>
      </w:pPr>
    </w:p>
    <w:p w14:paraId="193AC8CE" w14:textId="7CF786A5" w:rsidR="00813D3E" w:rsidRDefault="001C3459" w:rsidP="008A4A3C">
      <w:pPr>
        <w:pStyle w:val="Standard"/>
      </w:pPr>
      <w:r>
        <w:t xml:space="preserve">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w:t>
      </w:r>
      <w:hyperlink r:id="rId22" w:history="1">
        <w:r w:rsidR="008834DC" w:rsidRPr="00424773">
          <w:rPr>
            <w:rStyle w:val="Lienhypertexte"/>
          </w:rPr>
          <w:t>https://www.economie.gouv.fr/daj/formulaires-mise-a-jour-formulaire-declaration-sous-traitance-dans-marches-publics</w:t>
        </w:r>
      </w:hyperlink>
      <w:r w:rsidR="008834DC">
        <w:t xml:space="preserve"> </w:t>
      </w:r>
    </w:p>
    <w:p w14:paraId="7F363F7A" w14:textId="77777777" w:rsidR="00813D3E" w:rsidRDefault="00813D3E" w:rsidP="008A4A3C">
      <w:pPr>
        <w:pStyle w:val="Standard"/>
      </w:pPr>
    </w:p>
    <w:p w14:paraId="76B0905C" w14:textId="77777777" w:rsidR="00813D3E" w:rsidRDefault="001C3459" w:rsidP="008A4A3C">
      <w:pPr>
        <w:pStyle w:val="Titre3"/>
      </w:pPr>
      <w:r>
        <w:t>Tâches essentielles</w:t>
      </w:r>
    </w:p>
    <w:p w14:paraId="6E9F09D0" w14:textId="77777777" w:rsidR="00813D3E" w:rsidRDefault="00813D3E" w:rsidP="008A4A3C">
      <w:pPr>
        <w:pStyle w:val="Standard"/>
      </w:pPr>
    </w:p>
    <w:p w14:paraId="19EB9815" w14:textId="77777777" w:rsidR="008D2AB8" w:rsidRDefault="009578AA" w:rsidP="008A4A3C">
      <w:pPr>
        <w:pStyle w:val="Standard"/>
      </w:pPr>
      <w:r>
        <w:t xml:space="preserve">Les tâches essentielles suivantes doivent être exécutées par le titulaire et ne peuvent faire l'objet de sous-traitance : </w:t>
      </w:r>
    </w:p>
    <w:p w14:paraId="18D7CBB9" w14:textId="4E3BC3BA" w:rsidR="009578AA" w:rsidRDefault="008D2AB8" w:rsidP="00381F3A">
      <w:pPr>
        <w:pStyle w:val="Standard"/>
        <w:numPr>
          <w:ilvl w:val="0"/>
          <w:numId w:val="27"/>
        </w:numPr>
      </w:pPr>
      <w:r>
        <w:t xml:space="preserve">Pose et dépose des quatre groupes froids. </w:t>
      </w:r>
    </w:p>
    <w:p w14:paraId="248E3BD6" w14:textId="5A346A74" w:rsidR="00813D3E" w:rsidRDefault="001C3459" w:rsidP="008A4A3C">
      <w:pPr>
        <w:pStyle w:val="Titre2"/>
      </w:pPr>
      <w:bookmarkStart w:id="27" w:name="_Toc198913401"/>
      <w:r>
        <w:t>Motifs d'exclusion</w:t>
      </w:r>
      <w:bookmarkEnd w:id="27"/>
    </w:p>
    <w:p w14:paraId="7F9A51E3" w14:textId="77777777" w:rsidR="00813D3E" w:rsidRDefault="00813D3E" w:rsidP="008A4A3C">
      <w:pPr>
        <w:pStyle w:val="Standard"/>
      </w:pPr>
    </w:p>
    <w:p w14:paraId="5E4466CD" w14:textId="051AF1A5" w:rsidR="00813D3E" w:rsidRDefault="001C3459" w:rsidP="008A4A3C">
      <w:pPr>
        <w:pStyle w:val="Standard"/>
      </w:pPr>
      <w:r>
        <w:t>Conformément aux dispositions du code de la commande publique relative aux exclusions de plein droit et aux exclusions à l'appréciation du maître d'</w:t>
      </w:r>
      <w:r w:rsidR="009242ED">
        <w:t>ouvrage</w:t>
      </w:r>
      <w:r>
        <w:t xml:space="preserve">, les personnes se trouvant dans un des cas d'exclusion </w:t>
      </w:r>
      <w:r w:rsidR="00C56067">
        <w:t xml:space="preserve">de </w:t>
      </w:r>
      <w:proofErr w:type="gramStart"/>
      <w:r w:rsidR="00C56067">
        <w:t>pleins droit</w:t>
      </w:r>
      <w:proofErr w:type="gramEnd"/>
      <w:r w:rsidR="00C56067">
        <w:t xml:space="preserve"> </w:t>
      </w:r>
      <w:r>
        <w:t>sont exclues de la procédure.</w:t>
      </w:r>
    </w:p>
    <w:p w14:paraId="0128B1B3" w14:textId="77777777" w:rsidR="00813D3E" w:rsidRDefault="00813D3E" w:rsidP="008A4A3C">
      <w:pPr>
        <w:pStyle w:val="Standard"/>
      </w:pPr>
    </w:p>
    <w:p w14:paraId="1135D0BC" w14:textId="77777777" w:rsidR="00813D3E" w:rsidRDefault="001C3459" w:rsidP="008A4A3C">
      <w:pPr>
        <w:pStyle w:val="Standard"/>
      </w:pPr>
      <w:r>
        <w:t>Lorsqu'un opérateur économique se trouve, en cours de procédure, en situation d'exclusion, il en informe sans délai le maître d'ouvrage qui l'exclut pour ce motif.</w:t>
      </w:r>
    </w:p>
    <w:p w14:paraId="58957252" w14:textId="77777777" w:rsidR="00813D3E" w:rsidRDefault="00813D3E" w:rsidP="008A4A3C">
      <w:pPr>
        <w:pStyle w:val="Standard"/>
      </w:pPr>
    </w:p>
    <w:p w14:paraId="784F97B4" w14:textId="77777777" w:rsidR="00813D3E" w:rsidRDefault="001C3459" w:rsidP="008A4A3C">
      <w:pPr>
        <w:pStyle w:val="Standard"/>
      </w:pPr>
      <w:r>
        <w:t xml:space="preserve">En cas d'exclusion à l'appréciation de l'acheteur, l'opérateur économique présente, à la demande du maître d'ouvrage, ses observations afin d'établir qu'il a pris les mesures nécessaires ou encore que sa participation à la présente consultation </w:t>
      </w:r>
      <w:proofErr w:type="gramStart"/>
      <w:r>
        <w:t>n'est</w:t>
      </w:r>
      <w:proofErr w:type="gramEnd"/>
      <w:r>
        <w:t xml:space="preserve"> pas susceptible de porter atteinte à l'égalité de traitement.</w:t>
      </w:r>
    </w:p>
    <w:p w14:paraId="207BC9BB" w14:textId="77777777" w:rsidR="00813D3E" w:rsidRDefault="00813D3E" w:rsidP="008A4A3C">
      <w:pPr>
        <w:pStyle w:val="Standard"/>
      </w:pPr>
    </w:p>
    <w:p w14:paraId="5C74AAB1" w14:textId="77777777" w:rsidR="00813D3E" w:rsidRDefault="001C3459" w:rsidP="008A4A3C">
      <w:pPr>
        <w:pStyle w:val="Standard"/>
      </w:pPr>
      <w:r>
        <w:t>Les personnes à l'encontre desquelles il existe un motif d'exclusion ne peuvent être acceptées en tant que sous-traitant.</w:t>
      </w:r>
    </w:p>
    <w:p w14:paraId="02C52F08" w14:textId="77777777" w:rsidR="00813D3E" w:rsidRDefault="00813D3E" w:rsidP="008A4A3C">
      <w:pPr>
        <w:pStyle w:val="Standard"/>
      </w:pPr>
    </w:p>
    <w:p w14:paraId="61A9FA81" w14:textId="77777777" w:rsidR="00813D3E" w:rsidRDefault="001C3459" w:rsidP="008A4A3C">
      <w:pPr>
        <w:pStyle w:val="Standard"/>
      </w:pPr>
      <w:r>
        <w:t>Lorsque le sous-traitant à l'encontre duquel il existe un motif d'exclusion est présenté au stade de la candidature, le maître d'ouvrage exige son remplacement par une personne qui ne fait pas l'objet d'un motif d'exclusion, dans un délai de dix jours à compter de la réception de cette demande par le candidat. A défaut, le candidat est exclu de la procédure.</w:t>
      </w:r>
    </w:p>
    <w:p w14:paraId="3019C22A" w14:textId="1C4C5622" w:rsidR="00813D3E" w:rsidRDefault="001C3459" w:rsidP="008A4A3C">
      <w:pPr>
        <w:pStyle w:val="Titre2"/>
      </w:pPr>
      <w:bookmarkStart w:id="28" w:name="_Toc198913403"/>
      <w:r>
        <w:t>Examen des candidatures</w:t>
      </w:r>
      <w:bookmarkEnd w:id="28"/>
    </w:p>
    <w:p w14:paraId="673AA012" w14:textId="77777777" w:rsidR="00813D3E" w:rsidRDefault="00813D3E" w:rsidP="008A4A3C">
      <w:pPr>
        <w:pStyle w:val="Standard"/>
      </w:pPr>
    </w:p>
    <w:p w14:paraId="4F1BB212" w14:textId="77777777" w:rsidR="00813D3E" w:rsidRDefault="001C3459" w:rsidP="008A4A3C">
      <w:pPr>
        <w:pStyle w:val="Standard"/>
      </w:pPr>
      <w:r>
        <w:t>En application des dispositions de l’article R.2161-4 du code de la commande publique, le maître d’ouvrage décide d’examiner les offres avant les candidatures.</w:t>
      </w:r>
    </w:p>
    <w:p w14:paraId="748B4D14" w14:textId="77777777" w:rsidR="00813D3E" w:rsidRDefault="001C3459" w:rsidP="008A4A3C">
      <w:pPr>
        <w:pStyle w:val="Standard"/>
      </w:pPr>
      <w:r>
        <w:t>Si le maître d’ouvrage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1F18F1BA" w14:textId="77777777" w:rsidR="00813D3E" w:rsidRDefault="001C3459" w:rsidP="008A4A3C">
      <w:pPr>
        <w:pStyle w:val="Standard"/>
      </w:pPr>
      <w:r>
        <w:t>Ce délai est précisé avec la demande de complément.</w:t>
      </w:r>
    </w:p>
    <w:p w14:paraId="1AFE30FC" w14:textId="77777777" w:rsidR="00813D3E" w:rsidRDefault="001C3459" w:rsidP="008A4A3C">
      <w:pPr>
        <w:pStyle w:val="Standard"/>
      </w:pPr>
      <w:r>
        <w:t>Les candidatures incomplètes ou demeurées incomplètes à la suite d’une demande de compléments sont éliminées.</w:t>
      </w:r>
    </w:p>
    <w:p w14:paraId="24A9E0CE" w14:textId="77777777" w:rsidR="00813D3E" w:rsidRDefault="00813D3E" w:rsidP="008A4A3C">
      <w:pPr>
        <w:pStyle w:val="Standard"/>
      </w:pPr>
    </w:p>
    <w:p w14:paraId="24220D96" w14:textId="77777777" w:rsidR="00813D3E" w:rsidRDefault="001C3459" w:rsidP="008A4A3C">
      <w:pPr>
        <w:pStyle w:val="Standard"/>
      </w:pPr>
      <w:r>
        <w:lastRenderedPageBreak/>
        <w:t>Conformément à l’article R.2161-4 du code de la commande publique, seule la candidature de l’attributaire pressenti du marché public fera l’objet d’une analyse détaillée selon les critères suivants :</w:t>
      </w:r>
    </w:p>
    <w:p w14:paraId="497009A9" w14:textId="77777777" w:rsidR="00813D3E" w:rsidRDefault="001C3459" w:rsidP="008A4A3C">
      <w:pPr>
        <w:pStyle w:val="Standard"/>
      </w:pPr>
      <w:r>
        <w:t>• capacités professionnelles à réaliser les prestations (références et certificats de qualification indiqués ci-dessous) ;</w:t>
      </w:r>
    </w:p>
    <w:p w14:paraId="6A2F6DE3" w14:textId="77777777" w:rsidR="00813D3E" w:rsidRDefault="001C3459" w:rsidP="008A4A3C">
      <w:pPr>
        <w:pStyle w:val="Standard"/>
      </w:pPr>
      <w:r>
        <w:t>• capacités techniques à réaliser les prestations (moyens humains) ;</w:t>
      </w:r>
    </w:p>
    <w:p w14:paraId="389780F8" w14:textId="77777777" w:rsidR="00813D3E" w:rsidRDefault="001C3459" w:rsidP="008A4A3C">
      <w:pPr>
        <w:pStyle w:val="Standard"/>
      </w:pPr>
      <w:r>
        <w:t>• capacités financières à réaliser les prestations (chiffre d’affaires).</w:t>
      </w:r>
    </w:p>
    <w:p w14:paraId="273B8C54" w14:textId="77777777" w:rsidR="00813D3E" w:rsidRDefault="001C3459" w:rsidP="008A4A3C">
      <w:pPr>
        <w:pStyle w:val="Titre3"/>
      </w:pPr>
      <w:r>
        <w:t>Vérification des conditions de participation : liste des documents justificatifs</w:t>
      </w:r>
    </w:p>
    <w:p w14:paraId="32832B03" w14:textId="77777777" w:rsidR="00813D3E" w:rsidRDefault="00813D3E" w:rsidP="008A4A3C">
      <w:pPr>
        <w:pStyle w:val="Standard"/>
      </w:pPr>
    </w:p>
    <w:p w14:paraId="6D15EA47" w14:textId="77777777" w:rsidR="00813D3E" w:rsidRDefault="001C3459" w:rsidP="008A4A3C">
      <w:pPr>
        <w:pStyle w:val="Standard"/>
      </w:pPr>
      <w:r>
        <w:t>Les documents justificatifs concernant les aptitudes et capacités sont :</w:t>
      </w:r>
    </w:p>
    <w:p w14:paraId="7CC99DF9" w14:textId="77777777" w:rsidR="00813D3E" w:rsidRDefault="00813D3E" w:rsidP="008A4A3C">
      <w:pPr>
        <w:pStyle w:val="Standard"/>
      </w:pPr>
    </w:p>
    <w:p w14:paraId="5DBE6725" w14:textId="77777777" w:rsidR="00813D3E" w:rsidRDefault="001C3459" w:rsidP="00381F3A">
      <w:pPr>
        <w:pStyle w:val="Standard"/>
        <w:numPr>
          <w:ilvl w:val="0"/>
          <w:numId w:val="19"/>
        </w:numPr>
      </w:pPr>
      <w:r>
        <w:t>La lettre de candidature et de désignation du mandataire par ses cotraitants (exemple formulaire DC1 modèle joint) obligatoire en cas de groupement ;</w:t>
      </w:r>
    </w:p>
    <w:p w14:paraId="6C87E2DC" w14:textId="77777777" w:rsidR="00813D3E" w:rsidRDefault="001C3459" w:rsidP="00381F3A">
      <w:pPr>
        <w:pStyle w:val="Standard"/>
        <w:numPr>
          <w:ilvl w:val="0"/>
          <w:numId w:val="19"/>
        </w:numPr>
      </w:pPr>
      <w:r>
        <w:t>Une déclaration sur l’honneur pour justifier que le candidat n’entre dans aucun des cas mentionnés à l’article R2143-3 du code de la commande publique et qu’il est en règle au regard des articles L.5212-1 à L.5212-11 du code du travail concernant l’emploi des travailleurs handicapés (modèle joint) ;</w:t>
      </w:r>
    </w:p>
    <w:p w14:paraId="34170BC2" w14:textId="77777777" w:rsidR="00813D3E" w:rsidRDefault="001C3459" w:rsidP="00381F3A">
      <w:pPr>
        <w:pStyle w:val="Standard"/>
        <w:numPr>
          <w:ilvl w:val="0"/>
          <w:numId w:val="19"/>
        </w:numPr>
      </w:pPr>
      <w:r>
        <w:t>Une déclaration concernant le chiffre d’affaires global réalisé au cours de la dernière année d’exercice exemple : DC2 modèle joint ;</w:t>
      </w:r>
    </w:p>
    <w:p w14:paraId="732AD270" w14:textId="77777777" w:rsidR="00813D3E" w:rsidRPr="00433074" w:rsidRDefault="001C3459" w:rsidP="00381F3A">
      <w:pPr>
        <w:pStyle w:val="Standard"/>
        <w:numPr>
          <w:ilvl w:val="0"/>
          <w:numId w:val="19"/>
        </w:numPr>
      </w:pPr>
      <w:r>
        <w:t xml:space="preserve">La liste des principales prestations – références – de même nature effectuées au cours des trois dernières années, indiquant le montant, la date et le destinataire public ou privé (exemple : DC2 modèle joint) Cette liste peut être complétée par des références datant de </w:t>
      </w:r>
      <w:r w:rsidRPr="00433074">
        <w:t>plus de 3 ans si elles sont pertinentes par rapport à l'objet du marché ;</w:t>
      </w:r>
    </w:p>
    <w:p w14:paraId="4CD7FF09" w14:textId="77777777" w:rsidR="00813D3E" w:rsidRPr="00433074" w:rsidRDefault="001C3459" w:rsidP="00381F3A">
      <w:pPr>
        <w:pStyle w:val="Standard"/>
        <w:numPr>
          <w:ilvl w:val="0"/>
          <w:numId w:val="19"/>
        </w:numPr>
      </w:pPr>
      <w:r w:rsidRPr="00433074">
        <w:t xml:space="preserve">Une déclaration indiquant les effectifs moyens annuels du candidat pour la dernière année d’exercice (exemple : DC2 modèle joint) ; </w:t>
      </w:r>
    </w:p>
    <w:p w14:paraId="4F827E02" w14:textId="7DC30D2E" w:rsidR="001D7CFB" w:rsidRPr="00433074" w:rsidRDefault="001C3459" w:rsidP="00381F3A">
      <w:pPr>
        <w:pStyle w:val="Standard"/>
        <w:numPr>
          <w:ilvl w:val="0"/>
          <w:numId w:val="19"/>
        </w:numPr>
      </w:pPr>
      <w:r w:rsidRPr="00433074">
        <w:t xml:space="preserve">Les certificats de qualification professionnelle </w:t>
      </w:r>
      <w:r w:rsidR="00433074" w:rsidRPr="00433074">
        <w:t xml:space="preserve">frigoriste </w:t>
      </w:r>
      <w:r w:rsidRPr="00433074">
        <w:rPr>
          <w:u w:val="single"/>
        </w:rPr>
        <w:t>ou équivalents</w:t>
      </w:r>
      <w:r w:rsidR="00433074" w:rsidRPr="00433074">
        <w:rPr>
          <w:u w:val="single"/>
        </w:rPr>
        <w:t xml:space="preserve">. </w:t>
      </w:r>
      <w:r w:rsidRPr="00433074">
        <w:t xml:space="preserve"> </w:t>
      </w:r>
    </w:p>
    <w:p w14:paraId="3B45762F" w14:textId="77777777" w:rsidR="006F5888" w:rsidRDefault="006F5888" w:rsidP="006F5888">
      <w:pPr>
        <w:pStyle w:val="Standard"/>
        <w:ind w:left="706" w:firstLine="706"/>
      </w:pPr>
    </w:p>
    <w:p w14:paraId="650BBD64" w14:textId="77777777" w:rsidR="00813D3E" w:rsidRDefault="001C3459" w:rsidP="008A4A3C">
      <w:pPr>
        <w:pStyle w:val="Titre3"/>
      </w:pPr>
      <w:r>
        <w:t>Vérification des motifs d'exclusion</w:t>
      </w:r>
    </w:p>
    <w:p w14:paraId="0E6D95CD" w14:textId="77777777" w:rsidR="00813D3E" w:rsidRDefault="00813D3E" w:rsidP="008A4A3C">
      <w:pPr>
        <w:pStyle w:val="Standard"/>
      </w:pPr>
    </w:p>
    <w:p w14:paraId="1D187F3D" w14:textId="77777777" w:rsidR="00813D3E" w:rsidRDefault="001C3459" w:rsidP="008A4A3C">
      <w:pPr>
        <w:pStyle w:val="Standard"/>
      </w:pPr>
      <w:r>
        <w:t>En application des dispositions de R.2144-4 du code de la commande publique, le maître d'ouvrage n'exige que du seul soumissionnaire auquel il est envisagé d'attribuer le marché public qu'il justifie ne pas se trouver dans un des cas des motifs d'exclusion.</w:t>
      </w:r>
    </w:p>
    <w:p w14:paraId="4FD60F9D" w14:textId="77777777" w:rsidR="00813D3E" w:rsidRDefault="00813D3E" w:rsidP="008A4A3C">
      <w:pPr>
        <w:pStyle w:val="Standard"/>
      </w:pPr>
    </w:p>
    <w:p w14:paraId="29D8FA81" w14:textId="77777777" w:rsidR="008D2AB8" w:rsidRDefault="008D2AB8" w:rsidP="008A4A3C">
      <w:pPr>
        <w:pStyle w:val="Standard"/>
      </w:pPr>
    </w:p>
    <w:p w14:paraId="4D7E37DD" w14:textId="77777777" w:rsidR="008D2AB8" w:rsidRDefault="008D2AB8" w:rsidP="008A4A3C">
      <w:pPr>
        <w:pStyle w:val="Standard"/>
      </w:pPr>
    </w:p>
    <w:p w14:paraId="6221ECAC" w14:textId="62EDDF8F" w:rsidR="00813D3E" w:rsidRDefault="001C3459" w:rsidP="008A4A3C">
      <w:pPr>
        <w:pStyle w:val="Titre1"/>
      </w:pPr>
      <w:bookmarkStart w:id="29" w:name="_Toc198913404"/>
      <w:r>
        <w:t>OFFRE</w:t>
      </w:r>
      <w:bookmarkEnd w:id="29"/>
    </w:p>
    <w:p w14:paraId="4A817F3D" w14:textId="0F52926B" w:rsidR="00813D3E" w:rsidRDefault="001C3459" w:rsidP="008A4A3C">
      <w:pPr>
        <w:pStyle w:val="Titre2"/>
      </w:pPr>
      <w:bookmarkStart w:id="30" w:name="_Toc198913405"/>
      <w:r>
        <w:t>Présentation de l'offre</w:t>
      </w:r>
      <w:bookmarkEnd w:id="30"/>
    </w:p>
    <w:p w14:paraId="64FB318E" w14:textId="77777777" w:rsidR="00813D3E" w:rsidRDefault="00813D3E" w:rsidP="008A4A3C">
      <w:pPr>
        <w:pStyle w:val="Standard"/>
      </w:pPr>
    </w:p>
    <w:p w14:paraId="13A91218" w14:textId="77777777" w:rsidR="00813D3E" w:rsidRDefault="001C3459" w:rsidP="008A4A3C">
      <w:pPr>
        <w:pStyle w:val="Standard"/>
      </w:pPr>
      <w:r>
        <w:t>L’offre du candidat comporte les pièces suivantes :</w:t>
      </w:r>
    </w:p>
    <w:p w14:paraId="5827DFB6" w14:textId="64A0746C" w:rsidR="00813D3E" w:rsidRDefault="001C3459" w:rsidP="008D2AB8">
      <w:pPr>
        <w:pStyle w:val="Standard"/>
        <w:ind w:left="706"/>
      </w:pPr>
      <w:r>
        <w:t>- l’acte d’engagement dûment complété ;</w:t>
      </w:r>
    </w:p>
    <w:p w14:paraId="170DD27B" w14:textId="77777777" w:rsidR="0012057B" w:rsidRDefault="001C3459" w:rsidP="008D2AB8">
      <w:pPr>
        <w:pStyle w:val="Standard"/>
        <w:ind w:left="706"/>
      </w:pPr>
      <w:r>
        <w:t xml:space="preserve">- </w:t>
      </w:r>
      <w:r w:rsidR="0012057B">
        <w:t xml:space="preserve">le bordereau de prix unitaire ; </w:t>
      </w:r>
    </w:p>
    <w:p w14:paraId="345D4454" w14:textId="0FBF992A" w:rsidR="00813D3E" w:rsidRDefault="0012057B" w:rsidP="008D2AB8">
      <w:pPr>
        <w:pStyle w:val="Standard"/>
        <w:ind w:left="706"/>
      </w:pPr>
      <w:r>
        <w:t xml:space="preserve">- </w:t>
      </w:r>
      <w:r w:rsidR="001C3459">
        <w:t>l</w:t>
      </w:r>
      <w:r w:rsidR="008D2AB8" w:rsidRPr="008D2AB8">
        <w:t xml:space="preserve">a Décomposition des Prix Globale et Forfaitaire </w:t>
      </w:r>
      <w:r w:rsidR="001C3459">
        <w:t>dûment complété</w:t>
      </w:r>
      <w:r w:rsidR="008D2AB8">
        <w:t xml:space="preserve"> </w:t>
      </w:r>
      <w:r w:rsidR="001C3459">
        <w:t>;</w:t>
      </w:r>
    </w:p>
    <w:p w14:paraId="6A01B5D8" w14:textId="77777777" w:rsidR="0012057B" w:rsidRDefault="0012057B" w:rsidP="0012057B">
      <w:pPr>
        <w:pStyle w:val="Standard"/>
        <w:ind w:left="706"/>
      </w:pPr>
      <w:r>
        <w:t>- le cadre de réponse technique complété par le candidat ;</w:t>
      </w:r>
    </w:p>
    <w:p w14:paraId="79132374" w14:textId="335CC0BF" w:rsidR="00813D3E" w:rsidRDefault="001C3459" w:rsidP="008D2AB8">
      <w:pPr>
        <w:pStyle w:val="Standard"/>
        <w:ind w:left="706"/>
      </w:pPr>
      <w:r>
        <w:t>-</w:t>
      </w:r>
      <w:r w:rsidR="008D2AB8">
        <w:t xml:space="preserve"> </w:t>
      </w:r>
      <w:r>
        <w:t>le cas échéant, la demande d’acceptation des sous-traitants et d’agrément de leurs conditions de paiement ; la part des prestations que le soumissionnaire a l’intention de sous-traiter</w:t>
      </w:r>
      <w:r w:rsidR="007A1409">
        <w:t xml:space="preserve"> (DC4)</w:t>
      </w:r>
      <w:r>
        <w:t>,</w:t>
      </w:r>
    </w:p>
    <w:p w14:paraId="434B50C9" w14:textId="77777777" w:rsidR="00813D3E" w:rsidRDefault="001C3459" w:rsidP="008D2AB8">
      <w:pPr>
        <w:pStyle w:val="Standard"/>
        <w:ind w:left="706"/>
      </w:pPr>
      <w:r>
        <w:t>- l’attestation de visite obligatoire, signée par un représentant du maître d’ouvrage.</w:t>
      </w:r>
    </w:p>
    <w:p w14:paraId="3DD6660F" w14:textId="602D0C59" w:rsidR="0012057B" w:rsidRDefault="0012057B" w:rsidP="008D2AB8">
      <w:pPr>
        <w:pStyle w:val="Standard"/>
        <w:ind w:left="706"/>
      </w:pPr>
      <w:r>
        <w:t>- Le RIB ;</w:t>
      </w:r>
    </w:p>
    <w:p w14:paraId="2DE8E0AB" w14:textId="410DDE3F" w:rsidR="008D2AB8" w:rsidRDefault="008D2AB8" w:rsidP="008D2AB8">
      <w:pPr>
        <w:pStyle w:val="Standard"/>
        <w:ind w:left="706"/>
      </w:pPr>
      <w:r>
        <w:lastRenderedPageBreak/>
        <w:t xml:space="preserve">- le récépissé du questionnaire égalité à obtenir via le lien suivant : </w:t>
      </w:r>
      <w:hyperlink r:id="rId23" w:history="1">
        <w:r w:rsidRPr="00B601C4">
          <w:rPr>
            <w:rStyle w:val="Lienhypertexte"/>
          </w:rPr>
          <w:t>https://minculture.sphinxonline.net/SurveyServer/s/MC-DirectionMetier8/Questionnaire-egalitediversite/questionnaire.htm</w:t>
        </w:r>
      </w:hyperlink>
      <w:r>
        <w:t xml:space="preserve"> </w:t>
      </w:r>
    </w:p>
    <w:p w14:paraId="7A7B3536" w14:textId="7E5DC394" w:rsidR="00813D3E" w:rsidRDefault="001C3459" w:rsidP="008A4A3C">
      <w:pPr>
        <w:pStyle w:val="Titre2"/>
      </w:pPr>
      <w:bookmarkStart w:id="31" w:name="_Toc198913406"/>
      <w:r>
        <w:t>Examen des offres</w:t>
      </w:r>
      <w:bookmarkEnd w:id="31"/>
    </w:p>
    <w:p w14:paraId="63B558AB" w14:textId="77777777" w:rsidR="00813D3E" w:rsidRDefault="00813D3E" w:rsidP="008A4A3C">
      <w:pPr>
        <w:pStyle w:val="Standard"/>
      </w:pPr>
    </w:p>
    <w:p w14:paraId="3F17824B" w14:textId="397A883A" w:rsidR="00813D3E" w:rsidRDefault="001C3459" w:rsidP="008A4A3C">
      <w:pPr>
        <w:pStyle w:val="Standard"/>
      </w:pPr>
      <w:r>
        <w:t>Les offres inappropriées, sont éliminées.</w:t>
      </w:r>
    </w:p>
    <w:p w14:paraId="03EE5FDA" w14:textId="270B64EB" w:rsidR="00813D3E" w:rsidRDefault="001C3459" w:rsidP="008A4A3C">
      <w:pPr>
        <w:pStyle w:val="Standard"/>
      </w:pPr>
      <w:r>
        <w:t>Toutefois, le maître d'ouvrage peut autoriser tous les soumissionnaires concernés à régulariser les offres irrégulières dans un délai approprié, à condition qu'elles ne soient pas anormalement basses et que cette régularisation n'ait pas pour effet de modifier les caractéristi</w:t>
      </w:r>
      <w:r w:rsidR="000B7740">
        <w:t>ques substantielles des offres.</w:t>
      </w:r>
    </w:p>
    <w:p w14:paraId="6ADFD12F" w14:textId="111CFDC8" w:rsidR="00813D3E" w:rsidRDefault="001C3459" w:rsidP="008A4A3C">
      <w:pPr>
        <w:pStyle w:val="Titre2"/>
      </w:pPr>
      <w:bookmarkStart w:id="32" w:name="_Toc198913407"/>
      <w:r>
        <w:t>Critères d'attribution</w:t>
      </w:r>
      <w:bookmarkEnd w:id="32"/>
    </w:p>
    <w:p w14:paraId="2768F19C" w14:textId="77777777" w:rsidR="00813D3E" w:rsidRDefault="00813D3E" w:rsidP="008A4A3C">
      <w:pPr>
        <w:pStyle w:val="Standard"/>
      </w:pPr>
    </w:p>
    <w:p w14:paraId="0009B921" w14:textId="77777777" w:rsidR="00813D3E" w:rsidRDefault="001C3459" w:rsidP="008A4A3C">
      <w:pPr>
        <w:pStyle w:val="Standard"/>
      </w:pPr>
      <w:r>
        <w:t>Les critères d'attribution sont listés dans le tableau suivant :</w:t>
      </w:r>
    </w:p>
    <w:p w14:paraId="100FD718" w14:textId="77777777" w:rsidR="00813D3E" w:rsidRDefault="00813D3E" w:rsidP="008A4A3C">
      <w:pPr>
        <w:pStyle w:val="Standard"/>
      </w:pPr>
    </w:p>
    <w:tbl>
      <w:tblPr>
        <w:tblW w:w="9638" w:type="dxa"/>
        <w:tblLayout w:type="fixed"/>
        <w:tblCellMar>
          <w:left w:w="10" w:type="dxa"/>
          <w:right w:w="10" w:type="dxa"/>
        </w:tblCellMar>
        <w:tblLook w:val="04A0" w:firstRow="1" w:lastRow="0" w:firstColumn="1" w:lastColumn="0" w:noHBand="0" w:noVBand="1"/>
      </w:tblPr>
      <w:tblGrid>
        <w:gridCol w:w="5809"/>
        <w:gridCol w:w="3829"/>
      </w:tblGrid>
      <w:tr w:rsidR="00813D3E" w14:paraId="1AE03F37" w14:textId="77777777" w:rsidTr="009953F5">
        <w:tc>
          <w:tcPr>
            <w:tcW w:w="5809" w:type="dxa"/>
            <w:tcBorders>
              <w:top w:val="single" w:sz="2" w:space="0" w:color="000000"/>
              <w:left w:val="single" w:sz="2" w:space="0" w:color="000000"/>
              <w:bottom w:val="single" w:sz="2" w:space="0" w:color="000000"/>
            </w:tcBorders>
            <w:shd w:val="clear" w:color="auto" w:fill="C0C0C0"/>
            <w:tcMar>
              <w:top w:w="55" w:type="dxa"/>
              <w:left w:w="55" w:type="dxa"/>
              <w:bottom w:w="55" w:type="dxa"/>
              <w:right w:w="55" w:type="dxa"/>
            </w:tcMar>
          </w:tcPr>
          <w:p w14:paraId="4ABB7EB9" w14:textId="77777777" w:rsidR="00813D3E" w:rsidRPr="009953F5" w:rsidRDefault="001C3459">
            <w:pPr>
              <w:widowControl/>
              <w:suppressLineNumbers/>
              <w:spacing w:before="120" w:after="120"/>
              <w:jc w:val="center"/>
              <w:textAlignment w:val="center"/>
              <w:rPr>
                <w:rFonts w:ascii="Arial" w:eastAsia="Arial" w:hAnsi="Arial" w:cs="Arial"/>
                <w:b/>
                <w:bCs/>
                <w:iCs/>
                <w:sz w:val="22"/>
                <w:szCs w:val="22"/>
                <w:lang w:eastAsia="zh-CN" w:bidi="hi-IN"/>
              </w:rPr>
            </w:pPr>
            <w:r w:rsidRPr="009953F5">
              <w:rPr>
                <w:rFonts w:ascii="Arial" w:eastAsia="Arial" w:hAnsi="Arial" w:cs="Arial"/>
                <w:b/>
                <w:bCs/>
                <w:iCs/>
                <w:sz w:val="22"/>
                <w:szCs w:val="22"/>
                <w:lang w:eastAsia="zh-CN" w:bidi="hi-IN"/>
              </w:rPr>
              <w:t>Critères</w:t>
            </w:r>
          </w:p>
        </w:tc>
        <w:tc>
          <w:tcPr>
            <w:tcW w:w="3829" w:type="dxa"/>
            <w:tcBorders>
              <w:top w:val="single" w:sz="2" w:space="0" w:color="000000"/>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14:paraId="15F95FE3" w14:textId="77777777" w:rsidR="00813D3E" w:rsidRPr="009953F5" w:rsidRDefault="001C3459">
            <w:pPr>
              <w:widowControl/>
              <w:suppressLineNumbers/>
              <w:spacing w:before="120" w:after="120"/>
              <w:jc w:val="center"/>
              <w:textAlignment w:val="center"/>
              <w:rPr>
                <w:rFonts w:ascii="Arial" w:eastAsia="Arial" w:hAnsi="Arial" w:cs="Arial"/>
                <w:b/>
                <w:bCs/>
                <w:iCs/>
                <w:sz w:val="22"/>
                <w:szCs w:val="22"/>
                <w:lang w:eastAsia="zh-CN" w:bidi="hi-IN"/>
              </w:rPr>
            </w:pPr>
            <w:r w:rsidRPr="009953F5">
              <w:rPr>
                <w:rFonts w:ascii="Arial" w:eastAsia="Arial" w:hAnsi="Arial" w:cs="Arial"/>
                <w:b/>
                <w:bCs/>
                <w:iCs/>
                <w:sz w:val="22"/>
                <w:szCs w:val="22"/>
                <w:lang w:eastAsia="zh-CN" w:bidi="hi-IN"/>
              </w:rPr>
              <w:t>Pondération</w:t>
            </w:r>
          </w:p>
        </w:tc>
      </w:tr>
      <w:tr w:rsidR="00813D3E" w14:paraId="273B85DE" w14:textId="77777777" w:rsidTr="009953F5">
        <w:tc>
          <w:tcPr>
            <w:tcW w:w="5809" w:type="dxa"/>
            <w:tcBorders>
              <w:left w:val="single" w:sz="2" w:space="0" w:color="000000"/>
              <w:bottom w:val="single" w:sz="4" w:space="0" w:color="000000"/>
            </w:tcBorders>
            <w:shd w:val="clear" w:color="auto" w:fill="auto"/>
            <w:tcMar>
              <w:top w:w="55" w:type="dxa"/>
              <w:left w:w="55" w:type="dxa"/>
              <w:bottom w:w="55" w:type="dxa"/>
              <w:right w:w="55" w:type="dxa"/>
            </w:tcMar>
          </w:tcPr>
          <w:p w14:paraId="27E5D9DA" w14:textId="40E894CB" w:rsidR="00813D3E" w:rsidRPr="00433074" w:rsidRDefault="009578AA">
            <w:pPr>
              <w:widowControl/>
              <w:suppressLineNumbers/>
              <w:spacing w:before="120" w:after="120"/>
              <w:jc w:val="both"/>
              <w:textAlignment w:val="center"/>
              <w:rPr>
                <w:rFonts w:ascii="Arial" w:eastAsia="Arial" w:hAnsi="Arial" w:cs="Arial"/>
                <w:b/>
                <w:bCs/>
                <w:iCs/>
                <w:sz w:val="20"/>
                <w:szCs w:val="20"/>
                <w:shd w:val="clear" w:color="auto" w:fill="FFFF00"/>
                <w:lang w:eastAsia="zh-CN" w:bidi="hi-IN"/>
              </w:rPr>
            </w:pPr>
            <w:r w:rsidRPr="00433074">
              <w:rPr>
                <w:rFonts w:ascii="Arial" w:hAnsi="Arial" w:cs="Arial"/>
                <w:b/>
                <w:sz w:val="20"/>
                <w:szCs w:val="20"/>
              </w:rPr>
              <w:t>Qualité de l'offre</w:t>
            </w:r>
          </w:p>
        </w:tc>
        <w:tc>
          <w:tcPr>
            <w:tcW w:w="3829" w:type="dxa"/>
            <w:tcBorders>
              <w:left w:val="single" w:sz="2" w:space="0" w:color="000000"/>
              <w:bottom w:val="single" w:sz="4" w:space="0" w:color="000000"/>
              <w:right w:val="single" w:sz="2" w:space="0" w:color="000000"/>
            </w:tcBorders>
            <w:shd w:val="clear" w:color="auto" w:fill="auto"/>
            <w:tcMar>
              <w:top w:w="55" w:type="dxa"/>
              <w:left w:w="55" w:type="dxa"/>
              <w:bottom w:w="55" w:type="dxa"/>
              <w:right w:w="55" w:type="dxa"/>
            </w:tcMar>
          </w:tcPr>
          <w:p w14:paraId="37E354DD" w14:textId="1FE9E90F" w:rsidR="00813D3E" w:rsidRPr="00433074" w:rsidRDefault="009578AA" w:rsidP="009578AA">
            <w:pPr>
              <w:widowControl/>
              <w:suppressLineNumbers/>
              <w:spacing w:before="120" w:after="120"/>
              <w:jc w:val="center"/>
              <w:textAlignment w:val="center"/>
              <w:rPr>
                <w:rFonts w:ascii="Arial" w:eastAsia="Arial" w:hAnsi="Arial" w:cs="Arial"/>
                <w:b/>
                <w:bCs/>
                <w:iCs/>
                <w:sz w:val="20"/>
                <w:szCs w:val="20"/>
                <w:shd w:val="clear" w:color="auto" w:fill="FFFF00"/>
                <w:lang w:eastAsia="zh-CN" w:bidi="hi-IN"/>
              </w:rPr>
            </w:pPr>
            <w:r w:rsidRPr="00433074">
              <w:rPr>
                <w:rFonts w:ascii="Arial" w:hAnsi="Arial" w:cs="Arial"/>
                <w:b/>
                <w:sz w:val="20"/>
                <w:szCs w:val="20"/>
              </w:rPr>
              <w:t>50%</w:t>
            </w:r>
          </w:p>
        </w:tc>
      </w:tr>
      <w:tr w:rsidR="00813D3E" w14:paraId="52A5BB73" w14:textId="77777777" w:rsidTr="009953F5">
        <w:tc>
          <w:tcPr>
            <w:tcW w:w="58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82E2CC" w14:textId="20C06488" w:rsidR="00813D3E" w:rsidRPr="00433074" w:rsidRDefault="009578AA">
            <w:pPr>
              <w:widowControl/>
              <w:suppressLineNumbers/>
              <w:spacing w:before="120" w:after="120"/>
              <w:jc w:val="both"/>
              <w:textAlignment w:val="center"/>
              <w:rPr>
                <w:rFonts w:ascii="Arial" w:eastAsia="Arial" w:hAnsi="Arial" w:cs="Arial"/>
                <w:b/>
                <w:bCs/>
                <w:iCs/>
                <w:sz w:val="20"/>
                <w:szCs w:val="20"/>
                <w:shd w:val="clear" w:color="auto" w:fill="FFFF00"/>
                <w:lang w:eastAsia="zh-CN" w:bidi="hi-IN"/>
              </w:rPr>
            </w:pPr>
            <w:r w:rsidRPr="00433074">
              <w:rPr>
                <w:rFonts w:ascii="Arial" w:hAnsi="Arial" w:cs="Arial"/>
                <w:b/>
                <w:sz w:val="20"/>
                <w:szCs w:val="20"/>
              </w:rPr>
              <w:t>Prix de l'offre</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0435878" w14:textId="271AEB2E" w:rsidR="00813D3E" w:rsidRPr="00433074" w:rsidRDefault="009578AA" w:rsidP="000B7740">
            <w:pPr>
              <w:pStyle w:val="Standard"/>
              <w:jc w:val="center"/>
              <w:rPr>
                <w:rFonts w:eastAsia="Arial"/>
                <w:bCs/>
                <w:iCs/>
                <w:shd w:val="clear" w:color="auto" w:fill="FFFF00"/>
                <w:lang w:eastAsia="zh-CN" w:bidi="hi-IN"/>
              </w:rPr>
            </w:pPr>
            <w:r w:rsidRPr="00433074">
              <w:t>40%</w:t>
            </w:r>
          </w:p>
        </w:tc>
      </w:tr>
      <w:tr w:rsidR="00902965" w14:paraId="3704351A" w14:textId="77777777" w:rsidTr="009953F5">
        <w:tc>
          <w:tcPr>
            <w:tcW w:w="58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71F578" w14:textId="400A23E3" w:rsidR="00902965" w:rsidRPr="00433074" w:rsidRDefault="00902965" w:rsidP="00902965">
            <w:pPr>
              <w:widowControl/>
              <w:suppressLineNumbers/>
              <w:spacing w:before="120" w:after="120"/>
              <w:jc w:val="both"/>
              <w:textAlignment w:val="center"/>
              <w:rPr>
                <w:rFonts w:ascii="Arial" w:hAnsi="Arial" w:cs="Arial"/>
                <w:b/>
                <w:sz w:val="20"/>
                <w:szCs w:val="20"/>
              </w:rPr>
            </w:pPr>
            <w:r w:rsidRPr="00433074">
              <w:rPr>
                <w:rFonts w:ascii="Arial" w:hAnsi="Arial" w:cs="Arial"/>
                <w:b/>
                <w:sz w:val="20"/>
                <w:szCs w:val="20"/>
              </w:rPr>
              <w:t>Performances environnementales</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E2D4A3" w14:textId="600F9048" w:rsidR="00902965" w:rsidRPr="00433074" w:rsidRDefault="00902965" w:rsidP="00902965">
            <w:pPr>
              <w:pStyle w:val="Standard"/>
              <w:jc w:val="center"/>
            </w:pPr>
            <w:r w:rsidRPr="00433074">
              <w:t>10%</w:t>
            </w:r>
          </w:p>
        </w:tc>
      </w:tr>
    </w:tbl>
    <w:p w14:paraId="65EEC6C2" w14:textId="24DB080B" w:rsidR="00813D3E" w:rsidRDefault="00813D3E" w:rsidP="008A4A3C">
      <w:pPr>
        <w:pStyle w:val="Standard"/>
      </w:pPr>
    </w:p>
    <w:p w14:paraId="402802E3" w14:textId="3A043E29" w:rsidR="00813D3E" w:rsidRPr="006B3357" w:rsidRDefault="006B3357" w:rsidP="00381F3A">
      <w:pPr>
        <w:pStyle w:val="Paragraphedeliste"/>
        <w:widowControl/>
        <w:numPr>
          <w:ilvl w:val="0"/>
          <w:numId w:val="20"/>
        </w:numPr>
        <w:spacing w:before="57"/>
        <w:jc w:val="both"/>
        <w:textAlignment w:val="center"/>
        <w:rPr>
          <w:b/>
        </w:rPr>
      </w:pPr>
      <w:r w:rsidRPr="006B3357">
        <w:rPr>
          <w:rFonts w:ascii="Arial" w:eastAsia="Arial" w:hAnsi="Arial" w:cs="Arial"/>
          <w:b/>
          <w:sz w:val="22"/>
          <w:szCs w:val="20"/>
          <w:u w:val="single"/>
        </w:rPr>
        <w:t>METHODE DE NOTATION DU CRITERE DE LA QUALITE (PONDERATION 50%</w:t>
      </w:r>
      <w:proofErr w:type="gramStart"/>
      <w:r w:rsidRPr="006B3357">
        <w:rPr>
          <w:rFonts w:ascii="Arial" w:eastAsia="Arial" w:hAnsi="Arial" w:cs="Arial"/>
          <w:b/>
          <w:sz w:val="22"/>
          <w:szCs w:val="20"/>
          <w:u w:val="single"/>
        </w:rPr>
        <w:t>)</w:t>
      </w:r>
      <w:r w:rsidRPr="006B3357">
        <w:rPr>
          <w:rFonts w:ascii="Arial" w:eastAsia="Arial" w:hAnsi="Arial" w:cs="Arial"/>
          <w:b/>
          <w:sz w:val="22"/>
          <w:szCs w:val="20"/>
        </w:rPr>
        <w:t>:</w:t>
      </w:r>
      <w:proofErr w:type="gramEnd"/>
    </w:p>
    <w:p w14:paraId="5A0394DB" w14:textId="7B7C3A0E" w:rsidR="00813D3E" w:rsidRPr="006B3357" w:rsidRDefault="00813D3E">
      <w:pPr>
        <w:widowControl/>
        <w:spacing w:before="57"/>
        <w:jc w:val="both"/>
        <w:textAlignment w:val="center"/>
        <w:rPr>
          <w:rFonts w:ascii="Arial" w:eastAsia="Arial" w:hAnsi="Arial" w:cs="Arial"/>
          <w:sz w:val="20"/>
          <w:szCs w:val="20"/>
        </w:rPr>
      </w:pPr>
    </w:p>
    <w:p w14:paraId="450CC865" w14:textId="763B5F98" w:rsidR="00813D3E" w:rsidRDefault="001C3459">
      <w:pPr>
        <w:keepLines/>
        <w:widowControl/>
        <w:spacing w:before="57"/>
        <w:jc w:val="both"/>
        <w:textAlignment w:val="center"/>
        <w:rPr>
          <w:rFonts w:ascii="Arial" w:eastAsia="Arial" w:hAnsi="Arial" w:cs="Arial"/>
          <w:sz w:val="20"/>
          <w:szCs w:val="20"/>
        </w:rPr>
      </w:pPr>
      <w:r w:rsidRPr="00535B94">
        <w:rPr>
          <w:rFonts w:ascii="Arial" w:eastAsia="Arial" w:hAnsi="Arial" w:cs="Arial"/>
          <w:sz w:val="20"/>
          <w:szCs w:val="20"/>
        </w:rPr>
        <w:t>Chaque sous-critère sera noté sur 10 puis pondéré, enfin la qualité technique de l’offre sera ramenée à une note globale sur 10 points, avec un coefficient de pondération de 50 % de la note finale.</w:t>
      </w:r>
    </w:p>
    <w:p w14:paraId="47D3639A" w14:textId="77777777" w:rsidR="009953F5" w:rsidRDefault="009953F5">
      <w:pPr>
        <w:keepLines/>
        <w:widowControl/>
        <w:spacing w:before="57"/>
        <w:jc w:val="both"/>
        <w:textAlignment w:val="center"/>
        <w:rPr>
          <w:rFonts w:ascii="Arial" w:eastAsia="Arial" w:hAnsi="Arial" w:cs="Arial"/>
          <w:sz w:val="20"/>
          <w:szCs w:val="20"/>
        </w:rPr>
      </w:pPr>
    </w:p>
    <w:tbl>
      <w:tblPr>
        <w:tblW w:w="9944" w:type="dxa"/>
        <w:tblInd w:w="-55" w:type="dxa"/>
        <w:tblLayout w:type="fixed"/>
        <w:tblLook w:val="0000" w:firstRow="0" w:lastRow="0" w:firstColumn="0" w:lastColumn="0" w:noHBand="0" w:noVBand="0"/>
      </w:tblPr>
      <w:tblGrid>
        <w:gridCol w:w="9944"/>
      </w:tblGrid>
      <w:tr w:rsidR="009953F5" w:rsidRPr="00CD7A5B" w14:paraId="2891432C" w14:textId="77777777" w:rsidTr="00447D8B">
        <w:tc>
          <w:tcPr>
            <w:tcW w:w="5953" w:type="dxa"/>
            <w:shd w:val="clear" w:color="auto" w:fill="auto"/>
          </w:tcPr>
          <w:p w14:paraId="3C319A9B"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r w:rsidRPr="00CD7A5B">
              <w:rPr>
                <w:rFonts w:eastAsia="Arial" w:cs="Times New Roman"/>
                <w:b/>
                <w:bCs/>
                <w:color w:val="000000"/>
                <w:sz w:val="22"/>
                <w:szCs w:val="22"/>
                <w:u w:val="single"/>
              </w:rPr>
              <w:t xml:space="preserve">Sous-critère n°1 : Méthodologie pour l'exécution de l’opération (25%)  </w:t>
            </w:r>
          </w:p>
          <w:p w14:paraId="56051176"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p>
          <w:p w14:paraId="1B7BBDF3" w14:textId="77777777" w:rsidR="009953F5" w:rsidRPr="00CD7A5B" w:rsidRDefault="009953F5" w:rsidP="00381F3A">
            <w:pPr>
              <w:keepLines/>
              <w:widowControl/>
              <w:numPr>
                <w:ilvl w:val="0"/>
                <w:numId w:val="28"/>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color w:val="000000"/>
                <w:sz w:val="22"/>
                <w:szCs w:val="22"/>
              </w:rPr>
            </w:pPr>
            <w:r w:rsidRPr="00CD7A5B">
              <w:rPr>
                <w:rFonts w:eastAsia="Arial" w:cs="Times New Roman"/>
                <w:color w:val="000000"/>
                <w:sz w:val="22"/>
                <w:szCs w:val="22"/>
              </w:rPr>
              <w:t xml:space="preserve">Prise en compte du contexte existant ; </w:t>
            </w:r>
          </w:p>
          <w:p w14:paraId="7532E432" w14:textId="77777777" w:rsidR="009953F5" w:rsidRPr="00CD7A5B" w:rsidRDefault="009953F5" w:rsidP="00381F3A">
            <w:pPr>
              <w:keepLines/>
              <w:widowControl/>
              <w:numPr>
                <w:ilvl w:val="0"/>
                <w:numId w:val="28"/>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color w:val="000000"/>
                <w:sz w:val="22"/>
                <w:szCs w:val="22"/>
              </w:rPr>
            </w:pPr>
            <w:r>
              <w:rPr>
                <w:rFonts w:eastAsia="Arial" w:cs="Times New Roman"/>
                <w:color w:val="000000"/>
                <w:sz w:val="22"/>
                <w:szCs w:val="22"/>
              </w:rPr>
              <w:t>Installation et p</w:t>
            </w:r>
            <w:r w:rsidRPr="00CD7A5B">
              <w:rPr>
                <w:rFonts w:eastAsia="Arial" w:cs="Times New Roman"/>
                <w:color w:val="000000"/>
                <w:sz w:val="22"/>
                <w:szCs w:val="22"/>
              </w:rPr>
              <w:t xml:space="preserve">réparation de chantier : </w:t>
            </w:r>
          </w:p>
          <w:p w14:paraId="3C6958F6" w14:textId="77777777" w:rsidR="009953F5" w:rsidRPr="00CD7A5B" w:rsidRDefault="009953F5" w:rsidP="00381F3A">
            <w:pPr>
              <w:keepLines/>
              <w:widowControl/>
              <w:numPr>
                <w:ilvl w:val="0"/>
                <w:numId w:val="33"/>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color w:val="000000"/>
                <w:sz w:val="22"/>
                <w:szCs w:val="22"/>
              </w:rPr>
            </w:pPr>
            <w:r w:rsidRPr="00CD7A5B">
              <w:rPr>
                <w:rFonts w:eastAsia="Arial" w:cs="Times New Roman"/>
                <w:color w:val="000000"/>
                <w:sz w:val="22"/>
                <w:szCs w:val="22"/>
              </w:rPr>
              <w:t xml:space="preserve">Qualité des mesures prévues en matière d’hygiène et sécurité </w:t>
            </w:r>
          </w:p>
          <w:p w14:paraId="3086A684" w14:textId="77777777" w:rsidR="009953F5" w:rsidRPr="00C50753" w:rsidRDefault="009953F5" w:rsidP="00381F3A">
            <w:pPr>
              <w:keepLines/>
              <w:widowControl/>
              <w:numPr>
                <w:ilvl w:val="0"/>
                <w:numId w:val="33"/>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b/>
                <w:bCs/>
                <w:color w:val="000000"/>
                <w:sz w:val="22"/>
                <w:szCs w:val="22"/>
                <w:u w:val="single"/>
              </w:rPr>
            </w:pPr>
            <w:r w:rsidRPr="00CD7A5B">
              <w:rPr>
                <w:rFonts w:eastAsia="Arial" w:cs="Times New Roman"/>
                <w:color w:val="000000"/>
                <w:sz w:val="22"/>
                <w:szCs w:val="22"/>
              </w:rPr>
              <w:t>Mesures prises pour la protection des installations neuves et existantes pendant les travaux (Condition de transports, grutage).</w:t>
            </w:r>
          </w:p>
          <w:p w14:paraId="38AEE4EE" w14:textId="77777777" w:rsidR="009953F5" w:rsidRPr="00CD7A5B" w:rsidRDefault="009953F5" w:rsidP="00447D8B">
            <w:pPr>
              <w:keepLines/>
              <w:spacing w:before="57"/>
              <w:ind w:left="1778"/>
              <w:jc w:val="both"/>
              <w:textAlignment w:val="center"/>
              <w:rPr>
                <w:rFonts w:eastAsia="Arial" w:cs="Times New Roman"/>
                <w:b/>
                <w:bCs/>
                <w:color w:val="000000"/>
                <w:sz w:val="22"/>
                <w:szCs w:val="22"/>
                <w:u w:val="single"/>
              </w:rPr>
            </w:pPr>
          </w:p>
        </w:tc>
      </w:tr>
      <w:tr w:rsidR="009953F5" w:rsidRPr="00CD7A5B" w14:paraId="60EB6C14" w14:textId="77777777" w:rsidTr="00447D8B">
        <w:tc>
          <w:tcPr>
            <w:tcW w:w="5953" w:type="dxa"/>
            <w:shd w:val="clear" w:color="auto" w:fill="auto"/>
          </w:tcPr>
          <w:p w14:paraId="67CAB81D"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r w:rsidRPr="00CD7A5B">
              <w:rPr>
                <w:rFonts w:eastAsia="Arial" w:cs="Times New Roman"/>
                <w:b/>
                <w:bCs/>
                <w:color w:val="000000"/>
                <w:sz w:val="22"/>
                <w:szCs w:val="22"/>
                <w:u w:val="single"/>
              </w:rPr>
              <w:t xml:space="preserve">Sous-critère n°2 : Qualité et quantité des moyens humains affectés à l'exécution (20%), </w:t>
            </w:r>
          </w:p>
          <w:p w14:paraId="67061529"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p>
          <w:p w14:paraId="6F66C3EC" w14:textId="77777777" w:rsidR="009953F5" w:rsidRPr="00CD7A5B" w:rsidRDefault="009953F5" w:rsidP="00381F3A">
            <w:pPr>
              <w:keepLines/>
              <w:widowControl/>
              <w:numPr>
                <w:ilvl w:val="0"/>
                <w:numId w:val="29"/>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color w:val="000000"/>
                <w:sz w:val="22"/>
                <w:szCs w:val="22"/>
              </w:rPr>
            </w:pPr>
            <w:r w:rsidRPr="00CD7A5B">
              <w:rPr>
                <w:rFonts w:eastAsia="Arial" w:cs="Times New Roman"/>
                <w:color w:val="000000"/>
                <w:sz w:val="22"/>
                <w:szCs w:val="22"/>
              </w:rPr>
              <w:t>Equipe moyens humains dédies à la mission ;</w:t>
            </w:r>
          </w:p>
          <w:p w14:paraId="54772281" w14:textId="77777777" w:rsidR="009953F5" w:rsidRPr="00CD7A5B" w:rsidRDefault="009953F5" w:rsidP="00381F3A">
            <w:pPr>
              <w:keepLines/>
              <w:widowControl/>
              <w:numPr>
                <w:ilvl w:val="0"/>
                <w:numId w:val="29"/>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color w:val="000000"/>
                <w:sz w:val="22"/>
                <w:szCs w:val="22"/>
              </w:rPr>
            </w:pPr>
            <w:r w:rsidRPr="00CD7A5B">
              <w:rPr>
                <w:rFonts w:eastAsia="Arial" w:cs="Times New Roman"/>
                <w:color w:val="000000"/>
                <w:sz w:val="22"/>
                <w:szCs w:val="22"/>
              </w:rPr>
              <w:t>Qualifications et expériences professionnelles.</w:t>
            </w:r>
          </w:p>
          <w:p w14:paraId="79738CBF"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p>
        </w:tc>
      </w:tr>
      <w:tr w:rsidR="009953F5" w:rsidRPr="00CD7A5B" w14:paraId="31F2C264" w14:textId="77777777" w:rsidTr="00447D8B">
        <w:tc>
          <w:tcPr>
            <w:tcW w:w="5953" w:type="dxa"/>
            <w:shd w:val="clear" w:color="auto" w:fill="auto"/>
          </w:tcPr>
          <w:p w14:paraId="429E1C4C"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r w:rsidRPr="00CD7A5B">
              <w:rPr>
                <w:rFonts w:eastAsia="Arial" w:cs="Times New Roman"/>
                <w:b/>
                <w:bCs/>
                <w:color w:val="000000"/>
                <w:sz w:val="22"/>
                <w:szCs w:val="22"/>
                <w:u w:val="single"/>
              </w:rPr>
              <w:t>Sous-critère n°3 :  Qualité des moyens matériels et qualité de procédures d’installation (45 %)</w:t>
            </w:r>
          </w:p>
          <w:p w14:paraId="46B07211" w14:textId="77777777" w:rsidR="009953F5" w:rsidRPr="00CD7A5B" w:rsidRDefault="009953F5" w:rsidP="00447D8B">
            <w:pPr>
              <w:keepLines/>
              <w:spacing w:before="57"/>
              <w:jc w:val="both"/>
              <w:textAlignment w:val="center"/>
              <w:rPr>
                <w:rFonts w:eastAsia="Arial" w:cs="Times New Roman"/>
                <w:color w:val="000000"/>
                <w:sz w:val="22"/>
                <w:szCs w:val="22"/>
              </w:rPr>
            </w:pPr>
          </w:p>
          <w:p w14:paraId="7A14C393" w14:textId="77777777" w:rsidR="009953F5" w:rsidRDefault="009953F5" w:rsidP="00381F3A">
            <w:pPr>
              <w:keepLines/>
              <w:widowControl/>
              <w:numPr>
                <w:ilvl w:val="0"/>
                <w:numId w:val="31"/>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color w:val="000000"/>
                <w:sz w:val="22"/>
                <w:szCs w:val="22"/>
              </w:rPr>
            </w:pPr>
            <w:r w:rsidRPr="00CD7A5B">
              <w:rPr>
                <w:rFonts w:eastAsia="Arial" w:cs="Times New Roman"/>
                <w:color w:val="000000"/>
                <w:sz w:val="22"/>
                <w:szCs w:val="22"/>
              </w:rPr>
              <w:t>Fiches techniques, marques, modèles, caractéristiques des équipements, puissances, fluides utilisés, modification des installations …</w:t>
            </w:r>
          </w:p>
          <w:p w14:paraId="099FD099" w14:textId="77777777" w:rsidR="009953F5" w:rsidRPr="00CD7A5B" w:rsidRDefault="009953F5" w:rsidP="00381F3A">
            <w:pPr>
              <w:keepLines/>
              <w:widowControl/>
              <w:numPr>
                <w:ilvl w:val="0"/>
                <w:numId w:val="31"/>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color w:val="000000"/>
                <w:sz w:val="22"/>
                <w:szCs w:val="22"/>
              </w:rPr>
            </w:pPr>
            <w:r>
              <w:rPr>
                <w:rFonts w:eastAsia="Arial" w:cs="Times New Roman"/>
                <w:color w:val="000000"/>
                <w:sz w:val="22"/>
                <w:szCs w:val="22"/>
              </w:rPr>
              <w:t xml:space="preserve">Garanties des installations. </w:t>
            </w:r>
          </w:p>
          <w:p w14:paraId="53122A2A" w14:textId="77777777" w:rsidR="009953F5" w:rsidRPr="00CD7A5B" w:rsidRDefault="009953F5" w:rsidP="00381F3A">
            <w:pPr>
              <w:keepLines/>
              <w:widowControl/>
              <w:numPr>
                <w:ilvl w:val="0"/>
                <w:numId w:val="31"/>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color w:val="000000"/>
                <w:sz w:val="22"/>
                <w:szCs w:val="22"/>
              </w:rPr>
            </w:pPr>
            <w:r w:rsidRPr="00CD7A5B">
              <w:rPr>
                <w:rFonts w:eastAsia="Arial" w:cs="Times New Roman"/>
                <w:color w:val="000000"/>
                <w:sz w:val="22"/>
                <w:szCs w:val="22"/>
              </w:rPr>
              <w:lastRenderedPageBreak/>
              <w:t xml:space="preserve">Raccordements / Installations. </w:t>
            </w:r>
          </w:p>
          <w:p w14:paraId="7AE86A04"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p>
          <w:p w14:paraId="413816B6"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r w:rsidRPr="00CD7A5B">
              <w:rPr>
                <w:rFonts w:eastAsia="Arial" w:cs="Times New Roman"/>
                <w:b/>
                <w:bCs/>
                <w:color w:val="000000"/>
                <w:sz w:val="22"/>
                <w:szCs w:val="22"/>
                <w:u w:val="single"/>
              </w:rPr>
              <w:t>Sous-critère n°4 : Délais et planification d’exécution (10%),</w:t>
            </w:r>
            <w:r>
              <w:rPr>
                <w:rFonts w:eastAsia="Arial" w:cs="Times New Roman"/>
                <w:b/>
                <w:bCs/>
                <w:color w:val="000000"/>
                <w:sz w:val="22"/>
                <w:szCs w:val="22"/>
                <w:u w:val="single"/>
              </w:rPr>
              <w:t xml:space="preserve"> </w:t>
            </w:r>
          </w:p>
          <w:p w14:paraId="1FCC1651" w14:textId="77777777" w:rsidR="009953F5" w:rsidRPr="00CD7A5B" w:rsidRDefault="009953F5" w:rsidP="00447D8B">
            <w:pPr>
              <w:keepLines/>
              <w:spacing w:before="57"/>
              <w:jc w:val="both"/>
              <w:textAlignment w:val="center"/>
              <w:rPr>
                <w:rFonts w:eastAsia="Arial" w:cs="Times New Roman"/>
                <w:b/>
                <w:bCs/>
                <w:color w:val="000000"/>
                <w:sz w:val="22"/>
                <w:szCs w:val="22"/>
                <w:u w:val="single"/>
              </w:rPr>
            </w:pPr>
          </w:p>
          <w:p w14:paraId="7380DEDD" w14:textId="77777777" w:rsidR="009953F5" w:rsidRPr="00CD7A5B" w:rsidRDefault="009953F5" w:rsidP="00381F3A">
            <w:pPr>
              <w:keepLines/>
              <w:widowControl/>
              <w:numPr>
                <w:ilvl w:val="0"/>
                <w:numId w:val="29"/>
              </w:numPr>
              <w:pBdr>
                <w:top w:val="none" w:sz="0" w:space="0" w:color="000000"/>
                <w:left w:val="none" w:sz="0" w:space="0" w:color="000000"/>
                <w:bottom w:val="none" w:sz="0" w:space="0" w:color="000000"/>
                <w:right w:val="none" w:sz="0" w:space="0" w:color="000000"/>
              </w:pBdr>
              <w:autoSpaceDN/>
              <w:spacing w:before="57"/>
              <w:jc w:val="both"/>
              <w:textAlignment w:val="center"/>
              <w:rPr>
                <w:rFonts w:eastAsia="Arial" w:cs="Times New Roman"/>
                <w:b/>
                <w:bCs/>
                <w:color w:val="000000"/>
                <w:sz w:val="22"/>
                <w:szCs w:val="22"/>
                <w:u w:val="single"/>
              </w:rPr>
            </w:pPr>
            <w:r w:rsidRPr="00CD7A5B">
              <w:rPr>
                <w:rFonts w:eastAsia="Arial" w:cs="Times New Roman"/>
                <w:color w:val="000000"/>
                <w:sz w:val="22"/>
                <w:szCs w:val="22"/>
              </w:rPr>
              <w:t>Organisation prévue pour l'exécution de l’opération. (Planning, temps de livraison, contrôles et autocontrôle)</w:t>
            </w:r>
          </w:p>
        </w:tc>
      </w:tr>
      <w:tr w:rsidR="009953F5" w:rsidRPr="00CD7A5B" w14:paraId="431366F3" w14:textId="77777777" w:rsidTr="00447D8B">
        <w:tc>
          <w:tcPr>
            <w:tcW w:w="5953" w:type="dxa"/>
            <w:shd w:val="clear" w:color="auto" w:fill="auto"/>
          </w:tcPr>
          <w:p w14:paraId="491844C7" w14:textId="77777777" w:rsidR="009953F5" w:rsidRPr="00CD7A5B" w:rsidRDefault="009953F5" w:rsidP="00447D8B">
            <w:pPr>
              <w:keepLines/>
              <w:spacing w:before="57"/>
              <w:jc w:val="both"/>
              <w:textAlignment w:val="center"/>
              <w:rPr>
                <w:rFonts w:eastAsia="Arial" w:cs="Times New Roman"/>
                <w:color w:val="000000"/>
                <w:sz w:val="20"/>
                <w:szCs w:val="20"/>
              </w:rPr>
            </w:pPr>
          </w:p>
        </w:tc>
      </w:tr>
    </w:tbl>
    <w:p w14:paraId="742F20E2" w14:textId="5EA7BCF4" w:rsidR="00535B94" w:rsidRPr="00535B94" w:rsidRDefault="00535B94" w:rsidP="00381F3A">
      <w:pPr>
        <w:pStyle w:val="Paragraphedeliste"/>
        <w:keepLines/>
        <w:widowControl/>
        <w:numPr>
          <w:ilvl w:val="0"/>
          <w:numId w:val="23"/>
        </w:numPr>
        <w:spacing w:before="57"/>
        <w:jc w:val="both"/>
        <w:textAlignment w:val="center"/>
        <w:rPr>
          <w:rFonts w:ascii="Arial" w:eastAsia="Arial" w:hAnsi="Arial" w:cs="Arial"/>
          <w:b/>
          <w:sz w:val="20"/>
          <w:szCs w:val="20"/>
        </w:rPr>
      </w:pPr>
      <w:r w:rsidRPr="00902965">
        <w:rPr>
          <w:rFonts w:ascii="Arial" w:eastAsia="Arial" w:hAnsi="Arial" w:cs="Arial"/>
          <w:b/>
          <w:sz w:val="20"/>
          <w:szCs w:val="20"/>
          <w:u w:val="single"/>
        </w:rPr>
        <w:t>METHODE DE NOTATION DU CRITERE PERFORMANCES ENVIRONNEMENTALES (PONDERATION 10%)</w:t>
      </w:r>
      <w:r w:rsidRPr="00535B94">
        <w:rPr>
          <w:rFonts w:ascii="Arial" w:eastAsia="Arial" w:hAnsi="Arial" w:cs="Arial"/>
          <w:b/>
          <w:sz w:val="20"/>
          <w:szCs w:val="20"/>
        </w:rPr>
        <w:t xml:space="preserve"> :</w:t>
      </w:r>
    </w:p>
    <w:p w14:paraId="4F0D7FA7" w14:textId="77777777" w:rsidR="00535B94" w:rsidRPr="00535B94" w:rsidRDefault="00535B94" w:rsidP="00535B94">
      <w:pPr>
        <w:keepLines/>
        <w:widowControl/>
        <w:spacing w:before="57"/>
        <w:jc w:val="both"/>
        <w:textAlignment w:val="center"/>
        <w:rPr>
          <w:rFonts w:ascii="Arial" w:eastAsia="Arial" w:hAnsi="Arial" w:cs="Arial"/>
          <w:sz w:val="20"/>
          <w:szCs w:val="20"/>
        </w:rPr>
      </w:pPr>
    </w:p>
    <w:p w14:paraId="39B12E07" w14:textId="780132EB" w:rsidR="00350F36" w:rsidRPr="00350F36" w:rsidRDefault="00350F36" w:rsidP="00381F3A">
      <w:pPr>
        <w:keepLines/>
        <w:widowControl/>
        <w:numPr>
          <w:ilvl w:val="0"/>
          <w:numId w:val="30"/>
        </w:numPr>
        <w:spacing w:before="57"/>
        <w:jc w:val="both"/>
        <w:textAlignment w:val="center"/>
        <w:rPr>
          <w:rFonts w:ascii="Arial" w:eastAsia="Arial" w:hAnsi="Arial" w:cs="Arial"/>
          <w:sz w:val="20"/>
          <w:szCs w:val="20"/>
        </w:rPr>
      </w:pPr>
      <w:r w:rsidRPr="00350F36">
        <w:rPr>
          <w:rFonts w:ascii="Arial" w:eastAsia="Arial" w:hAnsi="Arial" w:cs="Arial"/>
          <w:sz w:val="20"/>
          <w:szCs w:val="20"/>
        </w:rPr>
        <w:t>Performance énergétique de l'installation</w:t>
      </w:r>
    </w:p>
    <w:p w14:paraId="5D3F97CF" w14:textId="0DD8E880" w:rsidR="00350F36" w:rsidRPr="00350F36" w:rsidRDefault="00350F36" w:rsidP="00381F3A">
      <w:pPr>
        <w:keepLines/>
        <w:widowControl/>
        <w:numPr>
          <w:ilvl w:val="0"/>
          <w:numId w:val="30"/>
        </w:numPr>
        <w:spacing w:before="57"/>
        <w:jc w:val="both"/>
        <w:textAlignment w:val="center"/>
        <w:rPr>
          <w:rFonts w:ascii="Arial" w:eastAsia="Arial" w:hAnsi="Arial" w:cs="Arial"/>
          <w:sz w:val="20"/>
          <w:szCs w:val="20"/>
        </w:rPr>
      </w:pPr>
      <w:r w:rsidRPr="00350F36">
        <w:rPr>
          <w:rFonts w:ascii="Arial" w:eastAsia="Arial" w:hAnsi="Arial" w:cs="Arial"/>
          <w:sz w:val="20"/>
          <w:szCs w:val="20"/>
        </w:rPr>
        <w:t xml:space="preserve">Performance environnementale au regard du transport des équipement et du personnel </w:t>
      </w:r>
    </w:p>
    <w:p w14:paraId="6BAFD529" w14:textId="4A16E0C3" w:rsidR="00350F36" w:rsidRPr="00350F36" w:rsidRDefault="00350F36" w:rsidP="00381F3A">
      <w:pPr>
        <w:keepLines/>
        <w:widowControl/>
        <w:numPr>
          <w:ilvl w:val="0"/>
          <w:numId w:val="30"/>
        </w:numPr>
        <w:spacing w:before="57"/>
        <w:jc w:val="both"/>
        <w:textAlignment w:val="center"/>
        <w:rPr>
          <w:rFonts w:ascii="Arial" w:eastAsia="Arial" w:hAnsi="Arial" w:cs="Arial"/>
          <w:sz w:val="20"/>
          <w:szCs w:val="20"/>
        </w:rPr>
      </w:pPr>
      <w:r w:rsidRPr="00350F36">
        <w:rPr>
          <w:rFonts w:ascii="Arial" w:eastAsia="Arial" w:hAnsi="Arial" w:cs="Arial"/>
          <w:sz w:val="20"/>
          <w:szCs w:val="20"/>
        </w:rPr>
        <w:t>Choix des fluides frigorigènes</w:t>
      </w:r>
    </w:p>
    <w:p w14:paraId="5391747D" w14:textId="6768AF45" w:rsidR="00350F36" w:rsidRPr="00350F36" w:rsidRDefault="00350F36" w:rsidP="00381F3A">
      <w:pPr>
        <w:keepLines/>
        <w:widowControl/>
        <w:numPr>
          <w:ilvl w:val="0"/>
          <w:numId w:val="30"/>
        </w:numPr>
        <w:spacing w:before="57"/>
        <w:jc w:val="both"/>
        <w:textAlignment w:val="center"/>
        <w:rPr>
          <w:rFonts w:ascii="Arial" w:eastAsia="Arial" w:hAnsi="Arial" w:cs="Arial"/>
          <w:b/>
          <w:bCs/>
          <w:sz w:val="20"/>
          <w:szCs w:val="20"/>
        </w:rPr>
      </w:pPr>
      <w:r w:rsidRPr="00350F36">
        <w:rPr>
          <w:rFonts w:ascii="Arial" w:eastAsia="Arial" w:hAnsi="Arial" w:cs="Arial"/>
          <w:sz w:val="20"/>
          <w:szCs w:val="20"/>
        </w:rPr>
        <w:t xml:space="preserve">Gestion des déchets produits dans le cadre du marché (tri, valorisation, réutilisation des matériaux déposés, </w:t>
      </w:r>
      <w:proofErr w:type="gramStart"/>
      <w:r w:rsidRPr="00350F36">
        <w:rPr>
          <w:rFonts w:ascii="Arial" w:eastAsia="Arial" w:hAnsi="Arial" w:cs="Arial"/>
          <w:sz w:val="20"/>
          <w:szCs w:val="20"/>
        </w:rPr>
        <w:t>etc...</w:t>
      </w:r>
      <w:proofErr w:type="gramEnd"/>
      <w:r w:rsidRPr="00350F36">
        <w:rPr>
          <w:rFonts w:ascii="Arial" w:eastAsia="Arial" w:hAnsi="Arial" w:cs="Arial"/>
          <w:sz w:val="20"/>
          <w:szCs w:val="20"/>
        </w:rPr>
        <w:t>)</w:t>
      </w:r>
    </w:p>
    <w:p w14:paraId="38615579" w14:textId="77777777" w:rsidR="00F05C55" w:rsidRDefault="00F05C55" w:rsidP="00535B94">
      <w:pPr>
        <w:keepLines/>
        <w:widowControl/>
        <w:spacing w:before="57"/>
        <w:jc w:val="both"/>
        <w:textAlignment w:val="center"/>
        <w:rPr>
          <w:rFonts w:ascii="Arial" w:eastAsia="Arial" w:hAnsi="Arial" w:cs="Arial"/>
          <w:sz w:val="20"/>
          <w:szCs w:val="20"/>
        </w:rPr>
      </w:pPr>
    </w:p>
    <w:p w14:paraId="5A6F12D6" w14:textId="047C875B" w:rsidR="00535B94" w:rsidRPr="00535B94" w:rsidRDefault="00535B94" w:rsidP="00535B94">
      <w:pPr>
        <w:keepLines/>
        <w:widowControl/>
        <w:spacing w:before="57"/>
        <w:jc w:val="both"/>
        <w:textAlignment w:val="center"/>
        <w:rPr>
          <w:rFonts w:ascii="Arial" w:eastAsia="Arial" w:hAnsi="Arial" w:cs="Arial"/>
          <w:sz w:val="20"/>
          <w:szCs w:val="20"/>
        </w:rPr>
      </w:pPr>
      <w:r w:rsidRPr="00535B94">
        <w:rPr>
          <w:rFonts w:ascii="Arial" w:eastAsia="Arial" w:hAnsi="Arial" w:cs="Arial"/>
          <w:sz w:val="20"/>
          <w:szCs w:val="20"/>
        </w:rPr>
        <w:t>Les performances environnementales seront notées sur 10, avec un coefficient de pondération de 10 %.</w:t>
      </w:r>
    </w:p>
    <w:p w14:paraId="52D5F461" w14:textId="31D1B444" w:rsidR="006B3357" w:rsidRDefault="006B3357">
      <w:pPr>
        <w:keepLines/>
        <w:widowControl/>
        <w:spacing w:before="57"/>
        <w:jc w:val="both"/>
        <w:textAlignment w:val="center"/>
        <w:rPr>
          <w:rFonts w:ascii="Arial" w:eastAsia="Arial" w:hAnsi="Arial" w:cs="Arial"/>
          <w:sz w:val="20"/>
          <w:szCs w:val="20"/>
        </w:rPr>
      </w:pPr>
    </w:p>
    <w:p w14:paraId="0508A1CD" w14:textId="75791FE5" w:rsidR="006B3357" w:rsidRPr="00535B94" w:rsidRDefault="000B7740" w:rsidP="006B3357">
      <w:pPr>
        <w:keepLines/>
        <w:widowControl/>
        <w:spacing w:before="57"/>
        <w:jc w:val="both"/>
        <w:textAlignment w:val="center"/>
        <w:rPr>
          <w:rFonts w:ascii="Arial" w:eastAsia="Arial" w:hAnsi="Arial" w:cs="Arial"/>
          <w:b/>
          <w:sz w:val="20"/>
          <w:szCs w:val="20"/>
        </w:rPr>
      </w:pPr>
      <w:r w:rsidRPr="000B7740">
        <w:rPr>
          <w:rFonts w:ascii="Arial" w:eastAsia="Arial" w:hAnsi="Arial" w:cs="Arial"/>
          <w:b/>
          <w:sz w:val="20"/>
          <w:szCs w:val="20"/>
        </w:rPr>
        <w:t>Pour les deux premiers critères,</w:t>
      </w:r>
      <w:r>
        <w:rPr>
          <w:rFonts w:ascii="Arial" w:eastAsia="Arial" w:hAnsi="Arial" w:cs="Arial"/>
          <w:sz w:val="20"/>
          <w:szCs w:val="20"/>
        </w:rPr>
        <w:t xml:space="preserve"> l</w:t>
      </w:r>
      <w:r w:rsidR="006B3357" w:rsidRPr="00535B94">
        <w:rPr>
          <w:rFonts w:ascii="Arial" w:eastAsia="Arial" w:hAnsi="Arial" w:cs="Arial"/>
          <w:b/>
          <w:sz w:val="20"/>
          <w:szCs w:val="20"/>
        </w:rPr>
        <w:t xml:space="preserve">e barème de notation </w:t>
      </w:r>
      <w:r w:rsidR="001949C4">
        <w:rPr>
          <w:rFonts w:ascii="Arial" w:eastAsia="Arial" w:hAnsi="Arial" w:cs="Arial"/>
          <w:b/>
          <w:sz w:val="20"/>
          <w:szCs w:val="20"/>
        </w:rPr>
        <w:t xml:space="preserve">sur 10 </w:t>
      </w:r>
      <w:r w:rsidR="006B3357" w:rsidRPr="00535B94">
        <w:rPr>
          <w:rFonts w:ascii="Arial" w:eastAsia="Arial" w:hAnsi="Arial" w:cs="Arial"/>
          <w:b/>
          <w:sz w:val="20"/>
          <w:szCs w:val="20"/>
        </w:rPr>
        <w:t>est le suivant :</w:t>
      </w:r>
    </w:p>
    <w:p w14:paraId="3733EECB" w14:textId="77777777" w:rsidR="006B3357" w:rsidRPr="00535B94" w:rsidRDefault="006B3357" w:rsidP="006B3357">
      <w:pPr>
        <w:keepLines/>
        <w:widowControl/>
        <w:spacing w:before="57"/>
        <w:ind w:left="706"/>
        <w:jc w:val="both"/>
        <w:textAlignment w:val="center"/>
        <w:rPr>
          <w:rFonts w:ascii="Arial" w:eastAsia="Arial" w:hAnsi="Arial" w:cs="Arial"/>
          <w:b/>
          <w:sz w:val="20"/>
          <w:szCs w:val="20"/>
        </w:rPr>
      </w:pPr>
      <w:r w:rsidRPr="00535B94">
        <w:rPr>
          <w:rFonts w:ascii="Arial" w:eastAsia="Arial" w:hAnsi="Arial" w:cs="Arial"/>
          <w:b/>
          <w:sz w:val="20"/>
          <w:szCs w:val="20"/>
        </w:rPr>
        <w:t>0 à 2 : Très insuffisant</w:t>
      </w:r>
    </w:p>
    <w:p w14:paraId="5E5CB9DC" w14:textId="77777777" w:rsidR="006B3357" w:rsidRPr="00535B94" w:rsidRDefault="006B3357" w:rsidP="006B3357">
      <w:pPr>
        <w:keepLines/>
        <w:widowControl/>
        <w:spacing w:before="57"/>
        <w:ind w:left="706"/>
        <w:jc w:val="both"/>
        <w:textAlignment w:val="center"/>
        <w:rPr>
          <w:rFonts w:ascii="Arial" w:eastAsia="Arial" w:hAnsi="Arial" w:cs="Arial"/>
          <w:b/>
          <w:sz w:val="20"/>
          <w:szCs w:val="20"/>
        </w:rPr>
      </w:pPr>
      <w:r w:rsidRPr="00535B94">
        <w:rPr>
          <w:rFonts w:ascii="Arial" w:eastAsia="Arial" w:hAnsi="Arial" w:cs="Arial"/>
          <w:b/>
          <w:sz w:val="20"/>
          <w:szCs w:val="20"/>
        </w:rPr>
        <w:t>2,1 à 4 : Insuffisant</w:t>
      </w:r>
    </w:p>
    <w:p w14:paraId="26531E24" w14:textId="77777777" w:rsidR="006B3357" w:rsidRPr="00535B94" w:rsidRDefault="006B3357" w:rsidP="006B3357">
      <w:pPr>
        <w:keepLines/>
        <w:widowControl/>
        <w:spacing w:before="57"/>
        <w:ind w:left="706"/>
        <w:jc w:val="both"/>
        <w:textAlignment w:val="center"/>
        <w:rPr>
          <w:rFonts w:ascii="Arial" w:eastAsia="Arial" w:hAnsi="Arial" w:cs="Arial"/>
          <w:b/>
          <w:sz w:val="20"/>
          <w:szCs w:val="20"/>
        </w:rPr>
      </w:pPr>
      <w:r w:rsidRPr="00535B94">
        <w:rPr>
          <w:rFonts w:ascii="Arial" w:eastAsia="Arial" w:hAnsi="Arial" w:cs="Arial"/>
          <w:b/>
          <w:sz w:val="20"/>
          <w:szCs w:val="20"/>
        </w:rPr>
        <w:t>4,1 à 6 : Moyen</w:t>
      </w:r>
    </w:p>
    <w:p w14:paraId="5DB81029" w14:textId="77777777" w:rsidR="006B3357" w:rsidRPr="00535B94" w:rsidRDefault="006B3357" w:rsidP="006B3357">
      <w:pPr>
        <w:keepLines/>
        <w:widowControl/>
        <w:spacing w:before="57"/>
        <w:ind w:left="706"/>
        <w:jc w:val="both"/>
        <w:textAlignment w:val="center"/>
        <w:rPr>
          <w:rFonts w:ascii="Arial" w:eastAsia="Arial" w:hAnsi="Arial" w:cs="Arial"/>
          <w:b/>
          <w:sz w:val="20"/>
          <w:szCs w:val="20"/>
        </w:rPr>
      </w:pPr>
      <w:r w:rsidRPr="00535B94">
        <w:rPr>
          <w:rFonts w:ascii="Arial" w:eastAsia="Arial" w:hAnsi="Arial" w:cs="Arial"/>
          <w:b/>
          <w:sz w:val="20"/>
          <w:szCs w:val="20"/>
        </w:rPr>
        <w:t>6,1 à 8 : Satisfaisant</w:t>
      </w:r>
    </w:p>
    <w:p w14:paraId="7950E0DD" w14:textId="77777777" w:rsidR="006B3357" w:rsidRPr="00535B94" w:rsidRDefault="006B3357" w:rsidP="006B3357">
      <w:pPr>
        <w:keepLines/>
        <w:widowControl/>
        <w:spacing w:before="57"/>
        <w:ind w:left="706"/>
        <w:jc w:val="both"/>
        <w:textAlignment w:val="center"/>
        <w:rPr>
          <w:rFonts w:ascii="Arial" w:eastAsia="Arial" w:hAnsi="Arial" w:cs="Arial"/>
          <w:b/>
          <w:sz w:val="20"/>
          <w:szCs w:val="20"/>
        </w:rPr>
      </w:pPr>
      <w:r w:rsidRPr="00535B94">
        <w:rPr>
          <w:rFonts w:ascii="Arial" w:eastAsia="Arial" w:hAnsi="Arial" w:cs="Arial"/>
          <w:b/>
          <w:sz w:val="20"/>
          <w:szCs w:val="20"/>
        </w:rPr>
        <w:t>8,1 à 10 : Très satisfaisant</w:t>
      </w:r>
    </w:p>
    <w:p w14:paraId="39742C9A" w14:textId="77777777" w:rsidR="00813D3E" w:rsidRPr="00535B94" w:rsidRDefault="00813D3E">
      <w:pPr>
        <w:keepLines/>
        <w:widowControl/>
        <w:spacing w:before="57"/>
        <w:jc w:val="both"/>
        <w:textAlignment w:val="center"/>
        <w:rPr>
          <w:rFonts w:ascii="Arial" w:hAnsi="Arial" w:cs="Arial"/>
          <w:b/>
          <w:sz w:val="20"/>
          <w:szCs w:val="20"/>
          <w:u w:val="single"/>
          <w:shd w:val="clear" w:color="auto" w:fill="FFFF00"/>
        </w:rPr>
      </w:pPr>
    </w:p>
    <w:p w14:paraId="1D5A9B26" w14:textId="6408B308" w:rsidR="00535B94" w:rsidRPr="00535B94" w:rsidRDefault="00535B94" w:rsidP="00381F3A">
      <w:pPr>
        <w:pStyle w:val="Paragraphedeliste"/>
        <w:widowControl/>
        <w:numPr>
          <w:ilvl w:val="0"/>
          <w:numId w:val="24"/>
        </w:numPr>
        <w:suppressAutoHyphens w:val="0"/>
        <w:autoSpaceDE w:val="0"/>
        <w:adjustRightInd w:val="0"/>
        <w:textAlignment w:val="auto"/>
        <w:rPr>
          <w:rFonts w:ascii="Arial" w:eastAsia="ArialMT" w:hAnsi="Arial" w:cs="Arial"/>
          <w:b/>
          <w:kern w:val="0"/>
          <w:sz w:val="20"/>
          <w:szCs w:val="20"/>
          <w:lang w:bidi="ar-SA"/>
        </w:rPr>
      </w:pPr>
      <w:r w:rsidRPr="00902965">
        <w:rPr>
          <w:rFonts w:ascii="Arial" w:eastAsia="ArialMT" w:hAnsi="Arial" w:cs="Arial"/>
          <w:b/>
          <w:kern w:val="0"/>
          <w:sz w:val="20"/>
          <w:szCs w:val="20"/>
          <w:u w:val="single"/>
          <w:lang w:bidi="ar-SA"/>
        </w:rPr>
        <w:t>METHODE DE NOTATION DU CRITERE PRIX (PONDERATION 40%)</w:t>
      </w:r>
      <w:r w:rsidRPr="00535B94">
        <w:rPr>
          <w:rFonts w:ascii="Arial" w:eastAsia="ArialMT" w:hAnsi="Arial" w:cs="Arial"/>
          <w:b/>
          <w:kern w:val="0"/>
          <w:sz w:val="20"/>
          <w:szCs w:val="20"/>
          <w:lang w:bidi="ar-SA"/>
        </w:rPr>
        <w:t xml:space="preserve"> :</w:t>
      </w:r>
    </w:p>
    <w:p w14:paraId="4A748439" w14:textId="77777777" w:rsidR="00535B94" w:rsidRDefault="00535B94" w:rsidP="00535B94">
      <w:pPr>
        <w:widowControl/>
        <w:suppressAutoHyphens w:val="0"/>
        <w:autoSpaceDE w:val="0"/>
        <w:adjustRightInd w:val="0"/>
        <w:textAlignment w:val="auto"/>
        <w:rPr>
          <w:rFonts w:ascii="ArialMT" w:eastAsia="ArialMT" w:cs="ArialMT"/>
          <w:kern w:val="0"/>
          <w:sz w:val="20"/>
          <w:szCs w:val="20"/>
          <w:lang w:bidi="ar-SA"/>
        </w:rPr>
      </w:pPr>
    </w:p>
    <w:p w14:paraId="4C3E6DAA" w14:textId="77777777" w:rsidR="00433074" w:rsidRDefault="00535B94" w:rsidP="00535B94">
      <w:pPr>
        <w:widowControl/>
        <w:suppressAutoHyphens w:val="0"/>
        <w:autoSpaceDE w:val="0"/>
        <w:adjustRightInd w:val="0"/>
        <w:textAlignment w:val="auto"/>
        <w:rPr>
          <w:rFonts w:ascii="ArialMT" w:eastAsia="ArialMT" w:cs="ArialMT"/>
          <w:kern w:val="0"/>
          <w:sz w:val="20"/>
          <w:szCs w:val="20"/>
          <w:lang w:bidi="ar-SA"/>
        </w:rPr>
      </w:pPr>
      <w:r w:rsidRPr="00535B94">
        <w:rPr>
          <w:rFonts w:ascii="ArialMT" w:eastAsia="ArialMT" w:cs="ArialMT"/>
          <w:kern w:val="0"/>
          <w:sz w:val="20"/>
          <w:szCs w:val="20"/>
          <w:lang w:bidi="ar-SA"/>
        </w:rPr>
        <w:t>Le prix de l'offre sera not</w:t>
      </w:r>
      <w:r w:rsidRPr="00535B94">
        <w:rPr>
          <w:rFonts w:ascii="ArialMT" w:eastAsia="ArialMT" w:cs="ArialMT"/>
          <w:kern w:val="0"/>
          <w:sz w:val="20"/>
          <w:szCs w:val="20"/>
          <w:lang w:bidi="ar-SA"/>
        </w:rPr>
        <w:t>é</w:t>
      </w:r>
      <w:r w:rsidRPr="00535B94">
        <w:rPr>
          <w:rFonts w:ascii="ArialMT" w:eastAsia="ArialMT" w:cs="ArialMT"/>
          <w:kern w:val="0"/>
          <w:sz w:val="20"/>
          <w:szCs w:val="20"/>
          <w:lang w:bidi="ar-SA"/>
        </w:rPr>
        <w:t xml:space="preserve"> sur 10</w:t>
      </w:r>
      <w:r w:rsidR="00433074">
        <w:rPr>
          <w:rFonts w:ascii="ArialMT" w:eastAsia="ArialMT" w:cs="ArialMT"/>
          <w:kern w:val="0"/>
          <w:sz w:val="20"/>
          <w:szCs w:val="20"/>
          <w:lang w:bidi="ar-SA"/>
        </w:rPr>
        <w:t> </w:t>
      </w:r>
      <w:r w:rsidR="00433074">
        <w:rPr>
          <w:rFonts w:ascii="ArialMT" w:eastAsia="ArialMT" w:cs="ArialMT"/>
          <w:kern w:val="0"/>
          <w:sz w:val="20"/>
          <w:szCs w:val="20"/>
          <w:lang w:bidi="ar-SA"/>
        </w:rPr>
        <w:t xml:space="preserve">: </w:t>
      </w:r>
    </w:p>
    <w:p w14:paraId="58D79890" w14:textId="7AB33BE6" w:rsidR="00535B94" w:rsidRDefault="00535B94" w:rsidP="00381F3A">
      <w:pPr>
        <w:pStyle w:val="Paragraphedeliste"/>
        <w:widowControl/>
        <w:numPr>
          <w:ilvl w:val="0"/>
          <w:numId w:val="30"/>
        </w:numPr>
        <w:suppressAutoHyphens w:val="0"/>
        <w:autoSpaceDE w:val="0"/>
        <w:adjustRightInd w:val="0"/>
        <w:textAlignment w:val="auto"/>
        <w:rPr>
          <w:rFonts w:ascii="ArialMT" w:eastAsia="ArialMT" w:cs="ArialMT"/>
          <w:kern w:val="0"/>
          <w:sz w:val="20"/>
          <w:szCs w:val="20"/>
          <w:lang w:bidi="ar-SA"/>
        </w:rPr>
      </w:pPr>
      <w:proofErr w:type="gramStart"/>
      <w:r w:rsidRPr="00433074">
        <w:rPr>
          <w:rFonts w:ascii="ArialMT" w:eastAsia="ArialMT" w:cs="ArialMT"/>
          <w:kern w:val="0"/>
          <w:sz w:val="20"/>
          <w:szCs w:val="20"/>
          <w:lang w:bidi="ar-SA"/>
        </w:rPr>
        <w:t>sur</w:t>
      </w:r>
      <w:proofErr w:type="gramEnd"/>
      <w:r w:rsidRPr="00433074">
        <w:rPr>
          <w:rFonts w:ascii="ArialMT" w:eastAsia="ArialMT" w:cs="ArialMT"/>
          <w:kern w:val="0"/>
          <w:sz w:val="20"/>
          <w:szCs w:val="20"/>
          <w:lang w:bidi="ar-SA"/>
        </w:rPr>
        <w:t xml:space="preserve"> la base </w:t>
      </w:r>
      <w:r w:rsidR="00902965" w:rsidRPr="00433074">
        <w:rPr>
          <w:rFonts w:ascii="ArialMT" w:eastAsia="ArialMT" w:cs="ArialMT"/>
          <w:kern w:val="0"/>
          <w:sz w:val="20"/>
          <w:szCs w:val="20"/>
          <w:lang w:bidi="ar-SA"/>
        </w:rPr>
        <w:t>du prix forfaitaire de la DPGF</w:t>
      </w:r>
      <w:r w:rsidR="00433074">
        <w:rPr>
          <w:rFonts w:ascii="ArialMT" w:eastAsia="ArialMT" w:cs="ArialMT"/>
          <w:kern w:val="0"/>
          <w:sz w:val="20"/>
          <w:szCs w:val="20"/>
          <w:lang w:bidi="ar-SA"/>
        </w:rPr>
        <w:t xml:space="preserve"> </w:t>
      </w:r>
      <w:r w:rsidR="00433074">
        <w:rPr>
          <w:rFonts w:ascii="ArialMT" w:eastAsia="ArialMT" w:cs="ArialMT"/>
          <w:kern w:val="0"/>
          <w:sz w:val="20"/>
          <w:szCs w:val="20"/>
          <w:lang w:bidi="ar-SA"/>
        </w:rPr>
        <w:t>à</w:t>
      </w:r>
      <w:r w:rsidR="00433074">
        <w:rPr>
          <w:rFonts w:ascii="ArialMT" w:eastAsia="ArialMT" w:cs="ArialMT"/>
          <w:kern w:val="0"/>
          <w:sz w:val="20"/>
          <w:szCs w:val="20"/>
          <w:lang w:bidi="ar-SA"/>
        </w:rPr>
        <w:t xml:space="preserve"> hauteur de 90%</w:t>
      </w:r>
    </w:p>
    <w:p w14:paraId="35B94DE2" w14:textId="1A610145" w:rsidR="00433074" w:rsidRPr="00433074" w:rsidRDefault="00433074" w:rsidP="00381F3A">
      <w:pPr>
        <w:pStyle w:val="Paragraphedeliste"/>
        <w:widowControl/>
        <w:numPr>
          <w:ilvl w:val="0"/>
          <w:numId w:val="30"/>
        </w:numPr>
        <w:suppressAutoHyphens w:val="0"/>
        <w:autoSpaceDE w:val="0"/>
        <w:adjustRightInd w:val="0"/>
        <w:textAlignment w:val="auto"/>
        <w:rPr>
          <w:rFonts w:ascii="ArialMT" w:eastAsia="ArialMT" w:cs="ArialMT"/>
          <w:kern w:val="0"/>
          <w:sz w:val="20"/>
          <w:szCs w:val="20"/>
          <w:lang w:bidi="ar-SA"/>
        </w:rPr>
      </w:pPr>
      <w:proofErr w:type="gramStart"/>
      <w:r>
        <w:rPr>
          <w:rFonts w:ascii="ArialMT" w:eastAsia="ArialMT" w:cs="ArialMT"/>
          <w:kern w:val="0"/>
          <w:sz w:val="20"/>
          <w:szCs w:val="20"/>
          <w:lang w:bidi="ar-SA"/>
        </w:rPr>
        <w:t>sur</w:t>
      </w:r>
      <w:proofErr w:type="gramEnd"/>
      <w:r>
        <w:rPr>
          <w:rFonts w:ascii="ArialMT" w:eastAsia="ArialMT" w:cs="ArialMT"/>
          <w:kern w:val="0"/>
          <w:sz w:val="20"/>
          <w:szCs w:val="20"/>
          <w:lang w:bidi="ar-SA"/>
        </w:rPr>
        <w:t xml:space="preserve"> le la base du BPU </w:t>
      </w:r>
      <w:r>
        <w:rPr>
          <w:rFonts w:ascii="ArialMT" w:eastAsia="ArialMT" w:cs="ArialMT"/>
          <w:kern w:val="0"/>
          <w:sz w:val="20"/>
          <w:szCs w:val="20"/>
          <w:lang w:bidi="ar-SA"/>
        </w:rPr>
        <w:t>à</w:t>
      </w:r>
      <w:r>
        <w:rPr>
          <w:rFonts w:ascii="ArialMT" w:eastAsia="ArialMT" w:cs="ArialMT"/>
          <w:kern w:val="0"/>
          <w:sz w:val="20"/>
          <w:szCs w:val="20"/>
          <w:lang w:bidi="ar-SA"/>
        </w:rPr>
        <w:t xml:space="preserve"> hauteur de 10%</w:t>
      </w:r>
    </w:p>
    <w:p w14:paraId="16D3BB74" w14:textId="77777777" w:rsidR="00813D3E" w:rsidRDefault="001C3459" w:rsidP="008A4A3C">
      <w:pPr>
        <w:pStyle w:val="Titre2"/>
      </w:pPr>
      <w:bookmarkStart w:id="33" w:name="_Toc198913408"/>
      <w:r>
        <w:t>Durée de validité des offres</w:t>
      </w:r>
      <w:bookmarkEnd w:id="33"/>
    </w:p>
    <w:p w14:paraId="53CB0D62" w14:textId="77777777" w:rsidR="00813D3E" w:rsidRDefault="00813D3E" w:rsidP="008A4A3C">
      <w:pPr>
        <w:pStyle w:val="Standard"/>
      </w:pPr>
    </w:p>
    <w:p w14:paraId="2FCD43F1" w14:textId="77777777" w:rsidR="00813D3E" w:rsidRDefault="001C3459" w:rsidP="008A4A3C">
      <w:pPr>
        <w:pStyle w:val="Standard"/>
      </w:pPr>
      <w:r>
        <w:t>Les offres sont valables 4 mois à compter de la date limite de remise des offres.</w:t>
      </w:r>
    </w:p>
    <w:p w14:paraId="1E0FD820" w14:textId="77777777" w:rsidR="00902965" w:rsidRDefault="00902965" w:rsidP="008A4A3C">
      <w:pPr>
        <w:pStyle w:val="Standard"/>
      </w:pPr>
    </w:p>
    <w:p w14:paraId="4CDA6A69" w14:textId="31B8EAAE" w:rsidR="00813D3E" w:rsidRDefault="001C3459" w:rsidP="008A4A3C">
      <w:pPr>
        <w:pStyle w:val="Standard"/>
      </w:pPr>
      <w:r>
        <w:t>En tant que de besoin, le maître d’ouvrage peut solliciter des candidats ou des soumissionnaires la prorogation du délai de validité des offres.</w:t>
      </w:r>
    </w:p>
    <w:p w14:paraId="723113EF" w14:textId="77777777" w:rsidR="00813D3E" w:rsidRDefault="00813D3E" w:rsidP="008A4A3C">
      <w:pPr>
        <w:pStyle w:val="Standard"/>
      </w:pPr>
    </w:p>
    <w:p w14:paraId="5FD6B733" w14:textId="77777777" w:rsidR="00813D3E" w:rsidRDefault="001C3459" w:rsidP="008A4A3C">
      <w:pPr>
        <w:pStyle w:val="Standard"/>
      </w:pPr>
      <w:r>
        <w:t>Pour ce faire il transmet, pour accord, sa demande à l’ensemble des candidats ou soumissionnaires via la plateforme PLACE. La demande précise la durée de prorogation de la validité des offres. Si le candidat ou le soumissionnaire n’accepte pas de maintenir son offre, le maître d’ouvrage poursuit la procédure avec les seuls candidats ou soumissionnaires ayant accepté la prorogation du délai de validité de leur offre.</w:t>
      </w:r>
    </w:p>
    <w:p w14:paraId="4B3F17A3" w14:textId="77777777" w:rsidR="00813D3E" w:rsidRDefault="001C3459" w:rsidP="008A4A3C">
      <w:pPr>
        <w:pStyle w:val="Standard"/>
      </w:pPr>
      <w:r>
        <w:t>En tant que de besoin, le maître d'ouvrage peut solliciter des candidats ou des soumissionnaires la prorogation du délai de validité des offres.</w:t>
      </w:r>
    </w:p>
    <w:p w14:paraId="4E7AA892" w14:textId="77777777" w:rsidR="00813D3E" w:rsidRDefault="00813D3E" w:rsidP="008A4A3C">
      <w:pPr>
        <w:pStyle w:val="Standard"/>
      </w:pPr>
    </w:p>
    <w:p w14:paraId="52A1D981" w14:textId="09DA347B" w:rsidR="00813D3E" w:rsidRDefault="001C3459" w:rsidP="008A4A3C">
      <w:pPr>
        <w:pStyle w:val="Titre1"/>
      </w:pPr>
      <w:bookmarkStart w:id="34" w:name="_Toc198913409"/>
      <w:r>
        <w:t>NEGOCIATION</w:t>
      </w:r>
      <w:bookmarkEnd w:id="34"/>
    </w:p>
    <w:p w14:paraId="26221C5B" w14:textId="77777777" w:rsidR="00813D3E" w:rsidRDefault="00813D3E" w:rsidP="008A4A3C">
      <w:pPr>
        <w:pStyle w:val="Standard"/>
      </w:pPr>
    </w:p>
    <w:p w14:paraId="05A69785" w14:textId="4863448C" w:rsidR="00813D3E" w:rsidRDefault="00902965" w:rsidP="008A4A3C">
      <w:pPr>
        <w:pStyle w:val="Standard"/>
      </w:pPr>
      <w:r>
        <w:t>L</w:t>
      </w:r>
      <w:r w:rsidR="001C3459">
        <w:t>e maître d’ouvrage se réserve la possibilité d’attribuer le marché public sur la base des offres initiales ou de procéder à une phase de négociation.</w:t>
      </w:r>
    </w:p>
    <w:p w14:paraId="630F6F3A" w14:textId="77777777" w:rsidR="00813D3E" w:rsidRDefault="00813D3E" w:rsidP="008A4A3C">
      <w:pPr>
        <w:pStyle w:val="Standard"/>
      </w:pPr>
    </w:p>
    <w:p w14:paraId="622B00D3" w14:textId="77777777" w:rsidR="00813D3E" w:rsidRDefault="001C3459" w:rsidP="008A4A3C">
      <w:pPr>
        <w:pStyle w:val="Standard"/>
      </w:pPr>
      <w:r>
        <w:t>La négociation ne peut ni porter sur les exigences minimales des documents de la consultation, ni sur les critères de jugement des offres</w:t>
      </w:r>
    </w:p>
    <w:p w14:paraId="26CB890D" w14:textId="77777777" w:rsidR="00813D3E" w:rsidRDefault="00813D3E" w:rsidP="008A4A3C">
      <w:pPr>
        <w:pStyle w:val="Standard"/>
      </w:pPr>
    </w:p>
    <w:p w14:paraId="69558EDD" w14:textId="77777777" w:rsidR="00813D3E" w:rsidRDefault="001C3459" w:rsidP="008A4A3C">
      <w:pPr>
        <w:pStyle w:val="Standard"/>
      </w:pPr>
      <w:r>
        <w:t>À l’issue des négociations, le maître d’ouvrage invite les soumissionnaires ayant participé à celles-ci, à remettre une offre finale via PLACE dans un délai raisonnable et identique pour tous. Ce délai ainsi que les modalités de réponse sont déterminés dans l’invitation.</w:t>
      </w:r>
    </w:p>
    <w:p w14:paraId="125697A5" w14:textId="77777777" w:rsidR="00813D3E" w:rsidRDefault="00813D3E" w:rsidP="008A4A3C">
      <w:pPr>
        <w:pStyle w:val="Standard"/>
      </w:pPr>
    </w:p>
    <w:p w14:paraId="1F0442E0" w14:textId="77777777" w:rsidR="00813D3E" w:rsidRDefault="001C3459" w:rsidP="008A4A3C">
      <w:pPr>
        <w:pStyle w:val="Standard"/>
      </w:pPr>
      <w:r>
        <w:t>L’offre finale doit comporter les mêmes éléments que ceux mentionnés à l'article correspondant du présent RC, mis à jour à l'issue des négociations, et respecter les exigences minimales définies à l'article correspondant du présent RC.</w:t>
      </w:r>
    </w:p>
    <w:p w14:paraId="01864C1E" w14:textId="77777777" w:rsidR="00813D3E" w:rsidRDefault="00813D3E" w:rsidP="008A4A3C">
      <w:pPr>
        <w:pStyle w:val="Standard"/>
      </w:pPr>
    </w:p>
    <w:p w14:paraId="1822CBFB" w14:textId="77777777" w:rsidR="00813D3E" w:rsidRDefault="001C3459" w:rsidP="008A4A3C">
      <w:pPr>
        <w:pStyle w:val="Standard"/>
      </w:pPr>
      <w:r>
        <w:t>Les offres finales sont examinées dans les mêmes conditions que celles applicables aux offres initiales, telles que mentionnées à l'article correspondant du présent RC.</w:t>
      </w:r>
    </w:p>
    <w:p w14:paraId="09F80EB1" w14:textId="77777777" w:rsidR="00813D3E" w:rsidRDefault="00813D3E" w:rsidP="008A4A3C">
      <w:pPr>
        <w:pStyle w:val="Standard"/>
      </w:pPr>
    </w:p>
    <w:p w14:paraId="0C584541" w14:textId="77777777" w:rsidR="00813D3E" w:rsidRDefault="001C3459" w:rsidP="008A4A3C">
      <w:pPr>
        <w:pStyle w:val="Standard"/>
      </w:pPr>
      <w:r>
        <w:t>Au terme de la négociation, les offres finales demeurées irrégulières ou inacceptables sont éliminées.</w:t>
      </w:r>
    </w:p>
    <w:p w14:paraId="35DC1224" w14:textId="77777777" w:rsidR="0012057B" w:rsidRDefault="0012057B" w:rsidP="008A4A3C">
      <w:pPr>
        <w:pStyle w:val="Standard"/>
      </w:pPr>
    </w:p>
    <w:p w14:paraId="30822919" w14:textId="6F439B8D" w:rsidR="0012057B" w:rsidRDefault="0012057B" w:rsidP="0012057B">
      <w:pPr>
        <w:pStyle w:val="Standard"/>
      </w:pPr>
      <w:r>
        <w:t>À défaut de nouvelle proposition dans les délais impartis, seule la première offre du candidat sera prise en</w:t>
      </w:r>
      <w:r>
        <w:t xml:space="preserve"> </w:t>
      </w:r>
      <w:r>
        <w:t>considération pour l’analyse finale si elle n’est ni irrégulière, ni inacceptable. S’agissant des offres remises</w:t>
      </w:r>
      <w:r>
        <w:t xml:space="preserve"> </w:t>
      </w:r>
      <w:r>
        <w:t>après négociation ou, à défaut de nouvelles propositions, des premières offres, le délai de validité des offres</w:t>
      </w:r>
      <w:r>
        <w:t xml:space="preserve"> </w:t>
      </w:r>
      <w:r>
        <w:t>est apprécié à compter de la date de remise des offres définitives.</w:t>
      </w:r>
    </w:p>
    <w:p w14:paraId="31657923" w14:textId="77777777" w:rsidR="00813D3E" w:rsidRDefault="00813D3E" w:rsidP="008A4A3C">
      <w:pPr>
        <w:pStyle w:val="Standard"/>
      </w:pPr>
    </w:p>
    <w:p w14:paraId="1CE4FD7C" w14:textId="67559BEE" w:rsidR="00813D3E" w:rsidRDefault="001C3459" w:rsidP="008A4A3C">
      <w:pPr>
        <w:pStyle w:val="Titre1"/>
      </w:pPr>
      <w:bookmarkStart w:id="35" w:name="_Toc198913410"/>
      <w:r>
        <w:t>ATTRIBUTION DU MARCHE</w:t>
      </w:r>
      <w:bookmarkEnd w:id="35"/>
    </w:p>
    <w:p w14:paraId="17DD3E00" w14:textId="77777777" w:rsidR="00813D3E" w:rsidRDefault="00813D3E" w:rsidP="008A4A3C">
      <w:pPr>
        <w:pStyle w:val="Standard"/>
      </w:pPr>
    </w:p>
    <w:p w14:paraId="1DA04DD2" w14:textId="7F2DB0B4" w:rsidR="00813D3E" w:rsidRDefault="002A4B83" w:rsidP="008A4A3C">
      <w:pPr>
        <w:pStyle w:val="Standard"/>
      </w:pPr>
      <w:r>
        <w:t>L</w:t>
      </w:r>
      <w:r w:rsidR="001C3459">
        <w:t>e marché est attribué au soumissionnaire dont l'offre est économiquement la plus avantageuse, au regard des critères d'attribution énoncés dans le présent règlement de la consultation.</w:t>
      </w:r>
    </w:p>
    <w:p w14:paraId="29D63BE2" w14:textId="77777777" w:rsidR="00813D3E" w:rsidRDefault="001C3459" w:rsidP="008A4A3C">
      <w:pPr>
        <w:pStyle w:val="Standard"/>
      </w:pPr>
      <w:r>
        <w:t>Les soumissionnaires évincés sont informés du rejet de leur offre dans les conditions fixées aux articles à l'article R.2181-1 et suivants du code de la commande publique.</w:t>
      </w:r>
    </w:p>
    <w:p w14:paraId="1AC40CFB" w14:textId="77777777" w:rsidR="00813D3E" w:rsidRDefault="00813D3E" w:rsidP="008A4A3C">
      <w:pPr>
        <w:pStyle w:val="Standard"/>
      </w:pPr>
    </w:p>
    <w:p w14:paraId="6E32BA08" w14:textId="6DB8CAD4" w:rsidR="00813D3E" w:rsidRDefault="001C3459" w:rsidP="008A4A3C">
      <w:pPr>
        <w:pStyle w:val="Titre2"/>
      </w:pPr>
      <w:bookmarkStart w:id="36" w:name="_Toc198913411"/>
      <w:r>
        <w:t>Vérification des motifs d'exclusion : transmission des moyens de preuve</w:t>
      </w:r>
      <w:bookmarkEnd w:id="36"/>
    </w:p>
    <w:p w14:paraId="2B17B9FC" w14:textId="77777777" w:rsidR="00813D3E" w:rsidRDefault="00813D3E" w:rsidP="008A4A3C">
      <w:pPr>
        <w:pStyle w:val="Standard"/>
      </w:pPr>
    </w:p>
    <w:p w14:paraId="4846B829" w14:textId="77777777" w:rsidR="00813D3E" w:rsidRDefault="001C3459" w:rsidP="008A4A3C">
      <w:pPr>
        <w:pStyle w:val="Standard"/>
      </w:pPr>
      <w:r>
        <w:t>Le soumissionnaire auquel il est envisagé d'attribuer le marché public fournit dans le délai fixé dans le courrier envoyé par voie dématérialisée l'informant que son offre est susceptible d'être retenue, les documents suivants :</w:t>
      </w:r>
    </w:p>
    <w:p w14:paraId="5C13DEE6" w14:textId="77777777" w:rsidR="00813D3E" w:rsidRDefault="00813D3E" w:rsidP="008A4A3C">
      <w:pPr>
        <w:pStyle w:val="Standard"/>
      </w:pPr>
    </w:p>
    <w:p w14:paraId="015B0DE0" w14:textId="77777777" w:rsidR="00813D3E" w:rsidRDefault="001C3459" w:rsidP="008A4A3C">
      <w:pPr>
        <w:pStyle w:val="Standard"/>
      </w:pPr>
      <w:r>
        <w:t xml:space="preserve">■L'acte d'engagement (ATTRI1) et ses éventuelles annexes, à compléter et à signer, le cas échéant par tous les membres du groupement d'opérateurs </w:t>
      </w:r>
      <w:proofErr w:type="gramStart"/>
      <w:r>
        <w:t>économiques;</w:t>
      </w:r>
      <w:proofErr w:type="gramEnd"/>
    </w:p>
    <w:p w14:paraId="1D300891" w14:textId="77777777" w:rsidR="00813D3E" w:rsidRDefault="00813D3E" w:rsidP="008A4A3C">
      <w:pPr>
        <w:pStyle w:val="Standard"/>
      </w:pPr>
    </w:p>
    <w:p w14:paraId="56C57360" w14:textId="77777777" w:rsidR="00813D3E" w:rsidRDefault="001C3459" w:rsidP="008A4A3C">
      <w:pPr>
        <w:pStyle w:val="Standard"/>
      </w:pPr>
      <w:r>
        <w:t xml:space="preserve">■Le cas échéant, dans le cas où les membres du groupement d'opérateurs économiques ne signent pas tous l'acte d'engagement, le document d'habilitation signé par tous les membres du </w:t>
      </w:r>
      <w:proofErr w:type="gramStart"/>
      <w:r>
        <w:t>groupement;</w:t>
      </w:r>
      <w:proofErr w:type="gramEnd"/>
    </w:p>
    <w:p w14:paraId="6FE800E7" w14:textId="77777777" w:rsidR="00813D3E" w:rsidRDefault="00813D3E" w:rsidP="008A4A3C">
      <w:pPr>
        <w:pStyle w:val="Standard"/>
      </w:pPr>
    </w:p>
    <w:p w14:paraId="327789F7" w14:textId="77777777" w:rsidR="00813D3E" w:rsidRDefault="001C3459" w:rsidP="008A4A3C">
      <w:pPr>
        <w:pStyle w:val="Standard"/>
      </w:pPr>
      <w:r>
        <w:t xml:space="preserve">■Le pouvoir du ou des signataires d'engager la personne qu'il représente (titulaire individuel ou groupement d'opérateurs </w:t>
      </w:r>
      <w:proofErr w:type="gramStart"/>
      <w:r>
        <w:t>économiques;</w:t>
      </w:r>
      <w:proofErr w:type="gramEnd"/>
    </w:p>
    <w:p w14:paraId="2EF49FE0" w14:textId="77777777" w:rsidR="00813D3E" w:rsidRDefault="00813D3E" w:rsidP="008A4A3C">
      <w:pPr>
        <w:pStyle w:val="Standard"/>
      </w:pPr>
    </w:p>
    <w:p w14:paraId="79A6115D" w14:textId="77777777" w:rsidR="00813D3E" w:rsidRDefault="001C3459" w:rsidP="008A4A3C">
      <w:pPr>
        <w:pStyle w:val="Standard"/>
      </w:pPr>
      <w:r>
        <w:t>■Le cas échéant, en cas de sous-traitance, la déclaration de sous-traitance (DC4 ou équivalent) signée par le sous-traitant et le soumissionnaire, les renseignements relatifs aux capacités du sous-traitant lorsque le soumissionnaire s'appuie sur celles-</w:t>
      </w:r>
      <w:proofErr w:type="gramStart"/>
      <w:r>
        <w:t>ci;</w:t>
      </w:r>
      <w:proofErr w:type="gramEnd"/>
    </w:p>
    <w:p w14:paraId="72F51771" w14:textId="77777777" w:rsidR="00813D3E" w:rsidRDefault="00813D3E" w:rsidP="008A4A3C">
      <w:pPr>
        <w:pStyle w:val="Standard"/>
      </w:pPr>
    </w:p>
    <w:p w14:paraId="3F91313A" w14:textId="77777777" w:rsidR="00813D3E" w:rsidRDefault="001C3459" w:rsidP="008A4A3C">
      <w:pPr>
        <w:pStyle w:val="Standard"/>
      </w:pPr>
      <w:r>
        <w:lastRenderedPageBreak/>
        <w:t xml:space="preserve">■Le ou les relevé(s) d'identité bancaire ou </w:t>
      </w:r>
      <w:proofErr w:type="gramStart"/>
      <w:r>
        <w:t>équivalent;</w:t>
      </w:r>
      <w:proofErr w:type="gramEnd"/>
    </w:p>
    <w:p w14:paraId="401A5C8E" w14:textId="77777777" w:rsidR="00813D3E" w:rsidRDefault="00813D3E" w:rsidP="008A4A3C">
      <w:pPr>
        <w:pStyle w:val="Standard"/>
      </w:pPr>
    </w:p>
    <w:p w14:paraId="4E5D8F4C" w14:textId="77777777" w:rsidR="00813D3E" w:rsidRDefault="001C3459" w:rsidP="008A4A3C">
      <w:pPr>
        <w:pStyle w:val="Standard"/>
      </w:pPr>
      <w:r>
        <w:t xml:space="preserve">■En cas de redressement judiciaire, ou une procédure équivalente régie par un droit étranger, la copie du ou des jugements </w:t>
      </w:r>
      <w:proofErr w:type="gramStart"/>
      <w:r>
        <w:t>prononcés;</w:t>
      </w:r>
      <w:proofErr w:type="gramEnd"/>
    </w:p>
    <w:p w14:paraId="764F3D09" w14:textId="77777777" w:rsidR="00813D3E" w:rsidRDefault="00813D3E" w:rsidP="008A4A3C">
      <w:pPr>
        <w:pStyle w:val="Standard"/>
      </w:pPr>
    </w:p>
    <w:p w14:paraId="58E567B9" w14:textId="77777777" w:rsidR="00813D3E" w:rsidRDefault="001C3459" w:rsidP="008A4A3C">
      <w:pPr>
        <w:pStyle w:val="Standard"/>
      </w:pPr>
      <w:r>
        <w:t xml:space="preserve">■Le cas échéant, si le soumissionnaire emploie des salariés étrangers, la liste nominative des salariés étrangers qu'il emploie et soumis à l'autorisation de travail prévue à l'article L.5221-2 du code du travail. Cette liste doit comporter toutes les informations figurant à l'article D.8254-2 du code du travail (1° Sa date d'embauche ; 2° Sa nationalité ; 3° Le type et le numéro d'ordre du titre valant autorisation de </w:t>
      </w:r>
      <w:proofErr w:type="gramStart"/>
      <w:r>
        <w:t>travail;</w:t>
      </w:r>
      <w:proofErr w:type="gramEnd"/>
    </w:p>
    <w:p w14:paraId="73C8FBF2" w14:textId="77777777" w:rsidR="00813D3E" w:rsidRDefault="00813D3E" w:rsidP="008A4A3C">
      <w:pPr>
        <w:pStyle w:val="Standard"/>
      </w:pPr>
    </w:p>
    <w:p w14:paraId="007667A8" w14:textId="77777777" w:rsidR="00813D3E" w:rsidRDefault="001C3459" w:rsidP="008A4A3C">
      <w:pPr>
        <w:pStyle w:val="Standard"/>
      </w:pPr>
      <w:r>
        <w:t xml:space="preserve">■Lorsque le soumissionnaire est établi en France : son numéro unique d'identification permettant à l'acheteur d'accéder aux informations pertinentes par le biais d'un système électronique mentionné au 1° de l'article R. 2143-13 du </w:t>
      </w:r>
      <w:proofErr w:type="gramStart"/>
      <w:r>
        <w:t>CCP;</w:t>
      </w:r>
      <w:proofErr w:type="gramEnd"/>
      <w:r>
        <w:t>]</w:t>
      </w:r>
    </w:p>
    <w:p w14:paraId="59734B81" w14:textId="77777777" w:rsidR="00813D3E" w:rsidRDefault="00813D3E" w:rsidP="008A4A3C">
      <w:pPr>
        <w:pStyle w:val="Standard"/>
      </w:pPr>
    </w:p>
    <w:p w14:paraId="37248BE7" w14:textId="77777777" w:rsidR="00813D3E" w:rsidRDefault="001C3459" w:rsidP="008A4A3C">
      <w:pPr>
        <w:pStyle w:val="Standard"/>
      </w:pPr>
      <w:r>
        <w:t>■Lorsque le soumissionnaire est établi en France : Pour les entreprises en cours d'inscription - un récépissé de dépôt de déclaration auprès d'un centre de formalités des entreprises (CFE</w:t>
      </w:r>
      <w:proofErr w:type="gramStart"/>
      <w:r>
        <w:t>);</w:t>
      </w:r>
      <w:proofErr w:type="gramEnd"/>
    </w:p>
    <w:p w14:paraId="1017DB69" w14:textId="77777777" w:rsidR="00813D3E" w:rsidRDefault="00813D3E" w:rsidP="008A4A3C">
      <w:pPr>
        <w:pStyle w:val="Standard"/>
      </w:pPr>
    </w:p>
    <w:p w14:paraId="7E491159" w14:textId="77777777" w:rsidR="00813D3E" w:rsidRDefault="001C3459" w:rsidP="008A4A3C">
      <w:pPr>
        <w:pStyle w:val="Standard"/>
      </w:pPr>
      <w:r>
        <w:t>■Le cas échéant, dans le cas où elles ne sont pas disponibles sur PLACE, le(s) certificat(s) délivré(s) par les administrations et organismes compétents suivant(s) :</w:t>
      </w:r>
    </w:p>
    <w:p w14:paraId="542B8B1A" w14:textId="77777777" w:rsidR="00813D3E" w:rsidRDefault="00813D3E" w:rsidP="008A4A3C">
      <w:pPr>
        <w:pStyle w:val="Standard"/>
      </w:pPr>
    </w:p>
    <w:p w14:paraId="25844362" w14:textId="77777777" w:rsidR="00813D3E" w:rsidRDefault="001C3459" w:rsidP="008A4A3C">
      <w:pPr>
        <w:pStyle w:val="Standard"/>
      </w:pPr>
      <w:r>
        <w:t>• certificat de conformité aux obligations fiscales (au titre de l'impôt sur le revenu, de l'impôt sur les sociétés et/ou de la taxe sur la valeur ajoutée (TVA)</w:t>
      </w:r>
    </w:p>
    <w:p w14:paraId="5E19BF65" w14:textId="77777777" w:rsidR="00813D3E" w:rsidRDefault="001C3459" w:rsidP="008A4A3C">
      <w:pPr>
        <w:pStyle w:val="Standard"/>
      </w:pPr>
      <w:r>
        <w:t>• certificat de l'article L. 243-15 du code de la sécurité sociale, connu sous le nom d'attestation de vigilance</w:t>
      </w:r>
    </w:p>
    <w:p w14:paraId="1CD079C2" w14:textId="77777777" w:rsidR="00813D3E" w:rsidRDefault="001C3459" w:rsidP="008A4A3C">
      <w:pPr>
        <w:pStyle w:val="Standard"/>
      </w:pPr>
      <w:r>
        <w:t>• pour tout employeur occupant au moins vingt salariés, le certificat délivré par l'association de gestion du fonds de développement pour l'insertion professionnelle des personnes handicapées (AGEFIPH), concernant le respect des dispositions des articles L. 5212-1 à L. 5212-11 du code du travail relatif à l'emploi des travailleurs handicapés</w:t>
      </w:r>
    </w:p>
    <w:p w14:paraId="04DBC8D1" w14:textId="77777777" w:rsidR="00813D3E" w:rsidRDefault="00813D3E" w:rsidP="008A4A3C">
      <w:pPr>
        <w:pStyle w:val="Standard"/>
      </w:pPr>
    </w:p>
    <w:p w14:paraId="7EB3BC62" w14:textId="77777777" w:rsidR="00813D3E" w:rsidRDefault="001C3459" w:rsidP="008A4A3C">
      <w:pPr>
        <w:pStyle w:val="Standard"/>
      </w:pPr>
      <w:r>
        <w:t xml:space="preserve">■Lorsque le soumissionnaire est établi hors de France : un document mentionnant son numéro individuel d'identification, attribué en application de l'article 286 ter du code général des impôts. Si le soumissionnaire n'est pas établie dans un pays de l'Union européenne, un document mentionnant l'identité et l'adresse du candidat ou les coordonnées de son représentant fiscal ponctuel en </w:t>
      </w:r>
      <w:proofErr w:type="gramStart"/>
      <w:r>
        <w:t>France;</w:t>
      </w:r>
      <w:proofErr w:type="gramEnd"/>
    </w:p>
    <w:p w14:paraId="504F0039" w14:textId="77777777" w:rsidR="00813D3E" w:rsidRDefault="00813D3E" w:rsidP="008A4A3C">
      <w:pPr>
        <w:pStyle w:val="Standard"/>
      </w:pPr>
    </w:p>
    <w:p w14:paraId="01C87808" w14:textId="77777777" w:rsidR="00813D3E" w:rsidRDefault="001C3459" w:rsidP="008A4A3C">
      <w:pPr>
        <w:pStyle w:val="Standard"/>
      </w:pPr>
      <w:r>
        <w:t>■Lorsque le soumissionnaire est établi hors de France :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w:t>
      </w:r>
    </w:p>
    <w:p w14:paraId="02B17EE9" w14:textId="77777777" w:rsidR="00813D3E" w:rsidRDefault="00813D3E" w:rsidP="008A4A3C">
      <w:pPr>
        <w:pStyle w:val="Standard"/>
      </w:pPr>
    </w:p>
    <w:p w14:paraId="6E5E665E" w14:textId="77777777" w:rsidR="00813D3E" w:rsidRDefault="001C3459" w:rsidP="008A4A3C">
      <w:pPr>
        <w:pStyle w:val="Standard"/>
      </w:pPr>
      <w:r>
        <w:t xml:space="preserve">■Lorsque le soumissionnaire est établi hors de France : un extrait du registre pertinent au sens de l'article R.2143-9 du code de la commande publique, ou un document équivalent délivré par l'autorité judiciaire ou administrative compétente du pays d'origine, attestant de l'absence de cas d'exclusion. Pour les entreprises en cours de création, un document datant de moins de 6 mois émanant de l'autorité habilitée à recevoir l'inscription au registre professionnel et attestant de la demande d'immatriculation audit </w:t>
      </w:r>
      <w:proofErr w:type="gramStart"/>
      <w:r>
        <w:t>registre;</w:t>
      </w:r>
      <w:proofErr w:type="gramEnd"/>
    </w:p>
    <w:p w14:paraId="368A1E0E" w14:textId="77777777" w:rsidR="00813D3E" w:rsidRDefault="00813D3E" w:rsidP="008A4A3C">
      <w:pPr>
        <w:pStyle w:val="Standard"/>
      </w:pPr>
    </w:p>
    <w:p w14:paraId="6BAFBF4C" w14:textId="77777777" w:rsidR="00813D3E" w:rsidRDefault="001C3459" w:rsidP="008A4A3C">
      <w:pPr>
        <w:pStyle w:val="Standard"/>
      </w:pPr>
      <w:r>
        <w:t>■Lorsque le soumissionnaire est établi hors de France : Le cas échéant, en cas de recours à des travailleurs détachés, dans les conditions définies à l'article L.1262-1 du code du travail :</w:t>
      </w:r>
    </w:p>
    <w:p w14:paraId="504ABA00" w14:textId="77777777" w:rsidR="00813D3E" w:rsidRDefault="001C3459" w:rsidP="008A4A3C">
      <w:pPr>
        <w:pStyle w:val="Standard"/>
      </w:pPr>
      <w:r>
        <w:t xml:space="preserve">a) L'accusé de réception de la déclaration de détachement effectuée sur le </w:t>
      </w:r>
      <w:proofErr w:type="spellStart"/>
      <w:r>
        <w:t>télé-service</w:t>
      </w:r>
      <w:proofErr w:type="spellEnd"/>
      <w:r>
        <w:t xml:space="preserve"> " SIPSI " du ministère chargé du travail, conformément aux articles R. 1263-5 et R. 1263-7 du code du </w:t>
      </w:r>
      <w:proofErr w:type="gramStart"/>
      <w:r>
        <w:t>travail;</w:t>
      </w:r>
      <w:proofErr w:type="gramEnd"/>
    </w:p>
    <w:p w14:paraId="5DCE6159" w14:textId="77777777" w:rsidR="00813D3E" w:rsidRDefault="001C3459" w:rsidP="008A4A3C">
      <w:pPr>
        <w:pStyle w:val="Standard"/>
      </w:pPr>
      <w:r>
        <w:t xml:space="preserve">b) Une attestation sur l'honneur certifiant que le cocontractant s'est, le cas échéant, acquitté du paiement des sommes dues au titre des amendes prévues aux articles L. 1263-6, L. 1264-1, L. 1264-2 et L. 8115-1 du code </w:t>
      </w:r>
      <w:r>
        <w:lastRenderedPageBreak/>
        <w:t>du travail. Cette attestation comporte les nom, prénom, raison sociale du cocontractant et la signature de son représentant légal.</w:t>
      </w:r>
    </w:p>
    <w:p w14:paraId="51797AE2" w14:textId="77777777" w:rsidR="00813D3E" w:rsidRDefault="00813D3E" w:rsidP="008A4A3C">
      <w:pPr>
        <w:pStyle w:val="Standard"/>
      </w:pPr>
    </w:p>
    <w:p w14:paraId="3C6C0AFD" w14:textId="77777777" w:rsidR="00813D3E" w:rsidRDefault="001C3459" w:rsidP="008A4A3C">
      <w:pPr>
        <w:pStyle w:val="Standard"/>
      </w:pPr>
      <w:r>
        <w:t>■Lorsque le soumissionnaire est établi hors de France : 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w14:paraId="17EE726A" w14:textId="520598D3" w:rsidR="00813D3E" w:rsidRDefault="001C3459" w:rsidP="008A4A3C">
      <w:pPr>
        <w:pStyle w:val="Titre2"/>
      </w:pPr>
      <w:bookmarkStart w:id="37" w:name="_Toc198913412"/>
      <w:r>
        <w:t>Interdiction d'attribution</w:t>
      </w:r>
      <w:bookmarkEnd w:id="37"/>
    </w:p>
    <w:p w14:paraId="31A81291" w14:textId="77777777" w:rsidR="00813D3E" w:rsidRDefault="00813D3E" w:rsidP="008A4A3C">
      <w:pPr>
        <w:pStyle w:val="Standard"/>
      </w:pPr>
    </w:p>
    <w:p w14:paraId="17DD1826" w14:textId="77777777" w:rsidR="00813D3E" w:rsidRDefault="001C3459" w:rsidP="008A4A3C">
      <w:pPr>
        <w:pStyle w:val="Standard"/>
      </w:pPr>
      <w:r>
        <w:t>Est exclu de la procédure tout candidat auquel l'acheteur ne peut attribuer le contrat, en application d'une interdiction émanant d'un texte d'applicabilité directe (accords internationaux, règlement européen...)</w:t>
      </w:r>
    </w:p>
    <w:p w14:paraId="17F42A9F" w14:textId="1EB1EF07" w:rsidR="00813D3E" w:rsidRDefault="001C3459" w:rsidP="008A4A3C">
      <w:pPr>
        <w:pStyle w:val="Titre2"/>
      </w:pPr>
      <w:bookmarkStart w:id="38" w:name="_Toc198913413"/>
      <w:r>
        <w:t>Signature du marché</w:t>
      </w:r>
      <w:bookmarkEnd w:id="38"/>
    </w:p>
    <w:p w14:paraId="0D13CDD0" w14:textId="77777777" w:rsidR="00813D3E" w:rsidRDefault="00813D3E" w:rsidP="008A4A3C">
      <w:pPr>
        <w:pStyle w:val="Standard"/>
        <w:rPr>
          <w:shd w:val="clear" w:color="auto" w:fill="FFFF00"/>
        </w:rPr>
      </w:pPr>
    </w:p>
    <w:p w14:paraId="4BCB52F1" w14:textId="77777777" w:rsidR="00813D3E" w:rsidRDefault="001C3459" w:rsidP="008A4A3C">
      <w:pPr>
        <w:pStyle w:val="Standard"/>
      </w:pPr>
      <w:r>
        <w:t>La signature de l’acte d’engagement n'est pas obligatoire au moment du dépôt de l'offre, en revanche, elle devra intervenir avant l'attribution du marché.</w:t>
      </w:r>
    </w:p>
    <w:p w14:paraId="5239D219" w14:textId="3C3F3C6B" w:rsidR="00813D3E" w:rsidRDefault="001C3459" w:rsidP="008A4A3C">
      <w:pPr>
        <w:pStyle w:val="Standard"/>
      </w:pPr>
      <w:r>
        <w:t>Le marché est signé par le soumissionnaire retenu au moyen de l'acte d'engagement rematérialisé (version originale papier) et signé de façon manuscrite par la personne habilitée à engager la société. L'acte d'engagement est par la suite signé par le représentant du pouvoir adjudi</w:t>
      </w:r>
      <w:r w:rsidR="00AE66A6">
        <w:t>cateur des Archives nationales</w:t>
      </w:r>
      <w:r>
        <w:t>.</w:t>
      </w:r>
    </w:p>
    <w:p w14:paraId="0F3DEE2A" w14:textId="77777777" w:rsidR="00813D3E" w:rsidRDefault="001C3459" w:rsidP="008A4A3C">
      <w:pPr>
        <w:pStyle w:val="Standard"/>
      </w:pPr>
      <w:r>
        <w:t xml:space="preserve">Après signature, le marché est notifié via PLACE à l’attributaire du marché. </w:t>
      </w:r>
    </w:p>
    <w:p w14:paraId="55E67602" w14:textId="54C0D1A4" w:rsidR="00813D3E" w:rsidRDefault="001C3459" w:rsidP="008A4A3C">
      <w:pPr>
        <w:pStyle w:val="Titre2"/>
      </w:pPr>
      <w:bookmarkStart w:id="39" w:name="_Toc198913414"/>
      <w:r>
        <w:t>Mise au point</w:t>
      </w:r>
      <w:bookmarkEnd w:id="39"/>
    </w:p>
    <w:p w14:paraId="0549FFC6" w14:textId="77777777" w:rsidR="00813D3E" w:rsidRDefault="00813D3E" w:rsidP="008A4A3C">
      <w:pPr>
        <w:pStyle w:val="Standard"/>
      </w:pPr>
    </w:p>
    <w:p w14:paraId="02E608A1" w14:textId="77777777" w:rsidR="00813D3E" w:rsidRDefault="001C3459" w:rsidP="008A4A3C">
      <w:pPr>
        <w:pStyle w:val="Standard"/>
      </w:pPr>
      <w:r>
        <w:t>Le maître d'ouvrage et le soumissionnaire retenu peuvent procéder à une mise au point des composantes du marché. Cette mise au point ne peut avoir pour objet de modifier des éléments substantiels de l'offre ou du présent marché.</w:t>
      </w:r>
    </w:p>
    <w:p w14:paraId="4DE5B6B8" w14:textId="77777777" w:rsidR="00813D3E" w:rsidRDefault="00813D3E" w:rsidP="008A4A3C">
      <w:pPr>
        <w:pStyle w:val="Standard"/>
      </w:pPr>
    </w:p>
    <w:p w14:paraId="009F8D76" w14:textId="7C4C5116" w:rsidR="00813D3E" w:rsidRDefault="001C3459" w:rsidP="008A4A3C">
      <w:pPr>
        <w:pStyle w:val="Titre1"/>
      </w:pPr>
      <w:bookmarkStart w:id="40" w:name="_Toc198913415"/>
      <w:r>
        <w:t>LANGUE</w:t>
      </w:r>
      <w:bookmarkEnd w:id="40"/>
    </w:p>
    <w:p w14:paraId="04029F78" w14:textId="77777777" w:rsidR="00813D3E" w:rsidRDefault="00813D3E" w:rsidP="008A4A3C">
      <w:pPr>
        <w:pStyle w:val="Standard"/>
      </w:pPr>
    </w:p>
    <w:p w14:paraId="73AC6987" w14:textId="77777777" w:rsidR="00813D3E" w:rsidRDefault="001C3459" w:rsidP="008A4A3C">
      <w:pPr>
        <w:pStyle w:val="Standard"/>
      </w:pPr>
      <w:r>
        <w:t>Les documents et informations doivent être rédigés en langue française ou, à défaut, être accompagnées d'une traduction en français.</w:t>
      </w:r>
    </w:p>
    <w:p w14:paraId="38594874" w14:textId="51A9D144" w:rsidR="00813D3E" w:rsidRDefault="001C3459" w:rsidP="008A4A3C">
      <w:pPr>
        <w:pStyle w:val="Standard"/>
      </w:pPr>
      <w:r>
        <w:t>En cas de candidature sous forme de DUME, ce dernier doit être rédigé en français.</w:t>
      </w:r>
    </w:p>
    <w:p w14:paraId="7ACDF5D1" w14:textId="77777777" w:rsidR="008A7B2D" w:rsidRDefault="008A7B2D" w:rsidP="008A4A3C">
      <w:pPr>
        <w:pStyle w:val="Standard"/>
      </w:pPr>
    </w:p>
    <w:p w14:paraId="543D4DA6" w14:textId="4D9357F1" w:rsidR="00813D3E" w:rsidRDefault="001C3459" w:rsidP="008A4A3C">
      <w:pPr>
        <w:pStyle w:val="Titre1"/>
      </w:pPr>
      <w:bookmarkStart w:id="41" w:name="_Toc198913416"/>
      <w:r>
        <w:t>CONTENTIEUX</w:t>
      </w:r>
      <w:bookmarkEnd w:id="41"/>
    </w:p>
    <w:p w14:paraId="4ED8CC65" w14:textId="77777777" w:rsidR="00813D3E" w:rsidRDefault="00813D3E" w:rsidP="008A4A3C">
      <w:pPr>
        <w:pStyle w:val="Standard"/>
      </w:pPr>
    </w:p>
    <w:p w14:paraId="6E261887" w14:textId="77777777" w:rsidR="00813D3E" w:rsidRDefault="001C3459" w:rsidP="008A4A3C">
      <w:pPr>
        <w:pStyle w:val="Standard"/>
      </w:pPr>
      <w:r>
        <w:t>Le tribunal compétent est le tribunal administratif de Montreuil.</w:t>
      </w:r>
    </w:p>
    <w:p w14:paraId="5BE5938C" w14:textId="77777777" w:rsidR="00E147C6" w:rsidRDefault="00E147C6" w:rsidP="008A4A3C">
      <w:pPr>
        <w:pStyle w:val="Standard"/>
      </w:pPr>
    </w:p>
    <w:p w14:paraId="2D3E55A1" w14:textId="216AE096" w:rsidR="00E147C6" w:rsidRDefault="00E147C6" w:rsidP="00E147C6">
      <w:pPr>
        <w:pStyle w:val="Standard"/>
      </w:pPr>
      <w:r w:rsidRPr="00381F3A">
        <w:rPr>
          <w:u w:val="single"/>
        </w:rPr>
        <w:t>Informations relatives aux délais de recours</w:t>
      </w:r>
      <w:r>
        <w:t xml:space="preserve"> </w:t>
      </w:r>
      <w:r>
        <w:t xml:space="preserve">: </w:t>
      </w:r>
    </w:p>
    <w:p w14:paraId="6A6176AB" w14:textId="77777777" w:rsidR="00E147C6" w:rsidRDefault="00E147C6" w:rsidP="00E147C6">
      <w:pPr>
        <w:pStyle w:val="Standard"/>
      </w:pPr>
    </w:p>
    <w:p w14:paraId="7A44BD65" w14:textId="77777777" w:rsidR="00E147C6" w:rsidRDefault="00E147C6" w:rsidP="00381F3A">
      <w:pPr>
        <w:pStyle w:val="Standard"/>
        <w:numPr>
          <w:ilvl w:val="0"/>
          <w:numId w:val="34"/>
        </w:numPr>
      </w:pPr>
      <w:r w:rsidRPr="00E147C6">
        <w:rPr>
          <w:b/>
          <w:bCs/>
        </w:rPr>
        <w:t>Référé précontractuel</w:t>
      </w:r>
      <w:r>
        <w:t xml:space="preserve"> (articles L5511 et R5511 du code de justice</w:t>
      </w:r>
      <w:r>
        <w:t xml:space="preserve"> </w:t>
      </w:r>
      <w:r>
        <w:t xml:space="preserve">administrative) à tout moment de la procédure mais avant la conclusion du marché public. </w:t>
      </w:r>
    </w:p>
    <w:p w14:paraId="731AA1FA" w14:textId="77777777" w:rsidR="00E147C6" w:rsidRDefault="00E147C6" w:rsidP="00381F3A">
      <w:pPr>
        <w:pStyle w:val="Standard"/>
        <w:numPr>
          <w:ilvl w:val="0"/>
          <w:numId w:val="34"/>
        </w:numPr>
      </w:pPr>
      <w:r w:rsidRPr="00381F3A">
        <w:rPr>
          <w:b/>
          <w:bCs/>
        </w:rPr>
        <w:t>R</w:t>
      </w:r>
      <w:r w:rsidRPr="00381F3A">
        <w:rPr>
          <w:b/>
          <w:bCs/>
        </w:rPr>
        <w:t>éféré contractuel</w:t>
      </w:r>
      <w:r>
        <w:t xml:space="preserve"> (article</w:t>
      </w:r>
      <w:r>
        <w:t xml:space="preserve"> </w:t>
      </w:r>
      <w:r>
        <w:t>R5517 du code de justice administrative), dans un délai de 31 jours suivant la publication de l'avis d'attribution, ou à</w:t>
      </w:r>
      <w:r>
        <w:t xml:space="preserve"> </w:t>
      </w:r>
      <w:r>
        <w:t>défaut d'avis d'attribution jusqu'à l'expiration d'un délai de six mois à compter du lendemain du jour de la conclusion</w:t>
      </w:r>
      <w:r>
        <w:t xml:space="preserve"> </w:t>
      </w:r>
      <w:r>
        <w:t xml:space="preserve">du marché public. </w:t>
      </w:r>
    </w:p>
    <w:p w14:paraId="6680ABA8" w14:textId="5FC4F153" w:rsidR="00E147C6" w:rsidRDefault="00E147C6" w:rsidP="00381F3A">
      <w:pPr>
        <w:pStyle w:val="Standard"/>
        <w:numPr>
          <w:ilvl w:val="0"/>
          <w:numId w:val="34"/>
        </w:numPr>
      </w:pPr>
      <w:r w:rsidRPr="00381F3A">
        <w:rPr>
          <w:b/>
          <w:bCs/>
        </w:rPr>
        <w:t>R</w:t>
      </w:r>
      <w:r w:rsidRPr="00381F3A">
        <w:rPr>
          <w:b/>
          <w:bCs/>
        </w:rPr>
        <w:t>ecours pour excès de pouvoir</w:t>
      </w:r>
      <w:r>
        <w:t xml:space="preserve"> ne peut toutefois être exercé après la signature du marché public.</w:t>
      </w:r>
      <w:r>
        <w:t xml:space="preserve"> </w:t>
      </w:r>
    </w:p>
    <w:p w14:paraId="5CAE07D0" w14:textId="0144C6A4" w:rsidR="00E147C6" w:rsidRDefault="00E147C6" w:rsidP="00381F3A">
      <w:pPr>
        <w:pStyle w:val="Standard"/>
        <w:numPr>
          <w:ilvl w:val="0"/>
          <w:numId w:val="34"/>
        </w:numPr>
      </w:pPr>
      <w:r w:rsidRPr="00381F3A">
        <w:rPr>
          <w:b/>
          <w:bCs/>
        </w:rPr>
        <w:t>R</w:t>
      </w:r>
      <w:r w:rsidRPr="00381F3A">
        <w:rPr>
          <w:b/>
          <w:bCs/>
        </w:rPr>
        <w:t>ecours en annulation</w:t>
      </w:r>
      <w:r>
        <w:t xml:space="preserve"> (article R4211 du code de justice administrative) ou référé suspension (article </w:t>
      </w:r>
      <w:r>
        <w:lastRenderedPageBreak/>
        <w:t>L5211 du code</w:t>
      </w:r>
      <w:r w:rsidR="00381F3A">
        <w:t xml:space="preserve"> </w:t>
      </w:r>
      <w:r>
        <w:t>de justice administrative) dans un délai de deux mois à compter de la notification ou de la publication de la décision.</w:t>
      </w:r>
    </w:p>
    <w:p w14:paraId="644B9333" w14:textId="28A29BEE" w:rsidR="00E147C6" w:rsidRDefault="00381F3A" w:rsidP="00381F3A">
      <w:pPr>
        <w:pStyle w:val="Standard"/>
        <w:numPr>
          <w:ilvl w:val="0"/>
          <w:numId w:val="34"/>
        </w:numPr>
      </w:pPr>
      <w:r w:rsidRPr="00381F3A">
        <w:rPr>
          <w:b/>
          <w:bCs/>
        </w:rPr>
        <w:t>Recours</w:t>
      </w:r>
      <w:r w:rsidR="00E147C6" w:rsidRPr="00381F3A">
        <w:rPr>
          <w:b/>
          <w:bCs/>
        </w:rPr>
        <w:t xml:space="preserve"> de pleine juridiction</w:t>
      </w:r>
      <w:r w:rsidR="00E147C6">
        <w:t xml:space="preserve"> devant le juge du contrat contestant la validité du marché public ou de certaines de </w:t>
      </w:r>
      <w:r>
        <w:t>ses clauses assorties</w:t>
      </w:r>
      <w:r w:rsidR="00E147C6">
        <w:t>, le cas échéant, d'une demande de suspension sur le fondement précité, dans un délai de deux mois à</w:t>
      </w:r>
      <w:r>
        <w:t xml:space="preserve"> </w:t>
      </w:r>
      <w:r w:rsidR="00E147C6">
        <w:t>compter de l'accomplissement des mesures de publicité appropriées.</w:t>
      </w:r>
    </w:p>
    <w:p w14:paraId="66866A9D" w14:textId="77777777" w:rsidR="00E147C6" w:rsidRDefault="00E147C6" w:rsidP="00E147C6">
      <w:pPr>
        <w:pStyle w:val="Standard"/>
      </w:pPr>
    </w:p>
    <w:p w14:paraId="4687EB14" w14:textId="77777777" w:rsidR="00813D3E" w:rsidRDefault="00813D3E" w:rsidP="008A4A3C">
      <w:pPr>
        <w:pStyle w:val="Standard"/>
      </w:pPr>
    </w:p>
    <w:p w14:paraId="675237CE" w14:textId="4E90BD5B" w:rsidR="00813D3E" w:rsidRDefault="001C3459" w:rsidP="008A4A3C">
      <w:pPr>
        <w:pStyle w:val="Titre1"/>
      </w:pPr>
      <w:bookmarkStart w:id="42" w:name="_Toc198913417"/>
      <w:r>
        <w:t>AMENAGEMENTS EN CAS DE MENACE SANITAIRE GRAVE APPELANT DES MESURES D'URGENCE</w:t>
      </w:r>
      <w:bookmarkEnd w:id="42"/>
    </w:p>
    <w:p w14:paraId="5833B5FF" w14:textId="77777777" w:rsidR="00813D3E" w:rsidRDefault="00813D3E" w:rsidP="008A4A3C">
      <w:pPr>
        <w:pStyle w:val="Standard"/>
      </w:pPr>
    </w:p>
    <w:p w14:paraId="52D9E182" w14:textId="77777777" w:rsidR="00813D3E" w:rsidRDefault="001C3459" w:rsidP="008A4A3C">
      <w:pPr>
        <w:pStyle w:val="Standard"/>
      </w:pPr>
      <w:r>
        <w:t>En cas de menace sanitaire grave appelant des mesures d’urgence déclarée en cours de consultation, l’acheteur peut aménager certaines modalités de mise en concurrence dans le respect des principes fondamentaux de la commande publique et après information des candidats ou soumissionnaires dans les meilleurs délais. L’acheteur s’assure également de leur possibilité de poursuivre la procédure selon les nouvelles modalités fixées.</w:t>
      </w:r>
    </w:p>
    <w:p w14:paraId="0BAD2B52" w14:textId="77777777" w:rsidR="00813D3E" w:rsidRDefault="00813D3E" w:rsidP="008A4A3C">
      <w:pPr>
        <w:pStyle w:val="Standard"/>
      </w:pPr>
    </w:p>
    <w:p w14:paraId="0D639C45" w14:textId="77777777" w:rsidR="00813D3E" w:rsidRDefault="001C3459" w:rsidP="008A4A3C">
      <w:pPr>
        <w:pStyle w:val="Standard"/>
      </w:pPr>
      <w:r>
        <w:t>Les aménagements concernent les modalités de signature pour lesquelles l’acheteur peut accepter des documents signés de manière manuscrite et scannés, si le candidat ou le soumissionnaire est dans l’impossibilité de procéder à l’envoi d’originaux “papier”. Une fois l’évènement perturbateur terminé, les originaux signés sont transmis dans les meilleurs délais à l’acheteur afin d’établir une preuve parfaite des engagements contractuels. L’acheteur peut en supprimer l’obligation de procéder à des visites.</w:t>
      </w:r>
    </w:p>
    <w:p w14:paraId="416EAE60" w14:textId="77777777" w:rsidR="00813D3E" w:rsidRDefault="00813D3E" w:rsidP="008A4A3C">
      <w:pPr>
        <w:pStyle w:val="Standard"/>
      </w:pPr>
    </w:p>
    <w:p w14:paraId="4E247244" w14:textId="77777777" w:rsidR="00813D3E" w:rsidRDefault="00813D3E" w:rsidP="008A4A3C">
      <w:pPr>
        <w:pStyle w:val="Standard"/>
      </w:pPr>
    </w:p>
    <w:p w14:paraId="674068ED" w14:textId="77777777" w:rsidR="00813D3E" w:rsidRDefault="00813D3E" w:rsidP="008A4A3C">
      <w:pPr>
        <w:pStyle w:val="Standard"/>
      </w:pPr>
    </w:p>
    <w:sectPr w:rsidR="00813D3E">
      <w:footerReference w:type="default" r:id="rId24"/>
      <w:footerReference w:type="first" r:id="rId25"/>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28829" w14:textId="77777777" w:rsidR="00BF60CA" w:rsidRDefault="00BF60CA">
      <w:r>
        <w:separator/>
      </w:r>
    </w:p>
  </w:endnote>
  <w:endnote w:type="continuationSeparator" w:id="0">
    <w:p w14:paraId="7A06F21A" w14:textId="77777777" w:rsidR="00BF60CA" w:rsidRDefault="00BF6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71F95" w14:textId="22930AFC" w:rsidR="00BF60CA" w:rsidRDefault="00BF60CA" w:rsidP="008A4A3C">
    <w:pPr>
      <w:pStyle w:val="Pieddepage"/>
    </w:pPr>
    <w:r w:rsidRPr="009A1AD4">
      <w:rPr>
        <w:b/>
        <w:bCs/>
        <w:noProof/>
        <w:lang w:eastAsia="fr-FR" w:bidi="ar-SA"/>
      </w:rPr>
      <mc:AlternateContent>
        <mc:Choice Requires="wps">
          <w:drawing>
            <wp:anchor distT="0" distB="0" distL="114300" distR="114300" simplePos="0" relativeHeight="251659264" behindDoc="0" locked="0" layoutInCell="1" allowOverlap="1" wp14:anchorId="610F722F" wp14:editId="289C5895">
              <wp:simplePos x="0" y="0"/>
              <wp:positionH relativeFrom="page">
                <wp:posOffset>0</wp:posOffset>
              </wp:positionH>
              <wp:positionV relativeFrom="page">
                <wp:posOffset>10227307</wp:posOffset>
              </wp:positionV>
              <wp:extent cx="7559043" cy="272418"/>
              <wp:effectExtent l="0" t="0" r="0" b="13332"/>
              <wp:wrapNone/>
              <wp:docPr id="1" name="MSIPCM5bb043c9a4392e80657cabef"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2758803F" w14:textId="542574C7" w:rsidR="00BF60CA" w:rsidRDefault="002C3C0D">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w:pict>
            <v:shapetype w14:anchorId="610F722F" id="_x0000_t202" coordsize="21600,21600" o:spt="202" path="m,l,21600r21600,l21600,xe">
              <v:stroke joinstyle="miter"/>
              <v:path gradientshapeok="t" o:connecttype="rect"/>
            </v:shapetype>
            <v:shape id="MSIPCM5bb043c9a4392e80657cabef" o:spid="_x0000_s1026" type="#_x0000_t202" alt="{&quot;HashCode&quot;:276409400,&quot;Height&quot;:841.0,&quot;Width&quot;:595.0,&quot;Placement&quot;:&quot;Footer&quot;,&quot;Index&quot;:&quot;Primary&quot;,&quot;Section&quot;:1,&quot;Top&quot;:0.0,&quot;Left&quot;:0.0}" style="position:absolute;left:0;text-align:left;margin-left:0;margin-top:805.3pt;width:595.2pt;height:21.4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" filled="f" stroked="f">
              <v:textbox inset=",0,,0">
                <w:txbxContent>
                  <w:p w14:paraId="2758803F" w14:textId="542574C7" w:rsidR="00BF60CA" w:rsidRDefault="002C3C0D">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r w:rsidR="009A1AD4" w:rsidRPr="009A1AD4">
      <w:rPr>
        <w:b/>
        <w:bCs/>
      </w:rPr>
      <w:t>2025/004</w:t>
    </w:r>
    <w:r w:rsidRPr="009A1AD4">
      <w:rPr>
        <w:b/>
        <w:bCs/>
      </w:rPr>
      <w:t xml:space="preserve">                                                               RC</w:t>
    </w:r>
    <w:r>
      <w:tab/>
    </w:r>
    <w:r>
      <w:tab/>
    </w:r>
    <w:r>
      <w:fldChar w:fldCharType="begin"/>
    </w:r>
    <w:r>
      <w:instrText xml:space="preserve"> PAGE </w:instrText>
    </w:r>
    <w:r>
      <w:fldChar w:fldCharType="separate"/>
    </w:r>
    <w:r w:rsidR="002C3C0D">
      <w:rPr>
        <w:noProof/>
      </w:rPr>
      <w:t>8</w:t>
    </w:r>
    <w:r>
      <w:fldChar w:fldCharType="end"/>
    </w:r>
    <w:r>
      <w:t>/</w:t>
    </w:r>
    <w:r>
      <w:fldChar w:fldCharType="begin"/>
    </w:r>
    <w:r>
      <w:instrText xml:space="preserve"> NUMPAGES </w:instrText>
    </w:r>
    <w:r>
      <w:fldChar w:fldCharType="separate"/>
    </w:r>
    <w:r w:rsidR="002C3C0D">
      <w:rPr>
        <w:noProof/>
      </w:rPr>
      <w:t>22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804F" w14:textId="7F0E9452" w:rsidR="00BF60CA" w:rsidRDefault="00247DA1" w:rsidP="008A4A3C">
    <w:pPr>
      <w:pStyle w:val="Pieddepage"/>
    </w:pPr>
    <w:r>
      <w:t>2025/004</w:t>
    </w:r>
    <w:r w:rsidR="00BF60CA" w:rsidRPr="00E92110">
      <w:t xml:space="preserve"> </w:t>
    </w:r>
    <w:r w:rsidR="00BF60CA">
      <w:rPr>
        <w:noProof/>
        <w:lang w:eastAsia="fr-FR" w:bidi="ar-SA"/>
      </w:rPr>
      <mc:AlternateContent>
        <mc:Choice Requires="wps">
          <w:drawing>
            <wp:anchor distT="0" distB="0" distL="114300" distR="114300" simplePos="0" relativeHeight="251661312" behindDoc="0" locked="0" layoutInCell="1" allowOverlap="1" wp14:anchorId="10FF0800" wp14:editId="22E2A07F">
              <wp:simplePos x="0" y="0"/>
              <wp:positionH relativeFrom="page">
                <wp:posOffset>0</wp:posOffset>
              </wp:positionH>
              <wp:positionV relativeFrom="page">
                <wp:posOffset>10227307</wp:posOffset>
              </wp:positionV>
              <wp:extent cx="7559043" cy="272418"/>
              <wp:effectExtent l="0" t="0" r="0" b="13332"/>
              <wp:wrapNone/>
              <wp:docPr id="2" name="MSIPCM2d0f441ea03f44fc26d811bb" descr="{&quot;HashCode&quot;:27640940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7A4E895B" w14:textId="0C7C665E" w:rsidR="00BF60CA" w:rsidRDefault="00BF60CA">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w:pict>
            <v:shapetype w14:anchorId="10FF0800" id="_x0000_t202" coordsize="21600,21600" o:spt="202" path="m,l,21600r21600,l21600,xe">
              <v:stroke joinstyle="miter"/>
              <v:path gradientshapeok="t" o:connecttype="rect"/>
            </v:shapetype>
            <v:shape id="MSIPCM2d0f441ea03f44fc26d811bb" o:spid="_x0000_s1027" type="#_x0000_t202" alt="{&quot;HashCode&quot;:276409400,&quot;Height&quot;:841.0,&quot;Width&quot;:595.0,&quot;Placement&quot;:&quot;Footer&quot;,&quot;Index&quot;:&quot;FirstPage&quot;,&quot;Section&quot;:1,&quot;Top&quot;:0.0,&quot;Left&quot;:0.0}" style="position:absolute;left:0;text-align:left;margin-left:0;margin-top:805.3pt;width:595.2pt;height:21.4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" filled="f" stroked="f">
              <v:textbox inset=",0,,0">
                <w:txbxContent>
                  <w:p w14:paraId="7A4E895B" w14:textId="0C7C665E" w:rsidR="00BF60CA" w:rsidRDefault="00BF60CA">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r w:rsidR="00BF60CA">
      <w:t xml:space="preserve">                                                    </w:t>
    </w:r>
    <w:r>
      <w:t xml:space="preserve">        </w:t>
    </w:r>
    <w:r w:rsidR="00BF60CA">
      <w:t xml:space="preserve">   </w:t>
    </w:r>
    <w:r w:rsidR="00BF60CA" w:rsidRPr="00247DA1">
      <w:rPr>
        <w:b/>
        <w:bCs/>
      </w:rPr>
      <w:t>RC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C5424" w14:textId="77777777" w:rsidR="00BF60CA" w:rsidRDefault="00BF60CA">
      <w:r>
        <w:rPr>
          <w:color w:val="000000"/>
        </w:rPr>
        <w:separator/>
      </w:r>
    </w:p>
  </w:footnote>
  <w:footnote w:type="continuationSeparator" w:id="0">
    <w:p w14:paraId="447A3C77" w14:textId="77777777" w:rsidR="00BF60CA" w:rsidRDefault="00BF60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76BEE"/>
    <w:multiLevelType w:val="hybridMultilevel"/>
    <w:tmpl w:val="B344B9A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8B29A0"/>
    <w:multiLevelType w:val="multilevel"/>
    <w:tmpl w:val="13EC8344"/>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2" w15:restartNumberingAfterBreak="0">
    <w:nsid w:val="105537DD"/>
    <w:multiLevelType w:val="multilevel"/>
    <w:tmpl w:val="A0601130"/>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51A3821"/>
    <w:multiLevelType w:val="hybridMultilevel"/>
    <w:tmpl w:val="2F96E33C"/>
    <w:lvl w:ilvl="0" w:tplc="1C08C4A0">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17732D"/>
    <w:multiLevelType w:val="multilevel"/>
    <w:tmpl w:val="A80EBE6E"/>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5" w15:restartNumberingAfterBreak="0">
    <w:nsid w:val="17E3264F"/>
    <w:multiLevelType w:val="multilevel"/>
    <w:tmpl w:val="D3366F2C"/>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6" w15:restartNumberingAfterBreak="0">
    <w:nsid w:val="1A8E70AF"/>
    <w:multiLevelType w:val="multilevel"/>
    <w:tmpl w:val="5C56D986"/>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1DA16FEF"/>
    <w:multiLevelType w:val="multilevel"/>
    <w:tmpl w:val="0C28A9BE"/>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18D4695"/>
    <w:multiLevelType w:val="multilevel"/>
    <w:tmpl w:val="262EF9C8"/>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9" w15:restartNumberingAfterBreak="0">
    <w:nsid w:val="224901CA"/>
    <w:multiLevelType w:val="multilevel"/>
    <w:tmpl w:val="9788BF70"/>
    <w:styleLink w:val="WWOutlineListStyle1"/>
    <w:lvl w:ilvl="0">
      <w:start w:val="1"/>
      <w:numFmt w:val="decimal"/>
      <w:lvlText w:val="Article %1 - "/>
      <w:lvlJc w:val="left"/>
      <w:pPr>
        <w:ind w:left="0" w:firstLine="283"/>
      </w:pPr>
    </w:lvl>
    <w:lvl w:ilvl="1">
      <w:start w:val="1"/>
      <w:numFmt w:val="decimal"/>
      <w:lvlText w:val="%1.%2 "/>
      <w:lvlJc w:val="left"/>
      <w:pPr>
        <w:ind w:left="2127"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637405D"/>
    <w:multiLevelType w:val="hybridMultilevel"/>
    <w:tmpl w:val="E41CC3F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693179"/>
    <w:multiLevelType w:val="multilevel"/>
    <w:tmpl w:val="32F674F2"/>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2" w15:restartNumberingAfterBreak="0">
    <w:nsid w:val="39470C61"/>
    <w:multiLevelType w:val="multilevel"/>
    <w:tmpl w:val="29203174"/>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3" w15:restartNumberingAfterBreak="0">
    <w:nsid w:val="44FF30CD"/>
    <w:multiLevelType w:val="multilevel"/>
    <w:tmpl w:val="CB808476"/>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4" w15:restartNumberingAfterBreak="0">
    <w:nsid w:val="48301DDB"/>
    <w:multiLevelType w:val="hybridMultilevel"/>
    <w:tmpl w:val="0B202F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F53372"/>
    <w:multiLevelType w:val="multilevel"/>
    <w:tmpl w:val="317CC14C"/>
    <w:styleLink w:val="WWOutlineListStyle2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AB718F3"/>
    <w:multiLevelType w:val="multilevel"/>
    <w:tmpl w:val="9434292E"/>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7" w15:restartNumberingAfterBreak="0">
    <w:nsid w:val="4E9E54AE"/>
    <w:multiLevelType w:val="multilevel"/>
    <w:tmpl w:val="AE0A4906"/>
    <w:styleLink w:val="WWOutlineListStyle3"/>
    <w:lvl w:ilvl="0">
      <w:start w:val="1"/>
      <w:numFmt w:val="decimal"/>
      <w:pStyle w:val="Titre1"/>
      <w:lvlText w:val="Article %1 - "/>
      <w:lvlJc w:val="left"/>
      <w:pPr>
        <w:ind w:left="0" w:firstLine="283"/>
      </w:pPr>
    </w:lvl>
    <w:lvl w:ilvl="1">
      <w:start w:val="1"/>
      <w:numFmt w:val="decimal"/>
      <w:pStyle w:val="Titre2"/>
      <w:lvlText w:val="%1.%2 "/>
      <w:lvlJc w:val="left"/>
      <w:pPr>
        <w:ind w:left="2127"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53175DF5"/>
    <w:multiLevelType w:val="hybridMultilevel"/>
    <w:tmpl w:val="BFCEB5E6"/>
    <w:lvl w:ilvl="0" w:tplc="8DAEBC7E">
      <w:numFmt w:val="bullet"/>
      <w:lvlText w:val="•"/>
      <w:lvlJc w:val="left"/>
      <w:pPr>
        <w:ind w:left="1065" w:hanging="705"/>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DF5FF8"/>
    <w:multiLevelType w:val="hybridMultilevel"/>
    <w:tmpl w:val="ACEEDAF0"/>
    <w:lvl w:ilvl="0" w:tplc="E0105538">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0866FB"/>
    <w:multiLevelType w:val="hybridMultilevel"/>
    <w:tmpl w:val="9DCE51D8"/>
    <w:lvl w:ilvl="0" w:tplc="040C0001">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21" w15:restartNumberingAfterBreak="0">
    <w:nsid w:val="554212B0"/>
    <w:multiLevelType w:val="multilevel"/>
    <w:tmpl w:val="26A00A82"/>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2" w15:restartNumberingAfterBreak="0">
    <w:nsid w:val="558A65C1"/>
    <w:multiLevelType w:val="multilevel"/>
    <w:tmpl w:val="E30E545E"/>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8B43B94"/>
    <w:multiLevelType w:val="hybridMultilevel"/>
    <w:tmpl w:val="B04E3BE4"/>
    <w:lvl w:ilvl="0" w:tplc="1C08C4A0">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AB1538"/>
    <w:multiLevelType w:val="multilevel"/>
    <w:tmpl w:val="96FCCEE2"/>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5" w15:restartNumberingAfterBreak="0">
    <w:nsid w:val="613871DD"/>
    <w:multiLevelType w:val="hybridMultilevel"/>
    <w:tmpl w:val="39C22DB0"/>
    <w:lvl w:ilvl="0" w:tplc="7EC83C64">
      <w:start w:val="60"/>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4E49A0"/>
    <w:multiLevelType w:val="hybridMultilevel"/>
    <w:tmpl w:val="8668D39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D5079D"/>
    <w:multiLevelType w:val="hybridMultilevel"/>
    <w:tmpl w:val="876CDA5A"/>
    <w:lvl w:ilvl="0" w:tplc="040C0001">
      <w:start w:val="1"/>
      <w:numFmt w:val="bullet"/>
      <w:lvlText w:val=""/>
      <w:lvlJc w:val="left"/>
      <w:pPr>
        <w:ind w:left="1066" w:hanging="360"/>
      </w:pPr>
      <w:rPr>
        <w:rFonts w:ascii="Symbol" w:hAnsi="Symbol"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28" w15:restartNumberingAfterBreak="0">
    <w:nsid w:val="67723C29"/>
    <w:multiLevelType w:val="multilevel"/>
    <w:tmpl w:val="5F8AA43C"/>
    <w:lvl w:ilvl="0">
      <w:numFmt w:val="bullet"/>
      <w:lvlText w:val=""/>
      <w:lvlJc w:val="left"/>
      <w:pPr>
        <w:ind w:left="1426" w:hanging="360"/>
      </w:pPr>
      <w:rPr>
        <w:rFonts w:ascii="Wingdings" w:hAnsi="Wingdings"/>
      </w:rPr>
    </w:lvl>
    <w:lvl w:ilvl="1">
      <w:numFmt w:val="bullet"/>
      <w:lvlText w:val="o"/>
      <w:lvlJc w:val="left"/>
      <w:pPr>
        <w:ind w:left="2146" w:hanging="360"/>
      </w:pPr>
      <w:rPr>
        <w:rFonts w:ascii="Courier New" w:hAnsi="Courier New" w:cs="Courier New"/>
      </w:rPr>
    </w:lvl>
    <w:lvl w:ilvl="2">
      <w:numFmt w:val="bullet"/>
      <w:lvlText w:val=""/>
      <w:lvlJc w:val="left"/>
      <w:pPr>
        <w:ind w:left="2866" w:hanging="360"/>
      </w:pPr>
      <w:rPr>
        <w:rFonts w:ascii="Wingdings" w:hAnsi="Wingdings"/>
      </w:rPr>
    </w:lvl>
    <w:lvl w:ilvl="3">
      <w:numFmt w:val="bullet"/>
      <w:lvlText w:val=""/>
      <w:lvlJc w:val="left"/>
      <w:pPr>
        <w:ind w:left="3586" w:hanging="360"/>
      </w:pPr>
      <w:rPr>
        <w:rFonts w:ascii="Symbol" w:hAnsi="Symbol"/>
      </w:rPr>
    </w:lvl>
    <w:lvl w:ilvl="4">
      <w:numFmt w:val="bullet"/>
      <w:lvlText w:val="o"/>
      <w:lvlJc w:val="left"/>
      <w:pPr>
        <w:ind w:left="4306" w:hanging="360"/>
      </w:pPr>
      <w:rPr>
        <w:rFonts w:ascii="Courier New" w:hAnsi="Courier New" w:cs="Courier New"/>
      </w:rPr>
    </w:lvl>
    <w:lvl w:ilvl="5">
      <w:numFmt w:val="bullet"/>
      <w:lvlText w:val=""/>
      <w:lvlJc w:val="left"/>
      <w:pPr>
        <w:ind w:left="5026" w:hanging="360"/>
      </w:pPr>
      <w:rPr>
        <w:rFonts w:ascii="Wingdings" w:hAnsi="Wingdings"/>
      </w:rPr>
    </w:lvl>
    <w:lvl w:ilvl="6">
      <w:numFmt w:val="bullet"/>
      <w:lvlText w:val=""/>
      <w:lvlJc w:val="left"/>
      <w:pPr>
        <w:ind w:left="5746" w:hanging="360"/>
      </w:pPr>
      <w:rPr>
        <w:rFonts w:ascii="Symbol" w:hAnsi="Symbol"/>
      </w:rPr>
    </w:lvl>
    <w:lvl w:ilvl="7">
      <w:numFmt w:val="bullet"/>
      <w:lvlText w:val="o"/>
      <w:lvlJc w:val="left"/>
      <w:pPr>
        <w:ind w:left="6466" w:hanging="360"/>
      </w:pPr>
      <w:rPr>
        <w:rFonts w:ascii="Courier New" w:hAnsi="Courier New" w:cs="Courier New"/>
      </w:rPr>
    </w:lvl>
    <w:lvl w:ilvl="8">
      <w:numFmt w:val="bullet"/>
      <w:lvlText w:val=""/>
      <w:lvlJc w:val="left"/>
      <w:pPr>
        <w:ind w:left="7186" w:hanging="360"/>
      </w:pPr>
      <w:rPr>
        <w:rFonts w:ascii="Wingdings" w:hAnsi="Wingdings"/>
      </w:rPr>
    </w:lvl>
  </w:abstractNum>
  <w:abstractNum w:abstractNumId="29" w15:restartNumberingAfterBreak="0">
    <w:nsid w:val="6E4D47D6"/>
    <w:multiLevelType w:val="multilevel"/>
    <w:tmpl w:val="284C45B2"/>
    <w:styleLink w:val="WWOutlineListStyle2"/>
    <w:lvl w:ilvl="0">
      <w:start w:val="1"/>
      <w:numFmt w:val="decimal"/>
      <w:lvlText w:val="Article %1 - "/>
      <w:lvlJc w:val="left"/>
      <w:pPr>
        <w:ind w:left="0" w:firstLine="283"/>
      </w:pPr>
    </w:lvl>
    <w:lvl w:ilvl="1">
      <w:start w:val="1"/>
      <w:numFmt w:val="decimal"/>
      <w:lvlText w:val="%1.%2 "/>
      <w:lvlJc w:val="left"/>
      <w:pPr>
        <w:ind w:left="2127"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3584DDE"/>
    <w:multiLevelType w:val="multilevel"/>
    <w:tmpl w:val="E800CD90"/>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31" w15:restartNumberingAfterBreak="0">
    <w:nsid w:val="73DA464D"/>
    <w:multiLevelType w:val="hybridMultilevel"/>
    <w:tmpl w:val="DA4E9642"/>
    <w:lvl w:ilvl="0" w:tplc="1C08C4A0">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8A6FDA"/>
    <w:multiLevelType w:val="hybridMultilevel"/>
    <w:tmpl w:val="860E6D3A"/>
    <w:lvl w:ilvl="0" w:tplc="1C08C4A0">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882709">
    <w:abstractNumId w:val="17"/>
    <w:lvlOverride w:ilvl="0">
      <w:lvl w:ilvl="0">
        <w:start w:val="1"/>
        <w:numFmt w:val="decimal"/>
        <w:pStyle w:val="Titre1"/>
        <w:lvlText w:val="Article %1 - "/>
        <w:lvlJc w:val="left"/>
        <w:pPr>
          <w:ind w:left="0" w:firstLine="283"/>
        </w:pPr>
      </w:lvl>
    </w:lvlOverride>
    <w:lvlOverride w:ilvl="1">
      <w:lvl w:ilvl="1">
        <w:start w:val="1"/>
        <w:numFmt w:val="decimal"/>
        <w:pStyle w:val="Titre2"/>
        <w:lvlText w:val="%1.%2 "/>
        <w:lvlJc w:val="left"/>
        <w:pPr>
          <w:ind w:left="2127" w:firstLine="283"/>
        </w:pPr>
      </w:lvl>
    </w:lvlOverride>
    <w:lvlOverride w:ilvl="2">
      <w:lvl w:ilvl="2">
        <w:start w:val="1"/>
        <w:numFmt w:val="decimal"/>
        <w:pStyle w:val="Titre3"/>
        <w:lvlText w:val="%1.%2.%3 "/>
        <w:lvlJc w:val="left"/>
        <w:pPr>
          <w:ind w:left="0" w:firstLine="283"/>
        </w:pPr>
      </w:lvl>
    </w:lvlOverride>
    <w:lvlOverride w:ilvl="3">
      <w:lvl w:ilvl="3">
        <w:start w:val="1"/>
        <w:numFmt w:val="decimal"/>
        <w:pStyle w:val="Titre4"/>
        <w:lvlText w:val="%1.%2.%3.%4 "/>
        <w:lvlJc w:val="left"/>
        <w:pPr>
          <w:ind w:left="0" w:firstLine="283"/>
        </w:pPr>
      </w:lvl>
    </w:lvlOverride>
    <w:lvlOverride w:ilvl="4">
      <w:lvl w:ilvl="4">
        <w:start w:val="1"/>
        <w:numFmt w:val="decimal"/>
        <w:pStyle w:val="Titre5"/>
        <w:lvlText w:val="%1.%2.%3.%4.%5 "/>
        <w:lvlJc w:val="left"/>
        <w:pPr>
          <w:ind w:left="0" w:firstLine="283"/>
        </w:pPr>
      </w:lvl>
    </w:lvlOverride>
    <w:lvlOverride w:ilvl="5">
      <w:lvl w:ilvl="5">
        <w:start w:val="1"/>
        <w:numFmt w:val="decimal"/>
        <w:pStyle w:val="Titre6"/>
        <w:lvlText w:val="%1.%2.%3.%4.%5.%6 "/>
        <w:lvlJc w:val="left"/>
        <w:pPr>
          <w:ind w:left="1152" w:hanging="1152"/>
        </w:pPr>
      </w:lvl>
    </w:lvlOverride>
    <w:lvlOverride w:ilvl="6">
      <w:lvl w:ilvl="6">
        <w:start w:val="1"/>
        <w:numFmt w:val="decimal"/>
        <w:pStyle w:val="Titre7"/>
        <w:lvlText w:val="%1.%2.%3.%4.%5.%6.%7"/>
        <w:lvlJc w:val="left"/>
        <w:pPr>
          <w:ind w:left="1296" w:hanging="1296"/>
        </w:pPr>
      </w:lvl>
    </w:lvlOverride>
    <w:lvlOverride w:ilvl="7">
      <w:lvl w:ilvl="7">
        <w:start w:val="1"/>
        <w:numFmt w:val="decimal"/>
        <w:pStyle w:val="Titre8"/>
        <w:lvlText w:val="%1.%2.%3.%4.%5.%6.%7.%8"/>
        <w:lvlJc w:val="left"/>
        <w:pPr>
          <w:ind w:left="1440" w:hanging="1440"/>
        </w:pPr>
      </w:lvl>
    </w:lvlOverride>
    <w:lvlOverride w:ilvl="8">
      <w:lvl w:ilvl="8">
        <w:start w:val="1"/>
        <w:numFmt w:val="decimal"/>
        <w:pStyle w:val="Titre9"/>
        <w:lvlText w:val="%1.%2.%3.%4.%5.%6.%7.%8.%9"/>
        <w:lvlJc w:val="left"/>
        <w:pPr>
          <w:ind w:left="1584" w:hanging="1584"/>
        </w:pPr>
      </w:lvl>
    </w:lvlOverride>
  </w:num>
  <w:num w:numId="2" w16cid:durableId="687944601">
    <w:abstractNumId w:val="29"/>
  </w:num>
  <w:num w:numId="3" w16cid:durableId="987368449">
    <w:abstractNumId w:val="9"/>
  </w:num>
  <w:num w:numId="4" w16cid:durableId="1102989492">
    <w:abstractNumId w:val="22"/>
  </w:num>
  <w:num w:numId="5" w16cid:durableId="998197786">
    <w:abstractNumId w:val="2"/>
  </w:num>
  <w:num w:numId="6" w16cid:durableId="2120292203">
    <w:abstractNumId w:val="24"/>
  </w:num>
  <w:num w:numId="7" w16cid:durableId="1597127834">
    <w:abstractNumId w:val="11"/>
  </w:num>
  <w:num w:numId="8" w16cid:durableId="1166895009">
    <w:abstractNumId w:val="30"/>
  </w:num>
  <w:num w:numId="9" w16cid:durableId="313339680">
    <w:abstractNumId w:val="21"/>
  </w:num>
  <w:num w:numId="10" w16cid:durableId="613245024">
    <w:abstractNumId w:val="16"/>
  </w:num>
  <w:num w:numId="11" w16cid:durableId="172116207">
    <w:abstractNumId w:val="4"/>
  </w:num>
  <w:num w:numId="12" w16cid:durableId="2114207676">
    <w:abstractNumId w:val="5"/>
  </w:num>
  <w:num w:numId="13" w16cid:durableId="261692463">
    <w:abstractNumId w:val="8"/>
  </w:num>
  <w:num w:numId="14" w16cid:durableId="11419905">
    <w:abstractNumId w:val="6"/>
  </w:num>
  <w:num w:numId="15" w16cid:durableId="1839350179">
    <w:abstractNumId w:val="13"/>
  </w:num>
  <w:num w:numId="16" w16cid:durableId="707724890">
    <w:abstractNumId w:val="1"/>
  </w:num>
  <w:num w:numId="17" w16cid:durableId="1813019812">
    <w:abstractNumId w:val="7"/>
  </w:num>
  <w:num w:numId="18" w16cid:durableId="532302746">
    <w:abstractNumId w:val="12"/>
  </w:num>
  <w:num w:numId="19" w16cid:durableId="1466384843">
    <w:abstractNumId w:val="28"/>
  </w:num>
  <w:num w:numId="20" w16cid:durableId="835656427">
    <w:abstractNumId w:val="14"/>
  </w:num>
  <w:num w:numId="21" w16cid:durableId="1183124991">
    <w:abstractNumId w:val="17"/>
  </w:num>
  <w:num w:numId="22" w16cid:durableId="2136750555">
    <w:abstractNumId w:val="27"/>
  </w:num>
  <w:num w:numId="23" w16cid:durableId="451099426">
    <w:abstractNumId w:val="10"/>
  </w:num>
  <w:num w:numId="24" w16cid:durableId="544801909">
    <w:abstractNumId w:val="0"/>
  </w:num>
  <w:num w:numId="25" w16cid:durableId="1386758813">
    <w:abstractNumId w:val="15"/>
  </w:num>
  <w:num w:numId="26" w16cid:durableId="615790246">
    <w:abstractNumId w:val="18"/>
  </w:num>
  <w:num w:numId="27" w16cid:durableId="1978100477">
    <w:abstractNumId w:val="25"/>
  </w:num>
  <w:num w:numId="28" w16cid:durableId="1868173776">
    <w:abstractNumId w:val="31"/>
  </w:num>
  <w:num w:numId="29" w16cid:durableId="1083184415">
    <w:abstractNumId w:val="32"/>
  </w:num>
  <w:num w:numId="30" w16cid:durableId="728959431">
    <w:abstractNumId w:val="23"/>
  </w:num>
  <w:num w:numId="31" w16cid:durableId="1501965568">
    <w:abstractNumId w:val="3"/>
  </w:num>
  <w:num w:numId="32" w16cid:durableId="1429348469">
    <w:abstractNumId w:val="19"/>
  </w:num>
  <w:num w:numId="33" w16cid:durableId="1858038906">
    <w:abstractNumId w:val="20"/>
  </w:num>
  <w:num w:numId="34" w16cid:durableId="788205037">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D3E"/>
    <w:rsid w:val="0001382F"/>
    <w:rsid w:val="0006135D"/>
    <w:rsid w:val="0006284C"/>
    <w:rsid w:val="00092383"/>
    <w:rsid w:val="0009336B"/>
    <w:rsid w:val="000B7740"/>
    <w:rsid w:val="00116AA9"/>
    <w:rsid w:val="0012057B"/>
    <w:rsid w:val="001949C4"/>
    <w:rsid w:val="001A13CA"/>
    <w:rsid w:val="001C3459"/>
    <w:rsid w:val="001D7CFB"/>
    <w:rsid w:val="001F0588"/>
    <w:rsid w:val="0022751E"/>
    <w:rsid w:val="00247DA1"/>
    <w:rsid w:val="00280D27"/>
    <w:rsid w:val="0028276A"/>
    <w:rsid w:val="00286D51"/>
    <w:rsid w:val="002A46F7"/>
    <w:rsid w:val="002A4B83"/>
    <w:rsid w:val="002C0E1C"/>
    <w:rsid w:val="002C3C0D"/>
    <w:rsid w:val="002E6897"/>
    <w:rsid w:val="002F570D"/>
    <w:rsid w:val="00315F24"/>
    <w:rsid w:val="003271A5"/>
    <w:rsid w:val="003458D3"/>
    <w:rsid w:val="00350F36"/>
    <w:rsid w:val="00361EDD"/>
    <w:rsid w:val="00381F3A"/>
    <w:rsid w:val="003A15BA"/>
    <w:rsid w:val="003A2F42"/>
    <w:rsid w:val="003B113C"/>
    <w:rsid w:val="003C6934"/>
    <w:rsid w:val="003E785E"/>
    <w:rsid w:val="00433074"/>
    <w:rsid w:val="00454315"/>
    <w:rsid w:val="00456BAC"/>
    <w:rsid w:val="00464C59"/>
    <w:rsid w:val="004A5E17"/>
    <w:rsid w:val="004E355A"/>
    <w:rsid w:val="004F143E"/>
    <w:rsid w:val="00501DBC"/>
    <w:rsid w:val="0052066E"/>
    <w:rsid w:val="00535B6D"/>
    <w:rsid w:val="00535B94"/>
    <w:rsid w:val="005906F7"/>
    <w:rsid w:val="00610118"/>
    <w:rsid w:val="0061180A"/>
    <w:rsid w:val="00631E03"/>
    <w:rsid w:val="006A2A63"/>
    <w:rsid w:val="006B3357"/>
    <w:rsid w:val="006D08B0"/>
    <w:rsid w:val="006D7876"/>
    <w:rsid w:val="006F5888"/>
    <w:rsid w:val="0072674C"/>
    <w:rsid w:val="00751FC9"/>
    <w:rsid w:val="00785935"/>
    <w:rsid w:val="00795328"/>
    <w:rsid w:val="007A1409"/>
    <w:rsid w:val="007D58F2"/>
    <w:rsid w:val="007D6704"/>
    <w:rsid w:val="00801D43"/>
    <w:rsid w:val="00813D3E"/>
    <w:rsid w:val="00850BDB"/>
    <w:rsid w:val="00852229"/>
    <w:rsid w:val="008647FC"/>
    <w:rsid w:val="008834DC"/>
    <w:rsid w:val="00897F0B"/>
    <w:rsid w:val="008A4A3C"/>
    <w:rsid w:val="008A7B2D"/>
    <w:rsid w:val="008D2AB8"/>
    <w:rsid w:val="008E704A"/>
    <w:rsid w:val="008E7289"/>
    <w:rsid w:val="00902965"/>
    <w:rsid w:val="00911896"/>
    <w:rsid w:val="009242ED"/>
    <w:rsid w:val="0092662F"/>
    <w:rsid w:val="00931B4C"/>
    <w:rsid w:val="00934A5A"/>
    <w:rsid w:val="00940905"/>
    <w:rsid w:val="009578AA"/>
    <w:rsid w:val="009677A9"/>
    <w:rsid w:val="00973B8A"/>
    <w:rsid w:val="009953F5"/>
    <w:rsid w:val="009A1AD4"/>
    <w:rsid w:val="009E3DA2"/>
    <w:rsid w:val="00A365A0"/>
    <w:rsid w:val="00A512F4"/>
    <w:rsid w:val="00AE66A6"/>
    <w:rsid w:val="00B05A2A"/>
    <w:rsid w:val="00B1030D"/>
    <w:rsid w:val="00B41B55"/>
    <w:rsid w:val="00B755D9"/>
    <w:rsid w:val="00BB0CBD"/>
    <w:rsid w:val="00BD5881"/>
    <w:rsid w:val="00BE1B0A"/>
    <w:rsid w:val="00BF60CA"/>
    <w:rsid w:val="00C3223A"/>
    <w:rsid w:val="00C51961"/>
    <w:rsid w:val="00C56067"/>
    <w:rsid w:val="00C92398"/>
    <w:rsid w:val="00CB31E8"/>
    <w:rsid w:val="00CB6E94"/>
    <w:rsid w:val="00CC657E"/>
    <w:rsid w:val="00CD53AD"/>
    <w:rsid w:val="00CF5F9F"/>
    <w:rsid w:val="00D1523D"/>
    <w:rsid w:val="00D22D5E"/>
    <w:rsid w:val="00D30362"/>
    <w:rsid w:val="00D32165"/>
    <w:rsid w:val="00D56568"/>
    <w:rsid w:val="00D56DFB"/>
    <w:rsid w:val="00D65446"/>
    <w:rsid w:val="00D75759"/>
    <w:rsid w:val="00DA3E51"/>
    <w:rsid w:val="00DA6540"/>
    <w:rsid w:val="00DB6D5F"/>
    <w:rsid w:val="00DE6263"/>
    <w:rsid w:val="00E147C6"/>
    <w:rsid w:val="00E35A92"/>
    <w:rsid w:val="00E4796C"/>
    <w:rsid w:val="00E6738B"/>
    <w:rsid w:val="00E753F9"/>
    <w:rsid w:val="00E92110"/>
    <w:rsid w:val="00E95593"/>
    <w:rsid w:val="00EB0034"/>
    <w:rsid w:val="00EC17B0"/>
    <w:rsid w:val="00ED4FFD"/>
    <w:rsid w:val="00EE5332"/>
    <w:rsid w:val="00EF71AA"/>
    <w:rsid w:val="00F05C55"/>
    <w:rsid w:val="00F10086"/>
    <w:rsid w:val="00F57ED4"/>
    <w:rsid w:val="00F707E3"/>
    <w:rsid w:val="00F901B0"/>
    <w:rsid w:val="00F961F1"/>
    <w:rsid w:val="00FD6F73"/>
    <w:rsid w:val="00FE31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294A"/>
  <w15:docId w15:val="{079A72DA-1362-45C2-B69A-092E3F7F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6284C"/>
    <w:pPr>
      <w:suppressAutoHyphens/>
    </w:pPr>
  </w:style>
  <w:style w:type="paragraph" w:styleId="Titre1">
    <w:name w:val="heading 1"/>
    <w:basedOn w:val="Standard"/>
    <w:next w:val="Standard"/>
    <w:pPr>
      <w:keepNext/>
      <w:numPr>
        <w:numId w:val="1"/>
      </w:numPr>
      <w:outlineLvl w:val="0"/>
    </w:pPr>
    <w:rPr>
      <w:color w:val="808080"/>
      <w:sz w:val="36"/>
      <w:szCs w:val="36"/>
    </w:rPr>
  </w:style>
  <w:style w:type="paragraph" w:styleId="Titre2">
    <w:name w:val="heading 2"/>
    <w:basedOn w:val="Standard"/>
    <w:next w:val="Standard"/>
    <w:pPr>
      <w:keepNext/>
      <w:numPr>
        <w:ilvl w:val="1"/>
        <w:numId w:val="1"/>
      </w:numPr>
      <w:spacing w:before="240" w:after="60"/>
      <w:outlineLvl w:val="1"/>
    </w:pPr>
    <w:rPr>
      <w:b/>
      <w:bCs/>
      <w:i/>
      <w:iCs/>
      <w:sz w:val="28"/>
      <w:szCs w:val="28"/>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21"/>
      </w:numPr>
    </w:pPr>
  </w:style>
  <w:style w:type="paragraph" w:customStyle="1" w:styleId="Standard">
    <w:name w:val="Standard"/>
    <w:autoRedefine/>
    <w:qFormat/>
    <w:rsid w:val="008A4A3C"/>
    <w:pPr>
      <w:suppressAutoHyphens/>
      <w:spacing w:before="57"/>
      <w:jc w:val="both"/>
      <w:textAlignment w:val="center"/>
    </w:pPr>
    <w:rPr>
      <w:rFonts w:ascii="Arial" w:hAnsi="Arial"/>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character" w:styleId="Marquedecommentaire">
    <w:name w:val="annotation reference"/>
    <w:basedOn w:val="Policepardfaut"/>
    <w:uiPriority w:val="99"/>
    <w:rPr>
      <w:sz w:val="16"/>
      <w:szCs w:val="16"/>
    </w:rPr>
  </w:style>
  <w:style w:type="paragraph" w:styleId="Commentaire">
    <w:name w:val="annotation text"/>
    <w:basedOn w:val="Normal"/>
    <w:uiPriority w:val="99"/>
    <w:rPr>
      <w:sz w:val="20"/>
      <w:szCs w:val="20"/>
    </w:rPr>
  </w:style>
  <w:style w:type="character" w:customStyle="1" w:styleId="CommentaireCar">
    <w:name w:val="Commentaire Car"/>
    <w:basedOn w:val="Policepardfaut"/>
    <w:uiPriority w:val="99"/>
    <w:rPr>
      <w:sz w:val="20"/>
      <w:szCs w:val="20"/>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character" w:styleId="Lienhypertexte">
    <w:name w:val="Hyperlink"/>
    <w:basedOn w:val="Policepardfaut"/>
    <w:uiPriority w:val="99"/>
    <w:rPr>
      <w:color w:val="0563C1"/>
      <w:u w:val="single"/>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Numbering11">
    <w:name w:val="Numbering 1_1"/>
    <w:basedOn w:val="Aucuneliste"/>
    <w:pPr>
      <w:numPr>
        <w:numId w:val="6"/>
      </w:numPr>
    </w:pPr>
  </w:style>
  <w:style w:type="numbering" w:customStyle="1" w:styleId="Numbering2">
    <w:name w:val="Numbering 2"/>
    <w:basedOn w:val="Aucuneliste"/>
    <w:pPr>
      <w:numPr>
        <w:numId w:val="7"/>
      </w:numPr>
    </w:pPr>
  </w:style>
  <w:style w:type="numbering" w:customStyle="1" w:styleId="Numbering3">
    <w:name w:val="Numbering 3"/>
    <w:basedOn w:val="Aucuneliste"/>
    <w:pPr>
      <w:numPr>
        <w:numId w:val="8"/>
      </w:numPr>
    </w:pPr>
  </w:style>
  <w:style w:type="numbering" w:customStyle="1" w:styleId="Numbering4">
    <w:name w:val="Numbering 4"/>
    <w:basedOn w:val="Aucuneliste"/>
    <w:pPr>
      <w:numPr>
        <w:numId w:val="9"/>
      </w:numPr>
    </w:pPr>
  </w:style>
  <w:style w:type="numbering" w:customStyle="1" w:styleId="Numbering5">
    <w:name w:val="Numbering 5"/>
    <w:basedOn w:val="Aucuneliste"/>
    <w:pPr>
      <w:numPr>
        <w:numId w:val="10"/>
      </w:numPr>
    </w:pPr>
  </w:style>
  <w:style w:type="numbering" w:customStyle="1" w:styleId="List1">
    <w:name w:val="List 1"/>
    <w:basedOn w:val="Aucuneliste"/>
    <w:pPr>
      <w:numPr>
        <w:numId w:val="11"/>
      </w:numPr>
    </w:pPr>
  </w:style>
  <w:style w:type="numbering" w:customStyle="1" w:styleId="Liste21">
    <w:name w:val="Liste 21"/>
    <w:basedOn w:val="Aucuneliste"/>
    <w:pPr>
      <w:numPr>
        <w:numId w:val="12"/>
      </w:numPr>
    </w:pPr>
  </w:style>
  <w:style w:type="numbering" w:customStyle="1" w:styleId="Liste31">
    <w:name w:val="Liste 31"/>
    <w:basedOn w:val="Aucuneliste"/>
    <w:pPr>
      <w:numPr>
        <w:numId w:val="13"/>
      </w:numPr>
    </w:pPr>
  </w:style>
  <w:style w:type="numbering" w:customStyle="1" w:styleId="Liste41">
    <w:name w:val="Liste 41"/>
    <w:basedOn w:val="Aucuneliste"/>
    <w:pPr>
      <w:numPr>
        <w:numId w:val="14"/>
      </w:numPr>
    </w:pPr>
  </w:style>
  <w:style w:type="numbering" w:customStyle="1" w:styleId="Liste51">
    <w:name w:val="Liste 51"/>
    <w:basedOn w:val="Aucuneliste"/>
    <w:pPr>
      <w:numPr>
        <w:numId w:val="15"/>
      </w:numPr>
    </w:pPr>
  </w:style>
  <w:style w:type="numbering" w:customStyle="1" w:styleId="RTFNum2">
    <w:name w:val="RTF_Num 2"/>
    <w:basedOn w:val="Aucuneliste"/>
    <w:pPr>
      <w:numPr>
        <w:numId w:val="16"/>
      </w:numPr>
    </w:pPr>
  </w:style>
  <w:style w:type="numbering" w:customStyle="1" w:styleId="RTFNum3">
    <w:name w:val="RTF_Num 3"/>
    <w:basedOn w:val="Aucuneliste"/>
    <w:pPr>
      <w:numPr>
        <w:numId w:val="17"/>
      </w:numPr>
    </w:pPr>
  </w:style>
  <w:style w:type="numbering" w:customStyle="1" w:styleId="RTFNum4">
    <w:name w:val="RTF_Num 4"/>
    <w:basedOn w:val="Aucuneliste"/>
    <w:pPr>
      <w:numPr>
        <w:numId w:val="18"/>
      </w:numPr>
    </w:pPr>
  </w:style>
  <w:style w:type="paragraph" w:styleId="TM1">
    <w:name w:val="toc 1"/>
    <w:basedOn w:val="Normal"/>
    <w:next w:val="Normal"/>
    <w:autoRedefine/>
    <w:uiPriority w:val="39"/>
    <w:unhideWhenUsed/>
    <w:rsid w:val="00801D43"/>
    <w:pPr>
      <w:spacing w:after="100"/>
    </w:pPr>
  </w:style>
  <w:style w:type="paragraph" w:styleId="TM2">
    <w:name w:val="toc 2"/>
    <w:basedOn w:val="Normal"/>
    <w:next w:val="Normal"/>
    <w:autoRedefine/>
    <w:uiPriority w:val="39"/>
    <w:unhideWhenUsed/>
    <w:rsid w:val="00801D43"/>
    <w:pPr>
      <w:spacing w:after="100"/>
      <w:ind w:left="240"/>
    </w:pPr>
  </w:style>
  <w:style w:type="paragraph" w:styleId="Paragraphedeliste">
    <w:name w:val="List Paragraph"/>
    <w:basedOn w:val="Normal"/>
    <w:uiPriority w:val="34"/>
    <w:qFormat/>
    <w:rsid w:val="003271A5"/>
    <w:pPr>
      <w:ind w:left="720"/>
      <w:contextualSpacing/>
    </w:pPr>
  </w:style>
  <w:style w:type="numbering" w:customStyle="1" w:styleId="WWOutlineListStyle21">
    <w:name w:val="WW_OutlineListStyle_21"/>
    <w:basedOn w:val="Aucuneliste"/>
    <w:rsid w:val="00E95593"/>
    <w:pPr>
      <w:numPr>
        <w:numId w:val="25"/>
      </w:numPr>
    </w:pPr>
  </w:style>
  <w:style w:type="numbering" w:customStyle="1" w:styleId="WWOutlineListStyle22">
    <w:name w:val="WW_OutlineListStyle_22"/>
    <w:basedOn w:val="Aucuneliste"/>
    <w:rsid w:val="003A15BA"/>
  </w:style>
  <w:style w:type="numbering" w:customStyle="1" w:styleId="WWOutlineListStyle23">
    <w:name w:val="WW_OutlineListStyle_23"/>
    <w:basedOn w:val="Aucuneliste"/>
    <w:rsid w:val="008A4A3C"/>
  </w:style>
  <w:style w:type="character" w:styleId="Mentionnonrsolue">
    <w:name w:val="Unresolved Mention"/>
    <w:basedOn w:val="Policepardfaut"/>
    <w:uiPriority w:val="99"/>
    <w:semiHidden/>
    <w:unhideWhenUsed/>
    <w:rsid w:val="008D2AB8"/>
    <w:rPr>
      <w:color w:val="605E5C"/>
      <w:shd w:val="clear" w:color="auto" w:fill="E1DFDD"/>
    </w:rPr>
  </w:style>
  <w:style w:type="paragraph" w:styleId="TitreTR">
    <w:name w:val="toa heading"/>
    <w:basedOn w:val="Normal"/>
    <w:rsid w:val="00CD53AD"/>
    <w:pPr>
      <w:widowControl/>
      <w:suppressLineNumbers/>
      <w:pBdr>
        <w:top w:val="none" w:sz="0" w:space="0" w:color="000000"/>
        <w:left w:val="none" w:sz="0" w:space="0" w:color="000000"/>
        <w:bottom w:val="none" w:sz="0" w:space="0" w:color="000000"/>
        <w:right w:val="none" w:sz="0" w:space="0" w:color="000000"/>
      </w:pBdr>
      <w:autoSpaceDN/>
      <w:jc w:val="center"/>
    </w:pPr>
    <w:rPr>
      <w:rFonts w:ascii="Liberation Serif" w:eastAsia="SimSun" w:hAnsi="Liberation Serif" w:cs="Mangal"/>
      <w:b/>
      <w:bCs/>
      <w:kern w:val="2"/>
      <w:sz w:val="32"/>
      <w:szCs w:val="32"/>
      <w:lang w:eastAsia="zh-CN" w:bidi="hi-IN"/>
    </w:rPr>
  </w:style>
  <w:style w:type="table" w:styleId="Grilledutableau">
    <w:name w:val="Table Grid"/>
    <w:basedOn w:val="TableauNormal"/>
    <w:uiPriority w:val="39"/>
    <w:rsid w:val="004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22D5E"/>
    <w:pPr>
      <w:widowControl/>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971370">
      <w:bodyDiv w:val="1"/>
      <w:marLeft w:val="0"/>
      <w:marRight w:val="0"/>
      <w:marTop w:val="0"/>
      <w:marBottom w:val="0"/>
      <w:divBdr>
        <w:top w:val="none" w:sz="0" w:space="0" w:color="auto"/>
        <w:left w:val="none" w:sz="0" w:space="0" w:color="auto"/>
        <w:bottom w:val="none" w:sz="0" w:space="0" w:color="auto"/>
        <w:right w:val="none" w:sz="0" w:space="0" w:color="auto"/>
      </w:divBdr>
    </w:div>
    <w:div w:id="1507475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hyperlink" Target="mailto:marches.archives-nationales@culture.gouv.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conomie.gouv.fr/daj/formulaires-declaration-du-candidat" TargetMode="External"/><Relationship Id="rId7" Type="http://schemas.openxmlformats.org/officeDocument/2006/relationships/endnotes" Target="endnotes.xml"/><Relationship Id="rId12" Type="http://schemas.openxmlformats.org/officeDocument/2006/relationships/hyperlink" Target="mailto:marches.archives-nationales@culture.gouv.fr" TargetMode="External"/><Relationship Id="rId17" Type="http://schemas.openxmlformats.org/officeDocument/2006/relationships/hyperlink" Target="https://www.marches-publics.gouv.f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legue-protection-donnees@culture.gouv.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nepasrepondre@marches-publics.gouv.fr" TargetMode="External"/><Relationship Id="rId23" Type="http://schemas.openxmlformats.org/officeDocument/2006/relationships/hyperlink" Target="https://minculture.sphinxonline.net/SurveyServer/s/MC-DirectionMetier8/Questionnaire-egalitediversite/questionnaire.htm" TargetMode="External"/><Relationship Id="rId10" Type="http://schemas.openxmlformats.org/officeDocument/2006/relationships/hyperlink" Target="https://bilans-ges.ademe.fr/ressources/etapes-dun-bilan-ges" TargetMode="External"/><Relationship Id="rId19" Type="http://schemas.openxmlformats.org/officeDocument/2006/relationships/hyperlink" Target="https://www.economie.gouv.fr/dae/bourse-a-cotraitance-service-pour-aider-entreprises" TargetMode="External"/><Relationship Id="rId4" Type="http://schemas.openxmlformats.org/officeDocument/2006/relationships/settings" Target="settings.xml"/><Relationship Id="rId9" Type="http://schemas.openxmlformats.org/officeDocument/2006/relationships/hyperlink" Target="https://www.economie.gouv.fr/cedef/bilan-carbone-entreprise" TargetMode="External"/><Relationship Id="rId14" Type="http://schemas.openxmlformats.org/officeDocument/2006/relationships/hyperlink" Target="https://www.marches-publics.gouv.fr" TargetMode="External"/><Relationship Id="rId22" Type="http://schemas.openxmlformats.org/officeDocument/2006/relationships/hyperlink" Target="https://www.economie.gouv.fr/daj/formulaires-mise-a-jour-formulaire-declaration-sous-traitance-dans-marches-publics"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71FD-FB59-424D-BC16-E82BA338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21</Pages>
  <Words>8089</Words>
  <Characters>44490</Characters>
  <Application>Microsoft Office Word</Application>
  <DocSecurity>0</DocSecurity>
  <Lines>370</Lines>
  <Paragraphs>104</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52475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BOUGASSA Hakima</dc:creator>
  <cp:lastModifiedBy>BOUGASSA Hakima</cp:lastModifiedBy>
  <cp:revision>87</cp:revision>
  <cp:lastPrinted>2024-03-22T08:03:00Z</cp:lastPrinted>
  <dcterms:created xsi:type="dcterms:W3CDTF">2024-02-26T12:38:00Z</dcterms:created>
  <dcterms:modified xsi:type="dcterms:W3CDTF">2025-05-23T15:46:00Z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MSIP_Label_37f782e2-1048-4ae6-8561-ea50d7047004_Enabled">
    <vt:lpwstr>true</vt:lpwstr>
  </property>
  <property fmtid="{D5CDD505-2E9C-101B-9397-08002B2CF9AE}" pid="7" name="MSIP_Label_37f782e2-1048-4ae6-8561-ea50d7047004_SetDate">
    <vt:lpwstr>2024-03-25T09:20:27Z</vt:lpwstr>
  </property>
  <property fmtid="{D5CDD505-2E9C-101B-9397-08002B2CF9AE}" pid="8" name="MSIP_Label_37f782e2-1048-4ae6-8561-ea50d7047004_Method">
    <vt:lpwstr>Standard</vt:lpwstr>
  </property>
  <property fmtid="{D5CDD505-2E9C-101B-9397-08002B2CF9AE}" pid="9" name="MSIP_Label_37f782e2-1048-4ae6-8561-ea50d7047004_Name">
    <vt:lpwstr>Donnée Interne</vt:lpwstr>
  </property>
  <property fmtid="{D5CDD505-2E9C-101B-9397-08002B2CF9AE}" pid="10" name="MSIP_Label_37f782e2-1048-4ae6-8561-ea50d7047004_SiteId">
    <vt:lpwstr>5d0b42b2-7ba0-42b9-bd88-2dd1558bd190</vt:lpwstr>
  </property>
  <property fmtid="{D5CDD505-2E9C-101B-9397-08002B2CF9AE}" pid="11" name="MSIP_Label_37f782e2-1048-4ae6-8561-ea50d7047004_ActionId">
    <vt:lpwstr>ce058f78-7a64-44ff-91d3-85e1ffb61f59</vt:lpwstr>
  </property>
  <property fmtid="{D5CDD505-2E9C-101B-9397-08002B2CF9AE}" pid="12" name="MSIP_Label_37f782e2-1048-4ae6-8561-ea50d7047004_ContentBits">
    <vt:lpwstr>2</vt:lpwstr>
  </property>
</Properties>
</file>