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205D99" w14:textId="77777777" w:rsidR="00896B32" w:rsidRDefault="00896B32">
      <w:pPr>
        <w:pStyle w:val="TitreTR"/>
        <w:pageBreakBefore/>
        <w:rPr>
          <w:color w:val="000000"/>
        </w:rPr>
      </w:pPr>
    </w:p>
    <w:p w14:paraId="0DB3AD7F" w14:textId="77777777" w:rsidR="00896B32" w:rsidRPr="00A615EA" w:rsidRDefault="00896B32" w:rsidP="00714AEE">
      <w:pPr>
        <w:pStyle w:val="TitreTR"/>
        <w:pBdr>
          <w:top w:val="single" w:sz="2" w:space="9" w:color="000099"/>
          <w:left w:val="single" w:sz="2" w:space="9" w:color="000099"/>
          <w:bottom w:val="single" w:sz="2" w:space="9" w:color="000099"/>
          <w:right w:val="single" w:sz="2" w:space="31" w:color="000099"/>
        </w:pBdr>
        <w:ind w:left="879" w:right="1020"/>
        <w:rPr>
          <w:rFonts w:ascii="Arial" w:hAnsi="Arial" w:cs="Arial"/>
        </w:rPr>
      </w:pPr>
      <w:r w:rsidRPr="00A615EA">
        <w:rPr>
          <w:rStyle w:val="Policepardfaut1"/>
          <w:rFonts w:ascii="Arial" w:hAnsi="Arial" w:cs="Arial"/>
          <w:smallCaps/>
          <w:color w:val="000000"/>
        </w:rPr>
        <w:t>Annexe au règlement de consultation</w:t>
      </w:r>
    </w:p>
    <w:p w14:paraId="41139ECE" w14:textId="25DF81C1" w:rsidR="00896B32" w:rsidRPr="007C0A6B" w:rsidRDefault="00896B32" w:rsidP="00714AEE">
      <w:pPr>
        <w:pStyle w:val="TitreTR"/>
        <w:pBdr>
          <w:top w:val="single" w:sz="2" w:space="9" w:color="000099"/>
          <w:left w:val="single" w:sz="2" w:space="9" w:color="000099"/>
          <w:bottom w:val="single" w:sz="2" w:space="9" w:color="000099"/>
          <w:right w:val="single" w:sz="2" w:space="31" w:color="000099"/>
        </w:pBdr>
        <w:ind w:left="879" w:right="1020"/>
        <w:rPr>
          <w:rFonts w:ascii="Arial" w:hAnsi="Arial" w:cs="Arial"/>
          <w:sz w:val="24"/>
          <w:szCs w:val="24"/>
        </w:rPr>
      </w:pPr>
      <w:r w:rsidRPr="00A615EA">
        <w:rPr>
          <w:rStyle w:val="Policepardfaut1"/>
          <w:rFonts w:ascii="Arial" w:hAnsi="Arial" w:cs="Arial"/>
          <w:smallCaps/>
          <w:color w:val="000000"/>
        </w:rPr>
        <w:t xml:space="preserve">Cadre de réponse à compléter </w:t>
      </w:r>
      <w:r w:rsidR="00A615EA" w:rsidRPr="00A615EA">
        <w:rPr>
          <w:rStyle w:val="Policepardfaut1"/>
          <w:rFonts w:ascii="Arial" w:hAnsi="Arial" w:cs="Arial"/>
          <w:smallCaps/>
          <w:color w:val="000000"/>
          <w:u w:val="single"/>
        </w:rPr>
        <w:t>obligatoire</w:t>
      </w:r>
      <w:r w:rsidR="00A615EA">
        <w:rPr>
          <w:rStyle w:val="Policepardfaut1"/>
          <w:rFonts w:ascii="Arial" w:hAnsi="Arial" w:cs="Arial"/>
          <w:smallCaps/>
          <w:color w:val="000000"/>
        </w:rPr>
        <w:t xml:space="preserve"> </w:t>
      </w:r>
      <w:r w:rsidRPr="00A615EA">
        <w:rPr>
          <w:rStyle w:val="Policepardfaut1"/>
          <w:rFonts w:ascii="Arial" w:hAnsi="Arial" w:cs="Arial"/>
          <w:smallCaps/>
          <w:color w:val="000000"/>
        </w:rPr>
        <w:t>par le soumissionnaire</w:t>
      </w:r>
      <w:r w:rsidRPr="007C0A6B">
        <w:rPr>
          <w:rStyle w:val="Policepardfaut1"/>
          <w:rFonts w:ascii="Arial" w:hAnsi="Arial" w:cs="Arial"/>
          <w:color w:val="000000"/>
          <w:sz w:val="24"/>
          <w:szCs w:val="24"/>
        </w:rPr>
        <w:br/>
        <w:t>____</w:t>
      </w:r>
    </w:p>
    <w:p w14:paraId="019B663F" w14:textId="7E0783E3" w:rsidR="00896B32" w:rsidRDefault="00896B32" w:rsidP="00714AEE">
      <w:pPr>
        <w:pStyle w:val="TitreTR"/>
        <w:pBdr>
          <w:top w:val="single" w:sz="2" w:space="9" w:color="000099"/>
          <w:left w:val="single" w:sz="2" w:space="9" w:color="000099"/>
          <w:bottom w:val="single" w:sz="2" w:space="9" w:color="000099"/>
          <w:right w:val="single" w:sz="2" w:space="31" w:color="000099"/>
        </w:pBdr>
        <w:ind w:left="879" w:right="1020"/>
        <w:rPr>
          <w:rFonts w:ascii="Arial" w:hAnsi="Arial" w:cs="Arial"/>
          <w:sz w:val="24"/>
          <w:szCs w:val="24"/>
        </w:rPr>
      </w:pPr>
      <w:r w:rsidRPr="007C0A6B">
        <w:rPr>
          <w:rStyle w:val="Policepardfaut1"/>
          <w:rFonts w:ascii="Arial" w:hAnsi="Arial" w:cs="Arial"/>
          <w:color w:val="000000"/>
          <w:sz w:val="24"/>
          <w:szCs w:val="24"/>
        </w:rPr>
        <w:br/>
      </w:r>
      <w:r w:rsidR="00A615EA" w:rsidRPr="00A615EA">
        <w:rPr>
          <w:rFonts w:ascii="Arial" w:hAnsi="Arial" w:cs="Arial"/>
          <w:sz w:val="24"/>
          <w:szCs w:val="24"/>
        </w:rPr>
        <w:t>TRAVAUX DE REMPLACEMENT DES GROUPES FROIDS SUR LE SITE DE PIERREFITTE-SUR-SEINE DES ARCHIVES NATIONALES</w:t>
      </w:r>
    </w:p>
    <w:p w14:paraId="541EA5BF" w14:textId="77777777" w:rsidR="00A615EA" w:rsidRDefault="00A615EA" w:rsidP="00714AEE">
      <w:pPr>
        <w:pStyle w:val="TitreTR"/>
        <w:pBdr>
          <w:top w:val="single" w:sz="2" w:space="9" w:color="000099"/>
          <w:left w:val="single" w:sz="2" w:space="9" w:color="000099"/>
          <w:bottom w:val="single" w:sz="2" w:space="9" w:color="000099"/>
          <w:right w:val="single" w:sz="2" w:space="31" w:color="000099"/>
        </w:pBdr>
        <w:ind w:left="879" w:right="1020"/>
        <w:rPr>
          <w:color w:val="000000"/>
        </w:rPr>
      </w:pPr>
    </w:p>
    <w:p w14:paraId="1DBBE9F5" w14:textId="77777777" w:rsidR="007C0A6B" w:rsidRDefault="007C0A6B" w:rsidP="007C0A6B">
      <w:pPr>
        <w:pStyle w:val="TitreTR"/>
        <w:rPr>
          <w:color w:val="000000"/>
        </w:rPr>
      </w:pPr>
    </w:p>
    <w:p w14:paraId="29D10243" w14:textId="2258A684" w:rsidR="00A615EA" w:rsidRPr="00CD7A5B" w:rsidRDefault="00A615EA" w:rsidP="00A615EA">
      <w:pPr>
        <w:pStyle w:val="TitreTR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D7A5B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Rappel </w:t>
      </w:r>
      <w:r w:rsidRPr="00CD7A5B">
        <w:rPr>
          <w:rFonts w:ascii="Times New Roman" w:hAnsi="Times New Roman" w:cs="Times New Roman"/>
          <w:color w:val="000000"/>
          <w:sz w:val="22"/>
          <w:szCs w:val="22"/>
        </w:rPr>
        <w:t>: Il est demandé aux candidats d’utiliser le présent document pour répondre. Aucun autre document ne sera analysé.</w:t>
      </w:r>
      <w:r w:rsidR="005F7B1E" w:rsidRPr="00CD7A5B">
        <w:rPr>
          <w:rFonts w:ascii="Times New Roman" w:hAnsi="Times New Roman" w:cs="Times New Roman"/>
          <w:sz w:val="22"/>
          <w:szCs w:val="22"/>
        </w:rPr>
        <w:t xml:space="preserve"> </w:t>
      </w:r>
      <w:r w:rsidR="00CD7A5B" w:rsidRPr="00CD7A5B">
        <w:rPr>
          <w:rFonts w:ascii="Times New Roman" w:hAnsi="Times New Roman" w:cs="Times New Roman"/>
          <w:sz w:val="22"/>
          <w:szCs w:val="22"/>
        </w:rPr>
        <w:t xml:space="preserve">(Maximum </w:t>
      </w:r>
      <w:r w:rsidR="00C270AB">
        <w:rPr>
          <w:rFonts w:ascii="Times New Roman" w:hAnsi="Times New Roman" w:cs="Times New Roman"/>
          <w:sz w:val="22"/>
          <w:szCs w:val="22"/>
        </w:rPr>
        <w:t>50</w:t>
      </w:r>
      <w:r w:rsidR="00CD7A5B" w:rsidRPr="00CD7A5B">
        <w:rPr>
          <w:rFonts w:ascii="Times New Roman" w:hAnsi="Times New Roman" w:cs="Times New Roman"/>
          <w:sz w:val="22"/>
          <w:szCs w:val="22"/>
        </w:rPr>
        <w:t xml:space="preserve"> pages</w:t>
      </w:r>
      <w:r w:rsidR="00C270AB">
        <w:rPr>
          <w:rFonts w:ascii="Times New Roman" w:hAnsi="Times New Roman" w:cs="Times New Roman"/>
          <w:sz w:val="22"/>
          <w:szCs w:val="22"/>
        </w:rPr>
        <w:t xml:space="preserve"> sans annexes</w:t>
      </w:r>
      <w:r w:rsidR="00CD7A5B" w:rsidRPr="00CD7A5B">
        <w:rPr>
          <w:rFonts w:ascii="Times New Roman" w:hAnsi="Times New Roman" w:cs="Times New Roman"/>
          <w:sz w:val="22"/>
          <w:szCs w:val="22"/>
        </w:rPr>
        <w:t xml:space="preserve"> </w:t>
      </w:r>
      <w:r w:rsidR="00CD7A5B">
        <w:rPr>
          <w:rFonts w:ascii="Times New Roman" w:hAnsi="Times New Roman" w:cs="Times New Roman"/>
          <w:sz w:val="22"/>
          <w:szCs w:val="22"/>
        </w:rPr>
        <w:t>– En taille 11 – T</w:t>
      </w:r>
      <w:r w:rsidR="00CD7A5B" w:rsidRPr="00CD7A5B">
        <w:rPr>
          <w:rFonts w:ascii="Times New Roman" w:hAnsi="Times New Roman" w:cs="Times New Roman"/>
          <w:sz w:val="22"/>
          <w:szCs w:val="22"/>
        </w:rPr>
        <w:t>imes</w:t>
      </w:r>
      <w:r w:rsidR="00CD7A5B">
        <w:rPr>
          <w:rFonts w:ascii="Times New Roman" w:hAnsi="Times New Roman" w:cs="Times New Roman"/>
          <w:sz w:val="22"/>
          <w:szCs w:val="22"/>
        </w:rPr>
        <w:t xml:space="preserve"> New Roman)  </w:t>
      </w:r>
      <w:r w:rsidR="00CD7A5B" w:rsidRPr="00CD7A5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7512EDA" w14:textId="77777777" w:rsidR="00A615EA" w:rsidRPr="00CD7A5B" w:rsidRDefault="00A615EA" w:rsidP="00A615EA">
      <w:pPr>
        <w:pStyle w:val="TitreTR"/>
        <w:rPr>
          <w:rFonts w:ascii="Times New Roman" w:hAnsi="Times New Roman" w:cs="Times New Roman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22"/>
      </w:tblGrid>
      <w:tr w:rsidR="007C0A6B" w:rsidRPr="00CD7A5B" w14:paraId="196C1C24" w14:textId="77777777" w:rsidTr="00714AEE">
        <w:tc>
          <w:tcPr>
            <w:tcW w:w="9322" w:type="dxa"/>
          </w:tcPr>
          <w:p w14:paraId="0D6C93BB" w14:textId="13F36BFD" w:rsidR="007C0A6B" w:rsidRPr="00CD7A5B" w:rsidRDefault="007C0A6B" w:rsidP="00970D26">
            <w:pPr>
              <w:pStyle w:val="TitreTR"/>
              <w:rPr>
                <w:rFonts w:ascii="Times New Roman" w:hAnsi="Times New Roman" w:cs="Times New Roman"/>
                <w:color w:val="000000"/>
              </w:rPr>
            </w:pPr>
            <w:r w:rsidRPr="00CD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CRITERE QUALITE DE L’OFFRE – PONDERATION 50 %</w:t>
            </w:r>
          </w:p>
        </w:tc>
      </w:tr>
    </w:tbl>
    <w:p w14:paraId="7B8EC72D" w14:textId="77777777" w:rsidR="007C0A6B" w:rsidRPr="00CD7A5B" w:rsidRDefault="007C0A6B" w:rsidP="007C0A6B">
      <w:pPr>
        <w:pStyle w:val="TitreTR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194928557"/>
    </w:p>
    <w:tbl>
      <w:tblPr>
        <w:tblW w:w="9944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9944"/>
      </w:tblGrid>
      <w:tr w:rsidR="00171301" w:rsidRPr="00CD7A5B" w14:paraId="7D3DC7E2" w14:textId="77777777" w:rsidTr="00171301">
        <w:tc>
          <w:tcPr>
            <w:tcW w:w="5953" w:type="dxa"/>
            <w:shd w:val="clear" w:color="auto" w:fill="auto"/>
          </w:tcPr>
          <w:bookmarkEnd w:id="0"/>
          <w:p w14:paraId="217FBC0D" w14:textId="435C4F14" w:rsidR="00171301" w:rsidRPr="00CD7A5B" w:rsidRDefault="00171301" w:rsidP="00171301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Sous-critère n°1 : </w:t>
            </w:r>
            <w:r w:rsidR="00714AEE"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Méthodologie </w:t>
            </w: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pour l'exécution de l’opération (</w:t>
            </w:r>
            <w:r w:rsidR="00CD7A5B"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25</w:t>
            </w: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%)</w:t>
            </w:r>
            <w:r w:rsidR="00CF745D"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  <w:r w:rsidR="00CD7A5B"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</w:p>
          <w:p w14:paraId="431F8729" w14:textId="77777777" w:rsidR="00714AEE" w:rsidRPr="00CD7A5B" w:rsidRDefault="00714AEE" w:rsidP="00171301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14:paraId="02BFD9D7" w14:textId="663FC274" w:rsidR="00A50FE9" w:rsidRPr="00CD7A5B" w:rsidRDefault="00A50FE9" w:rsidP="008845CF">
            <w:pPr>
              <w:keepLines/>
              <w:numPr>
                <w:ilvl w:val="0"/>
                <w:numId w:val="6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Prise en compte du contexte existant ; </w:t>
            </w:r>
          </w:p>
          <w:p w14:paraId="2668FD61" w14:textId="3E50D2CE" w:rsidR="008845CF" w:rsidRPr="00CD7A5B" w:rsidRDefault="00C50753" w:rsidP="008845CF">
            <w:pPr>
              <w:keepLines/>
              <w:numPr>
                <w:ilvl w:val="0"/>
                <w:numId w:val="6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Installation et p</w:t>
            </w:r>
            <w:r w:rsidR="008845CF"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réparation de chantier : </w:t>
            </w:r>
          </w:p>
          <w:p w14:paraId="48B3035D" w14:textId="7BBB8BDD" w:rsidR="008845CF" w:rsidRPr="00CD7A5B" w:rsidRDefault="008845CF" w:rsidP="008845CF">
            <w:pPr>
              <w:keepLines/>
              <w:numPr>
                <w:ilvl w:val="0"/>
                <w:numId w:val="10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Qualité des mesures prévues en matière d’hygiène et sécurité </w:t>
            </w:r>
          </w:p>
          <w:p w14:paraId="3A5F407B" w14:textId="77777777" w:rsidR="00171301" w:rsidRPr="00C50753" w:rsidRDefault="008845CF" w:rsidP="00C270AB">
            <w:pPr>
              <w:keepLines/>
              <w:numPr>
                <w:ilvl w:val="0"/>
                <w:numId w:val="10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Mesures prises pour la protection des installations neuves et existantes pendant les travaux (Condition de transports, grutage).</w:t>
            </w:r>
          </w:p>
          <w:p w14:paraId="3C5E0049" w14:textId="3614455E" w:rsidR="00C50753" w:rsidRPr="00CD7A5B" w:rsidRDefault="00C50753" w:rsidP="00C50753">
            <w:pPr>
              <w:keepLines/>
              <w:spacing w:before="57"/>
              <w:ind w:left="1778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71301" w:rsidRPr="00CD7A5B" w14:paraId="693C2E85" w14:textId="77777777" w:rsidTr="00171301">
        <w:tc>
          <w:tcPr>
            <w:tcW w:w="5953" w:type="dxa"/>
            <w:shd w:val="clear" w:color="auto" w:fill="auto"/>
          </w:tcPr>
          <w:p w14:paraId="594EB4CA" w14:textId="296F66A2" w:rsidR="00171301" w:rsidRPr="00CD7A5B" w:rsidRDefault="00171301" w:rsidP="00171301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Sous-critère n°2 : Qualité et quantité des moyens humains affectés à l'exécution (</w:t>
            </w:r>
            <w:r w:rsidR="00CD7A5B"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20</w:t>
            </w: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%), </w:t>
            </w:r>
          </w:p>
          <w:p w14:paraId="15A08D29" w14:textId="77777777" w:rsidR="00171301" w:rsidRPr="00CD7A5B" w:rsidRDefault="00171301" w:rsidP="00171301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14:paraId="572DBD9D" w14:textId="40F41DF1" w:rsidR="00171301" w:rsidRPr="00CD7A5B" w:rsidRDefault="00171301" w:rsidP="00714AEE">
            <w:pPr>
              <w:keepLines/>
              <w:numPr>
                <w:ilvl w:val="0"/>
                <w:numId w:val="7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Equipe</w:t>
            </w:r>
            <w:r w:rsidR="00811CE8"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 moyens humains dédies à la mission</w:t>
            </w:r>
            <w:r w:rsidR="00970D26"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 ;</w:t>
            </w:r>
          </w:p>
          <w:p w14:paraId="74B7E955" w14:textId="37E8333D" w:rsidR="00171301" w:rsidRPr="00CD7A5B" w:rsidRDefault="00171301" w:rsidP="00714AEE">
            <w:pPr>
              <w:keepLines/>
              <w:numPr>
                <w:ilvl w:val="0"/>
                <w:numId w:val="7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Qualifications et expériences professionnelles.</w:t>
            </w:r>
          </w:p>
          <w:p w14:paraId="3B7A9894" w14:textId="77777777" w:rsidR="00171301" w:rsidRPr="00CD7A5B" w:rsidRDefault="00171301" w:rsidP="00171301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171301" w:rsidRPr="00CD7A5B" w14:paraId="36D52366" w14:textId="77777777" w:rsidTr="00171301">
        <w:tc>
          <w:tcPr>
            <w:tcW w:w="5953" w:type="dxa"/>
            <w:shd w:val="clear" w:color="auto" w:fill="auto"/>
          </w:tcPr>
          <w:p w14:paraId="73CC6767" w14:textId="12D16943" w:rsidR="00092C50" w:rsidRPr="00CD7A5B" w:rsidRDefault="00092C50" w:rsidP="00092C50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Sous-critère n°3 :  Qualité des moyens matériels et qualité de procédures d’installation (</w:t>
            </w:r>
            <w:r w:rsidR="00CD7A5B"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45</w:t>
            </w: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 %)</w:t>
            </w:r>
          </w:p>
          <w:p w14:paraId="03A7CC17" w14:textId="77777777" w:rsidR="00092C50" w:rsidRPr="00CD7A5B" w:rsidRDefault="00092C50" w:rsidP="00092C50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</w:p>
          <w:p w14:paraId="574D3099" w14:textId="77777777" w:rsidR="00092C50" w:rsidRDefault="00092C50" w:rsidP="00092C50">
            <w:pPr>
              <w:keepLines/>
              <w:numPr>
                <w:ilvl w:val="0"/>
                <w:numId w:val="9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Fiches techniques, marques, modèles, caractéristiques des équipements, puissances, fluides utilisés, modification des installations …</w:t>
            </w:r>
          </w:p>
          <w:p w14:paraId="113F59FE" w14:textId="29F4F97F" w:rsidR="00C270AB" w:rsidRPr="00CD7A5B" w:rsidRDefault="00C270AB" w:rsidP="00092C50">
            <w:pPr>
              <w:keepLines/>
              <w:numPr>
                <w:ilvl w:val="0"/>
                <w:numId w:val="9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Garanties des installations. </w:t>
            </w:r>
          </w:p>
          <w:p w14:paraId="474E37CC" w14:textId="77777777" w:rsidR="00092C50" w:rsidRPr="00CD7A5B" w:rsidRDefault="00092C50" w:rsidP="00092C50">
            <w:pPr>
              <w:keepLines/>
              <w:numPr>
                <w:ilvl w:val="0"/>
                <w:numId w:val="9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</w:pPr>
            <w:r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 xml:space="preserve">Raccordements / Installations. </w:t>
            </w:r>
          </w:p>
          <w:p w14:paraId="2E1CDE20" w14:textId="77777777" w:rsidR="00092C50" w:rsidRPr="00CD7A5B" w:rsidRDefault="00092C50" w:rsidP="00171301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14:paraId="44D18C77" w14:textId="70EA376A" w:rsidR="00171301" w:rsidRPr="00CD7A5B" w:rsidRDefault="00171301" w:rsidP="00171301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Sous-critère n°</w:t>
            </w:r>
            <w:r w:rsidR="00092C50"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4</w:t>
            </w: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 : </w:t>
            </w:r>
            <w:r w:rsidR="008845CF"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Délais et planification d’exécution (</w:t>
            </w:r>
            <w:r w:rsidR="00092C50"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10</w:t>
            </w:r>
            <w:r w:rsidRP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%),</w:t>
            </w:r>
            <w:r w:rsidR="00CD7A5B"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</w:p>
          <w:p w14:paraId="4FBAD0AE" w14:textId="77777777" w:rsidR="00171301" w:rsidRPr="00CD7A5B" w:rsidRDefault="00171301" w:rsidP="008845CF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14:paraId="36069D81" w14:textId="4EB6C5D8" w:rsidR="008845CF" w:rsidRPr="00CD7A5B" w:rsidRDefault="00092C50" w:rsidP="00CD7A5B">
            <w:pPr>
              <w:keepLines/>
              <w:numPr>
                <w:ilvl w:val="0"/>
                <w:numId w:val="7"/>
              </w:numPr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Organisation prévue pour l'exécution de l’opération. (</w:t>
            </w:r>
            <w:r w:rsidR="008845CF"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Planning, temps de livraison, contrôles et autocontrôle</w:t>
            </w:r>
            <w:r w:rsidRPr="00CD7A5B">
              <w:rPr>
                <w:rFonts w:ascii="Times New Roman" w:eastAsia="Arial" w:hAnsi="Times New Roman" w:cs="Times New Roman"/>
                <w:color w:val="000000"/>
                <w:sz w:val="22"/>
                <w:szCs w:val="22"/>
              </w:rPr>
              <w:t>)</w:t>
            </w:r>
          </w:p>
        </w:tc>
      </w:tr>
      <w:tr w:rsidR="00171301" w:rsidRPr="00CD7A5B" w14:paraId="576F0B2A" w14:textId="77777777" w:rsidTr="00171301">
        <w:tc>
          <w:tcPr>
            <w:tcW w:w="5953" w:type="dxa"/>
            <w:shd w:val="clear" w:color="auto" w:fill="auto"/>
          </w:tcPr>
          <w:p w14:paraId="241F14D6" w14:textId="111DC01B" w:rsidR="00092C50" w:rsidRPr="00CD7A5B" w:rsidRDefault="00092C50" w:rsidP="00092C50">
            <w:pPr>
              <w:keepLines/>
              <w:spacing w:before="57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22"/>
      </w:tblGrid>
      <w:tr w:rsidR="007C0A6B" w:rsidRPr="00CD7A5B" w14:paraId="3E96AC64" w14:textId="77777777" w:rsidTr="00714AEE">
        <w:tc>
          <w:tcPr>
            <w:tcW w:w="9322" w:type="dxa"/>
          </w:tcPr>
          <w:p w14:paraId="798D58DA" w14:textId="77777777" w:rsidR="007C0A6B" w:rsidRPr="00CD7A5B" w:rsidRDefault="007C0A6B" w:rsidP="00970D26">
            <w:pPr>
              <w:pStyle w:val="TitreT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D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CRITERE PERFORMANCE ENVIRONNEMENTALE – PONDERATION 10 %</w:t>
            </w:r>
          </w:p>
        </w:tc>
      </w:tr>
    </w:tbl>
    <w:p w14:paraId="5C144DAD" w14:textId="77777777" w:rsidR="007C0A6B" w:rsidRPr="00CD7A5B" w:rsidRDefault="007C0A6B" w:rsidP="007C0A6B">
      <w:pPr>
        <w:pStyle w:val="TitreTR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14:paraId="3F2B5050" w14:textId="447CF30E" w:rsidR="00171301" w:rsidRPr="00CD7A5B" w:rsidRDefault="00171301" w:rsidP="00171301">
      <w:pPr>
        <w:pStyle w:val="TitreTR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- Performance énergétique de l'installation</w:t>
      </w:r>
      <w:r w:rsidR="00092C50"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 ;</w:t>
      </w:r>
    </w:p>
    <w:p w14:paraId="7BB4E121" w14:textId="6C99FC22" w:rsidR="00171301" w:rsidRPr="00CD7A5B" w:rsidRDefault="00171301" w:rsidP="00171301">
      <w:pPr>
        <w:pStyle w:val="TitreTR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- Performance environnementale au regard du transport des équipement</w:t>
      </w:r>
      <w:r w:rsidR="00CD7A5B"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s</w:t>
      </w:r>
      <w:r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et du personnel</w:t>
      </w:r>
      <w:r w:rsidR="00CD7A5B"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s ;</w:t>
      </w:r>
      <w:r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</w:t>
      </w:r>
    </w:p>
    <w:p w14:paraId="652DA78C" w14:textId="7E4240A4" w:rsidR="00171301" w:rsidRPr="00CD7A5B" w:rsidRDefault="00171301" w:rsidP="00171301">
      <w:pPr>
        <w:pStyle w:val="TitreTR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- Choix des fluides frigorigènes</w:t>
      </w:r>
      <w:r w:rsidR="00CD7A5B"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 ;</w:t>
      </w:r>
    </w:p>
    <w:p w14:paraId="351D2564" w14:textId="4E500519" w:rsidR="007C0A6B" w:rsidRDefault="00171301" w:rsidP="007C0A6B">
      <w:pPr>
        <w:pStyle w:val="TitreTR"/>
        <w:jc w:val="both"/>
        <w:rPr>
          <w:color w:val="000000"/>
        </w:rPr>
      </w:pPr>
      <w:r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- Gestion des déchets produits dans le cadre du marché (tri, valorisation, réutilisation des matériaux déposés, </w:t>
      </w:r>
      <w:proofErr w:type="gramStart"/>
      <w:r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etc...</w:t>
      </w:r>
      <w:proofErr w:type="gramEnd"/>
      <w:r w:rsidRPr="00CD7A5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)</w:t>
      </w:r>
    </w:p>
    <w:sectPr w:rsidR="007C0A6B" w:rsidSect="007C0A6B">
      <w:footerReference w:type="default" r:id="rId7"/>
      <w:pgSz w:w="11906" w:h="16838"/>
      <w:pgMar w:top="1134" w:right="1134" w:bottom="680" w:left="1134" w:header="720" w:footer="34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0E188" w14:textId="77777777" w:rsidR="00E51B13" w:rsidRDefault="00E51B13">
      <w:r>
        <w:separator/>
      </w:r>
    </w:p>
  </w:endnote>
  <w:endnote w:type="continuationSeparator" w:id="0">
    <w:p w14:paraId="23533228" w14:textId="77777777" w:rsidR="00E51B13" w:rsidRDefault="00E5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3E82" w14:textId="7B8FDCB0" w:rsidR="007C0A6B" w:rsidRDefault="00910C26">
    <w:pPr>
      <w:pStyle w:val="Pieddepage"/>
    </w:pPr>
    <w:r>
      <w:rPr>
        <w:noProof/>
      </w:rPr>
      <w:pict w14:anchorId="591240AD">
        <v:shapetype id="_x0000_t202" coordsize="21600,21600" o:spt="202" path="m,l,21600r21600,l21600,xe">
          <v:stroke joinstyle="miter"/>
          <v:path gradientshapeok="t" o:connecttype="rect"/>
        </v:shapetype>
        <v:shape id="MSIPCM83394275b1b933d5c9b1e913" o:spid="_x0000_s1028" type="#_x0000_t202" alt="{&quot;HashCode&quot;:-468733573,&quot;Height&quot;:841.0,&quot;Width&quot;:595.0,&quot;Placement&quot;:&quot;Footer&quot;,&quot;Index&quot;:&quot;Primary&quot;,&quot;Section&quot;:1,&quot;Top&quot;:0.0,&quot;Left&quot;:0.0}" style="position:absolute;margin-left:0;margin-top:805.35pt;width:595.3pt;height:21.55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C4806B0" w14:textId="62355F9C" w:rsidR="007C0A6B" w:rsidRPr="007C0A6B" w:rsidRDefault="007C0A6B" w:rsidP="007C0A6B">
                <w:pPr>
                  <w:jc w:val="center"/>
                  <w:rPr>
                    <w:rFonts w:ascii="Calibri" w:hAnsi="Calibri" w:cs="Calibri"/>
                    <w:color w:val="008000"/>
                  </w:rPr>
                </w:pPr>
                <w:r w:rsidRPr="007C0A6B">
                  <w:rPr>
                    <w:rFonts w:ascii="Calibri" w:hAnsi="Calibri" w:cs="Calibri"/>
                    <w:color w:val="008000"/>
                  </w:rPr>
                  <w:t>C1 Données Internes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B1E69" w14:textId="77777777" w:rsidR="00E51B13" w:rsidRDefault="00E51B13">
      <w:r>
        <w:separator/>
      </w:r>
    </w:p>
  </w:footnote>
  <w:footnote w:type="continuationSeparator" w:id="0">
    <w:p w14:paraId="057C7505" w14:textId="77777777" w:rsidR="00E51B13" w:rsidRDefault="00E51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lvlText w:val="%1 -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re2"/>
      <w:lvlText w:val="%1.%2 -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re3"/>
      <w:lvlText w:val="%1.%2.%3 -"/>
      <w:lvlJc w:val="left"/>
      <w:pPr>
        <w:tabs>
          <w:tab w:val="num" w:pos="0"/>
        </w:tabs>
        <w:ind w:left="805" w:hanging="805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3" w15:restartNumberingAfterBreak="0">
    <w:nsid w:val="151A3821"/>
    <w:multiLevelType w:val="hybridMultilevel"/>
    <w:tmpl w:val="2F96E33C"/>
    <w:lvl w:ilvl="0" w:tplc="1C08C4A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A3776"/>
    <w:multiLevelType w:val="hybridMultilevel"/>
    <w:tmpl w:val="0D969318"/>
    <w:lvl w:ilvl="0" w:tplc="2C1694EE">
      <w:start w:val="1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A0329"/>
    <w:multiLevelType w:val="hybridMultilevel"/>
    <w:tmpl w:val="A7D41DAE"/>
    <w:lvl w:ilvl="0" w:tplc="E97E3A1E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866FB"/>
    <w:multiLevelType w:val="hybridMultilevel"/>
    <w:tmpl w:val="9DCE51D8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58B43B94"/>
    <w:multiLevelType w:val="hybridMultilevel"/>
    <w:tmpl w:val="B04E3BE4"/>
    <w:lvl w:ilvl="0" w:tplc="1C08C4A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A464D"/>
    <w:multiLevelType w:val="hybridMultilevel"/>
    <w:tmpl w:val="BCDE4A3A"/>
    <w:lvl w:ilvl="0" w:tplc="1C08C4A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A6FDA"/>
    <w:multiLevelType w:val="hybridMultilevel"/>
    <w:tmpl w:val="860E6D3A"/>
    <w:lvl w:ilvl="0" w:tplc="1C08C4A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0207">
    <w:abstractNumId w:val="0"/>
  </w:num>
  <w:num w:numId="2" w16cid:durableId="2012903692">
    <w:abstractNumId w:val="1"/>
  </w:num>
  <w:num w:numId="3" w16cid:durableId="400251910">
    <w:abstractNumId w:val="2"/>
  </w:num>
  <w:num w:numId="4" w16cid:durableId="1890533767">
    <w:abstractNumId w:val="4"/>
  </w:num>
  <w:num w:numId="5" w16cid:durableId="488910650">
    <w:abstractNumId w:val="5"/>
  </w:num>
  <w:num w:numId="6" w16cid:durableId="1868173776">
    <w:abstractNumId w:val="8"/>
  </w:num>
  <w:num w:numId="7" w16cid:durableId="1083184415">
    <w:abstractNumId w:val="9"/>
  </w:num>
  <w:num w:numId="8" w16cid:durableId="728959431">
    <w:abstractNumId w:val="7"/>
  </w:num>
  <w:num w:numId="9" w16cid:durableId="1501965568">
    <w:abstractNumId w:val="3"/>
  </w:num>
  <w:num w:numId="10" w16cid:durableId="18580389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6B32"/>
    <w:rsid w:val="00025C20"/>
    <w:rsid w:val="00092C50"/>
    <w:rsid w:val="000C36A3"/>
    <w:rsid w:val="00133A7A"/>
    <w:rsid w:val="00171301"/>
    <w:rsid w:val="00172DC9"/>
    <w:rsid w:val="001F173A"/>
    <w:rsid w:val="002D41EC"/>
    <w:rsid w:val="004373A3"/>
    <w:rsid w:val="004634BA"/>
    <w:rsid w:val="004777EB"/>
    <w:rsid w:val="004C5D01"/>
    <w:rsid w:val="004D5322"/>
    <w:rsid w:val="004E6FC9"/>
    <w:rsid w:val="005303A9"/>
    <w:rsid w:val="005F7B1E"/>
    <w:rsid w:val="00626BB9"/>
    <w:rsid w:val="006C47A2"/>
    <w:rsid w:val="00714AEE"/>
    <w:rsid w:val="007C0A6B"/>
    <w:rsid w:val="007D58F2"/>
    <w:rsid w:val="007F0B93"/>
    <w:rsid w:val="00811CE8"/>
    <w:rsid w:val="008845CF"/>
    <w:rsid w:val="00896B32"/>
    <w:rsid w:val="00901545"/>
    <w:rsid w:val="00910C26"/>
    <w:rsid w:val="00951993"/>
    <w:rsid w:val="00970D26"/>
    <w:rsid w:val="00A50FE9"/>
    <w:rsid w:val="00A615EA"/>
    <w:rsid w:val="00BE1B0A"/>
    <w:rsid w:val="00C270AB"/>
    <w:rsid w:val="00C50753"/>
    <w:rsid w:val="00CD7A5B"/>
    <w:rsid w:val="00CF745D"/>
    <w:rsid w:val="00D17C92"/>
    <w:rsid w:val="00D30362"/>
    <w:rsid w:val="00E47C5A"/>
    <w:rsid w:val="00E51B13"/>
    <w:rsid w:val="00F254B1"/>
    <w:rsid w:val="00F5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64EB38"/>
  <w15:chartTrackingRefBased/>
  <w15:docId w15:val="{48DA5E4B-CFF1-4340-9388-DC029032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itre1">
    <w:name w:val="heading 1"/>
    <w:basedOn w:val="Titre10"/>
    <w:next w:val="Corpsdetexte"/>
    <w:qFormat/>
    <w:pPr>
      <w:numPr>
        <w:numId w:val="1"/>
      </w:numPr>
      <w:outlineLvl w:val="0"/>
    </w:pPr>
    <w:rPr>
      <w:rFonts w:ascii="Segoe UI" w:eastAsia="Segoe UI" w:hAnsi="Segoe UI" w:cs="Segoe UI"/>
      <w:color w:val="003366"/>
    </w:rPr>
  </w:style>
  <w:style w:type="paragraph" w:styleId="Titre2">
    <w:name w:val="heading 2"/>
    <w:basedOn w:val="Titre10"/>
    <w:next w:val="Corpsdetexte"/>
    <w:qFormat/>
    <w:pPr>
      <w:numPr>
        <w:ilvl w:val="1"/>
        <w:numId w:val="1"/>
      </w:numPr>
      <w:tabs>
        <w:tab w:val="left" w:pos="-2898"/>
      </w:tabs>
      <w:spacing w:before="200"/>
      <w:outlineLvl w:val="1"/>
    </w:pPr>
    <w:rPr>
      <w:rFonts w:ascii="Segoe UI" w:eastAsia="Segoe UI" w:hAnsi="Segoe UI" w:cs="Segoe UI"/>
      <w:color w:val="003366"/>
    </w:rPr>
  </w:style>
  <w:style w:type="paragraph" w:styleId="Titre3">
    <w:name w:val="heading 3"/>
    <w:basedOn w:val="Titre10"/>
    <w:next w:val="Corpsdetexte"/>
    <w:autoRedefine/>
    <w:qFormat/>
    <w:pPr>
      <w:numPr>
        <w:ilvl w:val="2"/>
        <w:numId w:val="1"/>
      </w:numPr>
      <w:tabs>
        <w:tab w:val="left" w:pos="-3198"/>
        <w:tab w:val="left" w:pos="-3023"/>
      </w:tabs>
      <w:spacing w:before="227"/>
      <w:jc w:val="both"/>
      <w:outlineLvl w:val="2"/>
    </w:pPr>
    <w:rPr>
      <w:rFonts w:ascii="Segoe UI" w:eastAsia="Segoe UI" w:hAnsi="Segoe UI" w:cs="Segoe UI"/>
      <w:color w:val="003366"/>
      <w:sz w:val="20"/>
      <w:szCs w:val="20"/>
    </w:rPr>
  </w:style>
  <w:style w:type="paragraph" w:styleId="Titre4">
    <w:name w:val="heading 4"/>
    <w:basedOn w:val="Titre10"/>
    <w:next w:val="Corpsdetexte"/>
    <w:autoRedefine/>
    <w:qFormat/>
    <w:pPr>
      <w:numPr>
        <w:ilvl w:val="3"/>
        <w:numId w:val="1"/>
      </w:numPr>
      <w:shd w:val="clear" w:color="auto" w:fill="FFFFFF"/>
      <w:tabs>
        <w:tab w:val="left" w:pos="1813"/>
        <w:tab w:val="left" w:pos="1988"/>
      </w:tabs>
      <w:spacing w:before="227" w:after="113"/>
      <w:ind w:left="1644"/>
      <w:outlineLvl w:val="3"/>
    </w:pPr>
    <w:rPr>
      <w:rFonts w:ascii="Segoe UI" w:eastAsia="Segoe UI" w:hAnsi="Segoe UI" w:cs="Segoe UI"/>
      <w:color w:val="003366"/>
      <w:sz w:val="20"/>
      <w:szCs w:val="20"/>
    </w:rPr>
  </w:style>
  <w:style w:type="paragraph" w:styleId="Titre5">
    <w:name w:val="heading 5"/>
    <w:basedOn w:val="Titre10"/>
    <w:next w:val="Corpsdetexte"/>
    <w:qFormat/>
    <w:pPr>
      <w:numPr>
        <w:ilvl w:val="4"/>
        <w:numId w:val="1"/>
      </w:numPr>
      <w:spacing w:before="120" w:after="60"/>
      <w:outlineLvl w:val="4"/>
    </w:pPr>
  </w:style>
  <w:style w:type="paragraph" w:styleId="Titre6">
    <w:name w:val="heading 6"/>
    <w:basedOn w:val="Titre10"/>
    <w:next w:val="Corpsdetexte"/>
    <w:qFormat/>
    <w:pPr>
      <w:numPr>
        <w:ilvl w:val="5"/>
        <w:numId w:val="1"/>
      </w:numPr>
      <w:spacing w:before="60" w:after="60"/>
      <w:outlineLvl w:val="5"/>
    </w:pPr>
    <w:rPr>
      <w:i/>
      <w:iCs/>
    </w:rPr>
  </w:style>
  <w:style w:type="paragraph" w:styleId="Titre7">
    <w:name w:val="heading 7"/>
    <w:basedOn w:val="Titre10"/>
    <w:next w:val="Corpsdetexte"/>
    <w:qFormat/>
    <w:pPr>
      <w:numPr>
        <w:ilvl w:val="6"/>
        <w:numId w:val="1"/>
      </w:numPr>
      <w:spacing w:before="60" w:after="60"/>
      <w:outlineLvl w:val="6"/>
    </w:pPr>
  </w:style>
  <w:style w:type="paragraph" w:styleId="Titre8">
    <w:name w:val="heading 8"/>
    <w:basedOn w:val="Titre10"/>
    <w:next w:val="Corpsdetexte"/>
    <w:qFormat/>
    <w:pPr>
      <w:numPr>
        <w:ilvl w:val="7"/>
        <w:numId w:val="1"/>
      </w:numPr>
      <w:spacing w:before="60" w:after="60"/>
      <w:outlineLvl w:val="7"/>
    </w:pPr>
    <w:rPr>
      <w:i/>
      <w:iCs/>
    </w:rPr>
  </w:style>
  <w:style w:type="paragraph" w:styleId="Titre9">
    <w:name w:val="heading 9"/>
    <w:basedOn w:val="Titre10"/>
    <w:next w:val="Corpsdetexte"/>
    <w:qFormat/>
    <w:pPr>
      <w:numPr>
        <w:ilvl w:val="8"/>
        <w:numId w:val="1"/>
      </w:numPr>
      <w:spacing w:before="6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styleId="Lienhypertexte">
    <w:name w:val="Hyperlink"/>
    <w:rPr>
      <w:color w:val="000080"/>
      <w:u w:val="single"/>
    </w:rPr>
  </w:style>
  <w:style w:type="character" w:customStyle="1" w:styleId="Sautdindex">
    <w:name w:val="Saut d'index"/>
  </w:style>
  <w:style w:type="character" w:customStyle="1" w:styleId="Puces">
    <w:name w:val="Puces"/>
    <w:rPr>
      <w:rFonts w:ascii="OpenSymbol" w:eastAsia="OpenSymbol" w:hAnsi="OpenSymbol" w:cs="OpenSymbol"/>
      <w:sz w:val="28"/>
      <w:szCs w:val="28"/>
    </w:rPr>
  </w:style>
  <w:style w:type="character" w:customStyle="1" w:styleId="Caractresdenotedebasdepage">
    <w:name w:val="Caractères de note de bas de page"/>
  </w:style>
  <w:style w:type="character" w:styleId="Appelnotedebasdep">
    <w:name w:val="footnote reference"/>
    <w:rPr>
      <w:position w:val="6"/>
      <w:sz w:val="16"/>
    </w:rPr>
  </w:style>
  <w:style w:type="character" w:customStyle="1" w:styleId="Caractresdenotedefin">
    <w:name w:val="Caractères de note de fin"/>
  </w:style>
  <w:style w:type="character" w:styleId="Appeldenotedefin">
    <w:name w:val="endnote reference"/>
    <w:rPr>
      <w:position w:val="6"/>
      <w:sz w:val="16"/>
    </w:rPr>
  </w:style>
  <w:style w:type="character" w:styleId="Numrodeligne">
    <w:name w:val="line number"/>
  </w:style>
  <w:style w:type="character" w:customStyle="1" w:styleId="Caractresdenumrotation">
    <w:name w:val="Caractères de numérotation"/>
  </w:style>
  <w:style w:type="character" w:styleId="lev">
    <w:name w:val="Strong"/>
    <w:qFormat/>
    <w:rPr>
      <w:b/>
      <w:bCs/>
    </w:rPr>
  </w:style>
  <w:style w:type="character" w:customStyle="1" w:styleId="Appelnotedebasdep2">
    <w:name w:val="Appel note de bas de p.2"/>
    <w:rPr>
      <w:position w:val="6"/>
      <w:sz w:val="16"/>
    </w:rPr>
  </w:style>
  <w:style w:type="character" w:customStyle="1" w:styleId="ListLabel1">
    <w:name w:val="ListLabel 1"/>
    <w:rPr>
      <w:rFonts w:eastAsia="OpenSymbol"/>
    </w:rPr>
  </w:style>
  <w:style w:type="character" w:customStyle="1" w:styleId="Textesource">
    <w:name w:val="Texte source"/>
    <w:rPr>
      <w:rFonts w:ascii="Courier New" w:eastAsia="NSimSun" w:hAnsi="Courier New" w:cs="Courier New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Times New Roman" w:eastAsia="Andale Sans UI" w:hAnsi="Times New Roman" w:cs="Tahoma"/>
      <w:sz w:val="20"/>
      <w:szCs w:val="20"/>
      <w:lang w:eastAsia="ja-JP" w:bidi="fa-IR"/>
    </w:rPr>
  </w:style>
  <w:style w:type="character" w:customStyle="1" w:styleId="TextedebullesCar">
    <w:name w:val="Texte de bulles Car"/>
    <w:rPr>
      <w:rFonts w:ascii="Segoe UI" w:hAnsi="Segoe UI"/>
      <w:sz w:val="18"/>
      <w:szCs w:val="16"/>
    </w:rPr>
  </w:style>
  <w:style w:type="character" w:customStyle="1" w:styleId="ObjetducommentaireCar">
    <w:name w:val="Objet du commentaire Car"/>
    <w:rPr>
      <w:rFonts w:ascii="Times New Roman" w:eastAsia="Andale Sans UI" w:hAnsi="Times New Roman" w:cs="Tahoma"/>
      <w:b/>
      <w:bCs/>
      <w:sz w:val="20"/>
      <w:szCs w:val="18"/>
      <w:lang w:eastAsia="ja-JP" w:bidi="fa-IR"/>
    </w:rPr>
  </w:style>
  <w:style w:type="character" w:customStyle="1" w:styleId="WWCharLFO9LVL1">
    <w:name w:val="WW_CharLFO9LVL1"/>
    <w:rPr>
      <w:rFonts w:ascii="Times New Roman" w:eastAsia="OpenSymbol" w:hAnsi="Times New Roman"/>
    </w:rPr>
  </w:style>
  <w:style w:type="character" w:customStyle="1" w:styleId="WWCharLFO9LVL2">
    <w:name w:val="WW_CharLFO9LVL2"/>
    <w:rPr>
      <w:rFonts w:ascii="Times New Roman" w:eastAsia="OpenSymbol" w:hAnsi="Times New Roman"/>
    </w:rPr>
  </w:style>
  <w:style w:type="character" w:customStyle="1" w:styleId="WWCharLFO9LVL3">
    <w:name w:val="WW_CharLFO9LVL3"/>
    <w:rPr>
      <w:rFonts w:ascii="Times New Roman" w:eastAsia="OpenSymbol" w:hAnsi="Times New Roman"/>
    </w:rPr>
  </w:style>
  <w:style w:type="character" w:customStyle="1" w:styleId="WWCharLFO9LVL4">
    <w:name w:val="WW_CharLFO9LVL4"/>
    <w:rPr>
      <w:rFonts w:ascii="Times New Roman" w:eastAsia="OpenSymbol" w:hAnsi="Times New Roman"/>
    </w:rPr>
  </w:style>
  <w:style w:type="character" w:customStyle="1" w:styleId="WWCharLFO9LVL5">
    <w:name w:val="WW_CharLFO9LVL5"/>
    <w:rPr>
      <w:rFonts w:ascii="Times New Roman" w:eastAsia="OpenSymbol" w:hAnsi="Times New Roman"/>
    </w:rPr>
  </w:style>
  <w:style w:type="character" w:customStyle="1" w:styleId="WWCharLFO9LVL6">
    <w:name w:val="WW_CharLFO9LVL6"/>
    <w:rPr>
      <w:rFonts w:ascii="Times New Roman" w:eastAsia="OpenSymbol" w:hAnsi="Times New Roman"/>
    </w:rPr>
  </w:style>
  <w:style w:type="character" w:customStyle="1" w:styleId="WWCharLFO9LVL7">
    <w:name w:val="WW_CharLFO9LVL7"/>
    <w:rPr>
      <w:rFonts w:ascii="Times New Roman" w:eastAsia="OpenSymbol" w:hAnsi="Times New Roman"/>
    </w:rPr>
  </w:style>
  <w:style w:type="character" w:customStyle="1" w:styleId="WWCharLFO9LVL8">
    <w:name w:val="WW_CharLFO9LVL8"/>
    <w:rPr>
      <w:rFonts w:ascii="Times New Roman" w:eastAsia="OpenSymbol" w:hAnsi="Times New Roman"/>
    </w:rPr>
  </w:style>
  <w:style w:type="character" w:customStyle="1" w:styleId="WWCharLFO9LVL9">
    <w:name w:val="WW_CharLFO9LVL9"/>
    <w:rPr>
      <w:rFonts w:ascii="Times New Roman" w:eastAsia="OpenSymbol" w:hAnsi="Times New Roman"/>
    </w:rPr>
  </w:style>
  <w:style w:type="character" w:customStyle="1" w:styleId="WWCharLFO10LVL1">
    <w:name w:val="WW_CharLFO10LVL1"/>
    <w:rPr>
      <w:rFonts w:ascii="OpenSymbol" w:eastAsia="OpenSymbol" w:hAnsi="OpenSymbol" w:cs="OpenSymbol"/>
      <w:sz w:val="28"/>
      <w:szCs w:val="28"/>
    </w:rPr>
  </w:style>
  <w:style w:type="character" w:customStyle="1" w:styleId="WWCharLFO11LVL1">
    <w:name w:val="WW_CharLFO11LVL1"/>
    <w:rPr>
      <w:rFonts w:ascii="OpenSymbol" w:eastAsia="OpenSymbol" w:hAnsi="OpenSymbol" w:cs="OpenSymbol"/>
    </w:rPr>
  </w:style>
  <w:style w:type="character" w:customStyle="1" w:styleId="WWCharLFO12LVL1">
    <w:name w:val="WW_CharLFO12LVL1"/>
    <w:rPr>
      <w:rFonts w:ascii="Symbol" w:hAnsi="Symbol"/>
    </w:rPr>
  </w:style>
  <w:style w:type="character" w:customStyle="1" w:styleId="WWCharLFO12LVL2">
    <w:name w:val="WW_CharLFO12LVL2"/>
    <w:rPr>
      <w:rFonts w:ascii="Courier New" w:hAnsi="Courier New" w:cs="Courier New"/>
    </w:rPr>
  </w:style>
  <w:style w:type="character" w:customStyle="1" w:styleId="WWCharLFO12LVL3">
    <w:name w:val="WW_CharLFO12LVL3"/>
    <w:rPr>
      <w:rFonts w:ascii="Wingdings" w:hAnsi="Wingdings"/>
    </w:rPr>
  </w:style>
  <w:style w:type="character" w:customStyle="1" w:styleId="WWCharLFO12LVL4">
    <w:name w:val="WW_CharLFO12LVL4"/>
    <w:rPr>
      <w:rFonts w:ascii="Symbol" w:hAnsi="Symbol"/>
    </w:rPr>
  </w:style>
  <w:style w:type="character" w:customStyle="1" w:styleId="WWCharLFO12LVL5">
    <w:name w:val="WW_CharLFO12LVL5"/>
    <w:rPr>
      <w:rFonts w:ascii="Courier New" w:hAnsi="Courier New" w:cs="Courier New"/>
    </w:rPr>
  </w:style>
  <w:style w:type="character" w:customStyle="1" w:styleId="WWCharLFO12LVL6">
    <w:name w:val="WW_CharLFO12LVL6"/>
    <w:rPr>
      <w:rFonts w:ascii="Wingdings" w:hAnsi="Wingdings"/>
    </w:rPr>
  </w:style>
  <w:style w:type="character" w:customStyle="1" w:styleId="WWCharLFO12LVL7">
    <w:name w:val="WW_CharLFO12LVL7"/>
    <w:rPr>
      <w:rFonts w:ascii="Symbol" w:hAnsi="Symbol"/>
    </w:rPr>
  </w:style>
  <w:style w:type="character" w:customStyle="1" w:styleId="WWCharLFO12LVL8">
    <w:name w:val="WW_CharLFO12LVL8"/>
    <w:rPr>
      <w:rFonts w:ascii="Courier New" w:hAnsi="Courier New" w:cs="Courier New"/>
    </w:rPr>
  </w:style>
  <w:style w:type="character" w:customStyle="1" w:styleId="WWCharLFO12LVL9">
    <w:name w:val="WW_CharLFO12LVL9"/>
    <w:rPr>
      <w:rFonts w:ascii="Wingdings" w:hAnsi="Wingdings"/>
    </w:rPr>
  </w:style>
  <w:style w:type="character" w:customStyle="1" w:styleId="WWCharLFO13LVL1">
    <w:name w:val="WW_CharLFO13LVL1"/>
    <w:rPr>
      <w:rFonts w:ascii="Symbol" w:hAnsi="Symbol"/>
    </w:rPr>
  </w:style>
  <w:style w:type="character" w:customStyle="1" w:styleId="WWCharLFO13LVL2">
    <w:name w:val="WW_CharLFO13LVL2"/>
    <w:rPr>
      <w:rFonts w:ascii="Symbol" w:hAnsi="Symbol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4LVL1">
    <w:name w:val="WW_CharLFO14LVL1"/>
    <w:rPr>
      <w:rFonts w:ascii="Symbol" w:hAnsi="Symbol"/>
    </w:rPr>
  </w:style>
  <w:style w:type="character" w:customStyle="1" w:styleId="WWCharLFO14LVL2">
    <w:name w:val="WW_CharLFO14LVL2"/>
    <w:rPr>
      <w:rFonts w:ascii="Symbol" w:hAnsi="Symbol"/>
    </w:rPr>
  </w:style>
  <w:style w:type="character" w:customStyle="1" w:styleId="WWCharLFO14LVL3">
    <w:name w:val="WW_CharLFO14LVL3"/>
    <w:rPr>
      <w:rFonts w:ascii="Wingdings" w:hAnsi="Wingdings"/>
    </w:rPr>
  </w:style>
  <w:style w:type="character" w:customStyle="1" w:styleId="WWCharLFO14LVL4">
    <w:name w:val="WW_CharLFO14LVL4"/>
    <w:rPr>
      <w:rFonts w:ascii="Symbol" w:hAnsi="Symbol"/>
    </w:rPr>
  </w:style>
  <w:style w:type="character" w:customStyle="1" w:styleId="WWCharLFO14LVL5">
    <w:name w:val="WW_CharLFO14LVL5"/>
    <w:rPr>
      <w:rFonts w:ascii="Courier New" w:hAnsi="Courier New" w:cs="Courier New"/>
    </w:rPr>
  </w:style>
  <w:style w:type="character" w:customStyle="1" w:styleId="WWCharLFO14LVL6">
    <w:name w:val="WW_CharLFO14LVL6"/>
    <w:rPr>
      <w:rFonts w:ascii="Wingdings" w:hAnsi="Wingdings"/>
    </w:rPr>
  </w:style>
  <w:style w:type="character" w:customStyle="1" w:styleId="WWCharLFO14LVL7">
    <w:name w:val="WW_CharLFO14LVL7"/>
    <w:rPr>
      <w:rFonts w:ascii="Symbol" w:hAnsi="Symbol"/>
    </w:rPr>
  </w:style>
  <w:style w:type="character" w:customStyle="1" w:styleId="WWCharLFO14LVL8">
    <w:name w:val="WW_CharLFO14LVL8"/>
    <w:rPr>
      <w:rFonts w:ascii="Courier New" w:hAnsi="Courier New" w:cs="Courier New"/>
    </w:rPr>
  </w:style>
  <w:style w:type="character" w:customStyle="1" w:styleId="WWCharLFO14LVL9">
    <w:name w:val="WW_CharLFO14LVL9"/>
    <w:rPr>
      <w:rFonts w:ascii="Wingdings" w:hAnsi="Wingdings"/>
    </w:rPr>
  </w:style>
  <w:style w:type="character" w:customStyle="1" w:styleId="Policepardfaut2">
    <w:name w:val="Police par défaut2"/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spacing w:after="227" w:line="288" w:lineRule="auto"/>
      <w:ind w:left="170"/>
    </w:pPr>
  </w:style>
  <w:style w:type="paragraph" w:customStyle="1" w:styleId="LO-Normal">
    <w:name w:val="LO-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itations">
    <w:name w:val="Citations"/>
    <w:basedOn w:val="Normal"/>
    <w:pPr>
      <w:spacing w:after="283"/>
      <w:ind w:left="567" w:right="567"/>
    </w:pPr>
  </w:style>
  <w:style w:type="paragraph" w:styleId="Sous-titre">
    <w:name w:val="Subtitle"/>
    <w:basedOn w:val="Titre10"/>
    <w:next w:val="Corpsdetexte"/>
    <w:qFormat/>
    <w:pPr>
      <w:spacing w:before="60"/>
    </w:pPr>
    <w:rPr>
      <w:sz w:val="36"/>
      <w:szCs w:val="36"/>
    </w:rPr>
  </w:style>
  <w:style w:type="paragraph" w:styleId="Titreindex">
    <w:name w:val="index heading"/>
    <w:basedOn w:val="Titre10"/>
    <w:pPr>
      <w:suppressLineNumbers/>
    </w:pPr>
    <w:rPr>
      <w:sz w:val="32"/>
      <w:szCs w:val="32"/>
    </w:rPr>
  </w:style>
  <w:style w:type="paragraph" w:styleId="TitreTR">
    <w:name w:val="toa heading"/>
    <w:basedOn w:val="Titre10"/>
    <w:pPr>
      <w:suppressLineNumbers/>
    </w:pPr>
    <w:rPr>
      <w:sz w:val="32"/>
      <w:szCs w:val="32"/>
    </w:rPr>
  </w:style>
  <w:style w:type="paragraph" w:styleId="TM1">
    <w:name w:val="toc 1"/>
    <w:basedOn w:val="Index"/>
    <w:pPr>
      <w:tabs>
        <w:tab w:val="right" w:leader="dot" w:pos="9638"/>
      </w:tabs>
      <w:spacing w:before="170" w:after="113"/>
    </w:pPr>
    <w:rPr>
      <w:b/>
    </w:rPr>
  </w:style>
  <w:style w:type="paragraph" w:styleId="TM2">
    <w:name w:val="toc 2"/>
    <w:basedOn w:val="Index"/>
    <w:pPr>
      <w:tabs>
        <w:tab w:val="right" w:leader="dot" w:pos="9355"/>
      </w:tabs>
      <w:spacing w:after="57"/>
      <w:ind w:left="283"/>
    </w:pPr>
  </w:style>
  <w:style w:type="paragraph" w:styleId="TM3">
    <w:name w:val="toc 3"/>
    <w:basedOn w:val="Index"/>
    <w:pPr>
      <w:tabs>
        <w:tab w:val="right" w:leader="dot" w:pos="9072"/>
      </w:tabs>
      <w:spacing w:after="28"/>
      <w:ind w:left="566"/>
    </w:pPr>
    <w:rPr>
      <w:sz w:val="22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</w:style>
  <w:style w:type="paragraph" w:styleId="Notedebasdepage">
    <w:name w:val="footnote text"/>
    <w:basedOn w:val="Normal"/>
  </w:style>
  <w:style w:type="paragraph" w:styleId="Notedefin">
    <w:name w:val="endnote text"/>
    <w:basedOn w:val="Normal"/>
  </w:style>
  <w:style w:type="paragraph" w:customStyle="1" w:styleId="Texteprformat">
    <w:name w:val="Texte préformaté"/>
    <w:basedOn w:val="Normal"/>
    <w:rPr>
      <w:rFonts w:ascii="Courier New" w:eastAsia="Courier New" w:hAnsi="Courier New" w:cs="Courier New"/>
      <w:sz w:val="20"/>
      <w:szCs w:val="20"/>
    </w:rPr>
  </w:style>
  <w:style w:type="paragraph" w:styleId="En-tte">
    <w:name w:val="header"/>
    <w:basedOn w:val="Normal"/>
  </w:style>
  <w:style w:type="paragraph" w:customStyle="1" w:styleId="Par-Fz">
    <w:name w:val="Par-Fz"/>
    <w:basedOn w:val="Texteprformat"/>
    <w:pPr>
      <w:spacing w:before="170"/>
      <w:ind w:left="567"/>
      <w:jc w:val="both"/>
    </w:pPr>
    <w:rPr>
      <w:rFonts w:ascii="Liberation Serif" w:eastAsia="Liberation Serif" w:hAnsi="Liberation Serif" w:cs="Liberation Serif"/>
      <w:color w:val="003366"/>
      <w:sz w:val="23"/>
    </w:rPr>
  </w:style>
  <w:style w:type="paragraph" w:styleId="TM4">
    <w:name w:val="toc 4"/>
    <w:basedOn w:val="Index"/>
    <w:pPr>
      <w:spacing w:after="57"/>
      <w:ind w:left="1077"/>
    </w:pPr>
    <w:rPr>
      <w:sz w:val="20"/>
    </w:rPr>
  </w:style>
  <w:style w:type="paragraph" w:customStyle="1" w:styleId="Titre100">
    <w:name w:val="Titre 10"/>
    <w:basedOn w:val="Titre10"/>
    <w:next w:val="Corpsdetexte"/>
    <w:pPr>
      <w:spacing w:before="60" w:after="60"/>
    </w:pPr>
  </w:style>
  <w:style w:type="paragraph" w:styleId="TM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mmentaire1">
    <w:name w:val="Commentaire1"/>
    <w:basedOn w:val="LO-Normal"/>
    <w:pPr>
      <w:widowControl w:val="0"/>
    </w:pPr>
    <w:rPr>
      <w:rFonts w:ascii="Times New Roman" w:eastAsia="Andale Sans UI" w:hAnsi="Times New Roman" w:cs="Tahoma"/>
      <w:sz w:val="20"/>
      <w:szCs w:val="20"/>
      <w:lang w:eastAsia="ja-JP" w:bidi="fa-IR"/>
    </w:rPr>
  </w:style>
  <w:style w:type="paragraph" w:styleId="Textedebulles">
    <w:name w:val="Balloon Text"/>
    <w:basedOn w:val="LO-Normal"/>
    <w:rPr>
      <w:rFonts w:ascii="Segoe UI" w:hAnsi="Segoe UI"/>
      <w:sz w:val="18"/>
      <w:szCs w:val="16"/>
    </w:rPr>
  </w:style>
  <w:style w:type="paragraph" w:styleId="Objetducommentaire">
    <w:name w:val="annotation subject"/>
    <w:basedOn w:val="Commentaire1"/>
    <w:next w:val="Commentaire1"/>
    <w:pPr>
      <w:widowControl/>
    </w:pPr>
    <w:rPr>
      <w:rFonts w:ascii="Liberation Serif" w:eastAsia="SimSun" w:hAnsi="Liberation Serif" w:cs="Mangal"/>
      <w:b/>
      <w:bCs/>
      <w:szCs w:val="18"/>
      <w:lang w:eastAsia="zh-CN" w:bidi="hi-IN"/>
    </w:rPr>
  </w:style>
  <w:style w:type="paragraph" w:styleId="Paragraphedeliste">
    <w:name w:val="List Paragraph"/>
    <w:basedOn w:val="LO-Normal"/>
    <w:qFormat/>
    <w:pPr>
      <w:ind w:left="720"/>
    </w:pPr>
    <w:rPr>
      <w:szCs w:val="21"/>
    </w:rPr>
  </w:style>
  <w:style w:type="paragraph" w:customStyle="1" w:styleId="Contenudecadre">
    <w:name w:val="Contenu de cadre"/>
    <w:basedOn w:val="Normal"/>
  </w:style>
  <w:style w:type="paragraph" w:customStyle="1" w:styleId="TableauNormal1">
    <w:name w:val="Tableau Normal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extAlignment w:val="baseline"/>
    </w:pPr>
    <w:rPr>
      <w:rFonts w:eastAsia="Andale Sans UI" w:cs="Tahoma"/>
      <w:kern w:val="2"/>
      <w:sz w:val="24"/>
      <w:szCs w:val="24"/>
      <w:lang w:eastAsia="ja-JP" w:bidi="fa-IR"/>
    </w:rPr>
  </w:style>
  <w:style w:type="table" w:styleId="Grilledutableau">
    <w:name w:val="Table Grid"/>
    <w:basedOn w:val="TableauNormal"/>
    <w:uiPriority w:val="39"/>
    <w:rsid w:val="007C0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ALMASIOVA Zuzana</dc:creator>
  <cp:keywords/>
  <cp:lastModifiedBy>BOUGASSA Hakima</cp:lastModifiedBy>
  <cp:revision>22</cp:revision>
  <cp:lastPrinted>1899-12-31T23:00:00Z</cp:lastPrinted>
  <dcterms:created xsi:type="dcterms:W3CDTF">2024-03-25T10:19:00Z</dcterms:created>
  <dcterms:modified xsi:type="dcterms:W3CDTF">2025-05-27T07:45:00Z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2024-04-26T09:06:31Z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f73e983a-2dde-4e6a-9208-58ae2f5a253f</vt:lpwstr>
  </property>
  <property fmtid="{D5CDD505-2E9C-101B-9397-08002B2CF9AE}" pid="8" name="MSIP_Label_37f782e2-1048-4ae6-8561-ea50d7047004_ContentBits">
    <vt:lpwstr>2</vt:lpwstr>
  </property>
</Properties>
</file>