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464" w:rsidRPr="00AD5464" w:rsidRDefault="00AD5464" w:rsidP="00556382">
      <w:pPr>
        <w:jc w:val="center"/>
        <w:rPr>
          <w:b/>
          <w:u w:val="single"/>
        </w:rPr>
      </w:pPr>
      <w:bookmarkStart w:id="0" w:name="_Hlk103084657"/>
      <w:r w:rsidRPr="00AD5464">
        <w:rPr>
          <w:b/>
          <w:bCs/>
          <w:u w:val="single"/>
        </w:rPr>
        <w:t>Fiches de Données de Sécurité</w:t>
      </w:r>
    </w:p>
    <w:p w:rsidR="00001179" w:rsidRDefault="00001179" w:rsidP="00001179">
      <w:pPr>
        <w:jc w:val="both"/>
        <w:rPr>
          <w:b/>
          <w:u w:val="single"/>
        </w:rPr>
      </w:pPr>
    </w:p>
    <w:bookmarkEnd w:id="0"/>
    <w:p w:rsidR="00505069" w:rsidRPr="000B13A7" w:rsidRDefault="00505069" w:rsidP="00505069">
      <w:pPr>
        <w:jc w:val="both"/>
        <w:rPr>
          <w:u w:val="single"/>
        </w:rPr>
      </w:pPr>
      <w:r w:rsidRPr="000B13A7">
        <w:rPr>
          <w:u w:val="single"/>
        </w:rPr>
        <w:t>Rappel sur la règlementation :</w:t>
      </w:r>
    </w:p>
    <w:p w:rsidR="00505069" w:rsidRPr="000B13A7" w:rsidRDefault="00505069" w:rsidP="00505069">
      <w:pPr>
        <w:jc w:val="both"/>
        <w:rPr>
          <w:lang w:eastAsia="fr-FR"/>
        </w:rPr>
      </w:pPr>
      <w:bookmarkStart w:id="1" w:name="_Hlk106353470"/>
      <w:r w:rsidRPr="000B13A7">
        <w:t>D’après le règlement (CE) du REACH N°1907/2006</w:t>
      </w:r>
      <w:r w:rsidRPr="000B13A7">
        <w:rPr>
          <w:lang w:eastAsia="fr-FR"/>
        </w:rPr>
        <w:t xml:space="preserve">, fournir la FDS est </w:t>
      </w:r>
      <w:r w:rsidRPr="000B13A7">
        <w:rPr>
          <w:b/>
          <w:bCs/>
          <w:lang w:eastAsia="fr-FR"/>
        </w:rPr>
        <w:t>obligatoire</w:t>
      </w:r>
      <w:r w:rsidRPr="000B13A7">
        <w:rPr>
          <w:lang w:eastAsia="fr-FR"/>
        </w:rPr>
        <w:t xml:space="preserve"> (article 31.1) lorsqu’une substance ou un mélange répond aux critères de classification comme produit dangereux conformément au </w:t>
      </w:r>
      <w:hyperlink r:id="rId5" w:tgtFrame="_blank" w:history="1">
        <w:r w:rsidRPr="000B13A7">
          <w:rPr>
            <w:lang w:eastAsia="fr-FR"/>
          </w:rPr>
          <w:t>règlement (CE) N° 1272/2008</w:t>
        </w:r>
      </w:hyperlink>
      <w:r w:rsidRPr="000B13A7">
        <w:rPr>
          <w:lang w:eastAsia="fr-FR"/>
        </w:rPr>
        <w:t xml:space="preserve"> (CLP), ou une substance est persistante, bioaccumulable et toxique ou très persistante et très bioaccumulable, conformément aux critères énoncés à l'annexe XIII de REACH, ou une substance est incluse dans la liste des substances candidates à l'autorisation en vue d'une éventuelle autorisation conformément à l'article 59.1 de REACH, ou pour tout autre raison.</w:t>
      </w:r>
    </w:p>
    <w:p w:rsidR="00505069" w:rsidRPr="000B13A7" w:rsidRDefault="00505069" w:rsidP="00505069">
      <w:pPr>
        <w:jc w:val="both"/>
        <w:rPr>
          <w:lang w:eastAsia="fr-FR"/>
        </w:rPr>
      </w:pPr>
      <w:r w:rsidRPr="000B13A7">
        <w:rPr>
          <w:lang w:eastAsia="fr-FR"/>
        </w:rPr>
        <w:t xml:space="preserve">Une FDS </w:t>
      </w:r>
      <w:r w:rsidRPr="000B13A7">
        <w:rPr>
          <w:b/>
          <w:bCs/>
          <w:lang w:eastAsia="fr-FR"/>
        </w:rPr>
        <w:t>doit être fournie sur demande</w:t>
      </w:r>
      <w:r w:rsidRPr="000B13A7">
        <w:rPr>
          <w:lang w:eastAsia="fr-FR"/>
        </w:rPr>
        <w:t xml:space="preserve"> (article 31.3) pour certains mélanges non classés mais contenant au moins une substance présentant un danger pour la santé ou l'environnement, en concentration individuelle, ≥ 1 % en poids pour les mélanges autres que gazeux ; ≥ 0,2 % en volume pour les préparations gazeuses ; PBT, </w:t>
      </w:r>
      <w:proofErr w:type="spellStart"/>
      <w:r w:rsidRPr="000B13A7">
        <w:rPr>
          <w:lang w:eastAsia="fr-FR"/>
        </w:rPr>
        <w:t>vPvB</w:t>
      </w:r>
      <w:proofErr w:type="spellEnd"/>
      <w:r w:rsidRPr="000B13A7">
        <w:rPr>
          <w:lang w:eastAsia="fr-FR"/>
        </w:rPr>
        <w:t>, SVHC en concentration individuelle ≥ 0.1 % en poids pour les mélanges autres que gazeux et pour ceux ayant une valeur limite d’exposition sur le lieu du travail.</w:t>
      </w:r>
    </w:p>
    <w:bookmarkEnd w:id="1"/>
    <w:p w:rsidR="00505069" w:rsidRPr="000B13A7" w:rsidRDefault="00505069" w:rsidP="00505069">
      <w:pPr>
        <w:jc w:val="both"/>
        <w:rPr>
          <w:b/>
          <w:u w:val="single"/>
        </w:rPr>
      </w:pPr>
    </w:p>
    <w:p w:rsidR="00505069" w:rsidRPr="000B13A7" w:rsidRDefault="00505069" w:rsidP="000B13A7">
      <w:pPr>
        <w:pStyle w:val="Paragraphedeliste"/>
        <w:numPr>
          <w:ilvl w:val="0"/>
          <w:numId w:val="10"/>
        </w:numPr>
        <w:jc w:val="both"/>
        <w:rPr>
          <w:u w:val="single"/>
        </w:rPr>
      </w:pPr>
      <w:r w:rsidRPr="000B13A7">
        <w:rPr>
          <w:u w:val="single"/>
        </w:rPr>
        <w:t xml:space="preserve">Cas d’un produit non soumis à la règlementation REACH </w:t>
      </w:r>
    </w:p>
    <w:p w:rsidR="00505069" w:rsidRPr="000B13A7" w:rsidRDefault="00505069" w:rsidP="00505069">
      <w:r w:rsidRPr="000B13A7">
        <w:t>Lors d’une candidature à un</w:t>
      </w:r>
      <w:r w:rsidR="000B13A7">
        <w:t>e consultation</w:t>
      </w:r>
      <w:r w:rsidRPr="000B13A7">
        <w:t> :</w:t>
      </w:r>
    </w:p>
    <w:p w:rsidR="00505069" w:rsidRPr="000B13A7" w:rsidRDefault="00505069" w:rsidP="000B13A7">
      <w:pPr>
        <w:numPr>
          <w:ilvl w:val="0"/>
          <w:numId w:val="7"/>
        </w:numPr>
        <w:contextualSpacing/>
        <w:jc w:val="both"/>
      </w:pPr>
      <w:r w:rsidRPr="000B13A7">
        <w:t>Le fournisseur se doit de lister les produits pour lesquels la FDS n’est pas nécessaire.</w:t>
      </w:r>
    </w:p>
    <w:p w:rsidR="00505069" w:rsidRPr="000B13A7" w:rsidRDefault="00505069" w:rsidP="000B13A7">
      <w:pPr>
        <w:numPr>
          <w:ilvl w:val="0"/>
          <w:numId w:val="7"/>
        </w:numPr>
        <w:contextualSpacing/>
        <w:jc w:val="both"/>
      </w:pPr>
      <w:r w:rsidRPr="000B13A7">
        <w:t>Le fournisseur se doit de fournir l’attestation relative à l’absence de Fiche de Données de Sécurité pour les produits cité au point précédent, non soumis à la règlementation REACH (modèle joint au présent cahier des clauses particulières).</w:t>
      </w:r>
    </w:p>
    <w:p w:rsidR="00505069" w:rsidRPr="000B13A7" w:rsidRDefault="00505069" w:rsidP="000B13A7">
      <w:pPr>
        <w:jc w:val="both"/>
      </w:pPr>
      <w:bookmarkStart w:id="2" w:name="_Hlk106368201"/>
      <w:r w:rsidRPr="000B13A7">
        <w:t>Lorsque la candidature à cet</w:t>
      </w:r>
      <w:r w:rsidR="000B13A7">
        <w:t>te consultation</w:t>
      </w:r>
      <w:r w:rsidRPr="000B13A7">
        <w:t xml:space="preserve"> a été retenue :</w:t>
      </w:r>
    </w:p>
    <w:bookmarkEnd w:id="2"/>
    <w:p w:rsidR="00505069" w:rsidRPr="000B13A7" w:rsidRDefault="00505069" w:rsidP="000B13A7">
      <w:pPr>
        <w:numPr>
          <w:ilvl w:val="0"/>
          <w:numId w:val="6"/>
        </w:numPr>
        <w:contextualSpacing/>
        <w:jc w:val="both"/>
      </w:pPr>
      <w:r w:rsidRPr="000B13A7">
        <w:t>Le fournisseur n’a pas d’autres documents à envoyer.</w:t>
      </w:r>
    </w:p>
    <w:p w:rsidR="00505069" w:rsidRPr="000B13A7" w:rsidRDefault="00505069" w:rsidP="00505069">
      <w:pPr>
        <w:jc w:val="both"/>
      </w:pPr>
    </w:p>
    <w:p w:rsidR="00505069" w:rsidRPr="000B13A7" w:rsidRDefault="00505069" w:rsidP="000B13A7">
      <w:pPr>
        <w:pStyle w:val="Paragraphedeliste"/>
        <w:numPr>
          <w:ilvl w:val="0"/>
          <w:numId w:val="10"/>
        </w:numPr>
        <w:jc w:val="both"/>
        <w:rPr>
          <w:u w:val="single"/>
        </w:rPr>
      </w:pPr>
      <w:r w:rsidRPr="000B13A7">
        <w:rPr>
          <w:u w:val="single"/>
        </w:rPr>
        <w:t xml:space="preserve">Cas d’un produit soumis à la règlementation REACH </w:t>
      </w:r>
    </w:p>
    <w:p w:rsidR="000B13A7" w:rsidRPr="000B13A7" w:rsidRDefault="000B13A7" w:rsidP="000B13A7">
      <w:pPr>
        <w:ind w:left="360"/>
      </w:pPr>
      <w:r w:rsidRPr="000B13A7">
        <w:t>Lors d’une candidature à un</w:t>
      </w:r>
      <w:r>
        <w:t>e consultation</w:t>
      </w:r>
      <w:r w:rsidRPr="000B13A7">
        <w:t> :</w:t>
      </w:r>
    </w:p>
    <w:p w:rsidR="00505069" w:rsidRPr="000B13A7" w:rsidRDefault="00505069" w:rsidP="00505069">
      <w:pPr>
        <w:numPr>
          <w:ilvl w:val="0"/>
          <w:numId w:val="2"/>
        </w:numPr>
        <w:contextualSpacing/>
        <w:jc w:val="both"/>
      </w:pPr>
      <w:r w:rsidRPr="000B13A7">
        <w:t xml:space="preserve">Le fournisseur doit </w:t>
      </w:r>
      <w:r w:rsidR="000B13A7">
        <w:t>f</w:t>
      </w:r>
      <w:r w:rsidRPr="000B13A7">
        <w:t>ournir la Fiche de Données Sécurité à jour (datant de moins de 3ans) rédigé en langue française au CHU de Poitiers, conformément au titre IV du règlement (CE) n° 1907/2006 du Parlement et du Conseil du 18 décembre 2006 modifié au 20 mai 2007 et au 31 mai 2008 (exceptions listées à l'article R4411-8 du Code du Travail). L'ensemble des rubriques doit être complétées et conformes à l'annexe II du règlement (CE) n° 1907/2006 du Parlement et du Conseil du 18 décembre 2006 modifié au 20 mai 2007 et au 31 mai 2008.</w:t>
      </w:r>
    </w:p>
    <w:p w:rsidR="00505069" w:rsidRPr="000B13A7" w:rsidRDefault="00505069" w:rsidP="00505069">
      <w:pPr>
        <w:ind w:left="720"/>
        <w:contextualSpacing/>
        <w:jc w:val="both"/>
      </w:pPr>
    </w:p>
    <w:p w:rsidR="00505069" w:rsidRDefault="00505069" w:rsidP="00505069">
      <w:r w:rsidRPr="000B13A7">
        <w:t xml:space="preserve">Lorsque la candidature </w:t>
      </w:r>
      <w:r w:rsidR="000B13A7" w:rsidRPr="000B13A7">
        <w:t>à un</w:t>
      </w:r>
      <w:r w:rsidR="000B13A7">
        <w:t>e consultation</w:t>
      </w:r>
      <w:r w:rsidR="000B13A7" w:rsidRPr="000B13A7">
        <w:t> a</w:t>
      </w:r>
      <w:r w:rsidRPr="000B13A7">
        <w:t xml:space="preserve"> été retenue :</w:t>
      </w:r>
    </w:p>
    <w:p w:rsidR="000B13A7" w:rsidRDefault="000B13A7" w:rsidP="000B13A7">
      <w:pPr>
        <w:numPr>
          <w:ilvl w:val="0"/>
          <w:numId w:val="2"/>
        </w:numPr>
        <w:contextualSpacing/>
        <w:jc w:val="both"/>
      </w:pPr>
      <w:r w:rsidRPr="000B13A7">
        <w:t xml:space="preserve">Le fournisseur </w:t>
      </w:r>
      <w:r>
        <w:t xml:space="preserve">retenu doit </w:t>
      </w:r>
      <w:r w:rsidRPr="000B13A7">
        <w:t>remplir le fichier Excel</w:t>
      </w:r>
      <w:r>
        <w:t xml:space="preserve"> «</w:t>
      </w:r>
      <w:r w:rsidRPr="000B13A7">
        <w:t>Tableau concernant les Fiches de Données de Sécurité</w:t>
      </w:r>
      <w:r>
        <w:t> » </w:t>
      </w:r>
      <w:r w:rsidRPr="000B13A7">
        <w:t>fourni en pièce jointe suivant la méthode ci-dessous. (Colonne I à AG) pour l’ensemble des produits fournis dans la consultation et soumis à la règlementation REACH.</w:t>
      </w:r>
    </w:p>
    <w:p w:rsidR="000B13A7" w:rsidRDefault="000B13A7" w:rsidP="000B13A7">
      <w:pPr>
        <w:contextualSpacing/>
        <w:jc w:val="both"/>
        <w:rPr>
          <w:b/>
        </w:rPr>
      </w:pPr>
      <w:bookmarkStart w:id="3" w:name="_GoBack"/>
      <w:r w:rsidRPr="000B13A7">
        <w:lastRenderedPageBreak/>
        <w:t>Passé le délai de huit jours à compter de la date d’envoi de la demande par la personne publique (Règlement de la Consultation article 5.1),</w:t>
      </w:r>
      <w:r w:rsidRPr="000B13A7">
        <w:rPr>
          <w:b/>
        </w:rPr>
        <w:t xml:space="preserve"> </w:t>
      </w:r>
      <w:r w:rsidR="00194AE6">
        <w:rPr>
          <w:b/>
        </w:rPr>
        <w:t>une pénalité journalière sera appliquée.</w:t>
      </w:r>
      <w:bookmarkEnd w:id="3"/>
    </w:p>
    <w:p w:rsidR="00194AE6" w:rsidRDefault="00194AE6" w:rsidP="000B13A7">
      <w:pPr>
        <w:contextualSpacing/>
        <w:jc w:val="both"/>
        <w:rPr>
          <w:b/>
        </w:rPr>
      </w:pPr>
    </w:p>
    <w:p w:rsidR="00194AE6" w:rsidRPr="00194AE6" w:rsidRDefault="00194AE6" w:rsidP="000B13A7">
      <w:pPr>
        <w:contextualSpacing/>
        <w:jc w:val="both"/>
      </w:pPr>
      <w:r w:rsidRPr="00194AE6">
        <w:t>Il est également possible de transmettre ce document lors du dépôt de candidature</w:t>
      </w:r>
      <w:r>
        <w:t>.</w:t>
      </w:r>
    </w:p>
    <w:p w:rsidR="00194AE6" w:rsidRDefault="00194AE6" w:rsidP="000B13A7">
      <w:pPr>
        <w:contextualSpacing/>
        <w:jc w:val="both"/>
        <w:rPr>
          <w:b/>
        </w:rPr>
      </w:pPr>
    </w:p>
    <w:p w:rsidR="00505069" w:rsidRDefault="00505069" w:rsidP="002B2BD9">
      <w:pPr>
        <w:contextualSpacing/>
        <w:jc w:val="both"/>
      </w:pPr>
      <w:r w:rsidRPr="000B13A7">
        <w:t xml:space="preserve">Cette mesure ne concerne pas les produits hors </w:t>
      </w:r>
      <w:r w:rsidR="00194AE6">
        <w:t>bordereau de prix</w:t>
      </w:r>
      <w:r w:rsidRPr="000B13A7">
        <w:t xml:space="preserve">. </w:t>
      </w:r>
    </w:p>
    <w:p w:rsidR="002B2BD9" w:rsidRPr="000B13A7" w:rsidRDefault="002B2BD9" w:rsidP="002B2BD9">
      <w:pPr>
        <w:contextualSpacing/>
        <w:jc w:val="both"/>
      </w:pPr>
    </w:p>
    <w:p w:rsidR="00505069" w:rsidRPr="000B13A7" w:rsidRDefault="00505069" w:rsidP="00505069">
      <w:pPr>
        <w:numPr>
          <w:ilvl w:val="0"/>
          <w:numId w:val="2"/>
        </w:numPr>
        <w:contextualSpacing/>
        <w:jc w:val="both"/>
      </w:pPr>
      <w:r w:rsidRPr="000B13A7">
        <w:t xml:space="preserve">Pour les produits hors </w:t>
      </w:r>
      <w:r w:rsidR="00194AE6">
        <w:t>bordereau</w:t>
      </w:r>
      <w:r w:rsidRPr="000B13A7">
        <w:t xml:space="preserve">, le fournisseur aura la possibilité de remplir le fichier Excel fournie en pièce jointe, suivant la méthode ci-dessous. (Colonne I à AG) pour l’ensemble des produits fournis dans la consultation et soumis à la règlementation REACH. Néanmoins aucune pénalité ne sera appliquée concernant les produits hors </w:t>
      </w:r>
      <w:r w:rsidR="00194AE6">
        <w:t>bordereau</w:t>
      </w:r>
      <w:r w:rsidRPr="000B13A7">
        <w:t xml:space="preserve"> si le fichier Excel n’est pas envoyé.</w:t>
      </w:r>
    </w:p>
    <w:p w:rsidR="00505069" w:rsidRPr="000B13A7" w:rsidRDefault="00505069" w:rsidP="00505069">
      <w:pPr>
        <w:ind w:left="720"/>
        <w:contextualSpacing/>
        <w:jc w:val="both"/>
      </w:pPr>
    </w:p>
    <w:p w:rsidR="00505069" w:rsidRPr="000B13A7" w:rsidRDefault="00505069" w:rsidP="00505069">
      <w:pPr>
        <w:jc w:val="both"/>
        <w:rPr>
          <w:b/>
          <w:u w:val="single"/>
        </w:rPr>
      </w:pPr>
    </w:p>
    <w:p w:rsidR="00505069" w:rsidRPr="002B2BD9" w:rsidRDefault="00505069" w:rsidP="002B2BD9">
      <w:pPr>
        <w:pStyle w:val="Paragraphedeliste"/>
        <w:numPr>
          <w:ilvl w:val="0"/>
          <w:numId w:val="10"/>
        </w:numPr>
        <w:jc w:val="both"/>
        <w:rPr>
          <w:u w:val="single"/>
        </w:rPr>
      </w:pPr>
      <w:r w:rsidRPr="002B2BD9">
        <w:rPr>
          <w:u w:val="single"/>
        </w:rPr>
        <w:t>Méthode pour le remplissage de l’Excel :</w:t>
      </w:r>
    </w:p>
    <w:p w:rsidR="00505069" w:rsidRPr="000B13A7" w:rsidRDefault="00505069" w:rsidP="00505069">
      <w:pPr>
        <w:spacing w:after="0"/>
      </w:pPr>
      <w:r w:rsidRPr="000B13A7">
        <w:rPr>
          <w:u w:val="single"/>
        </w:rPr>
        <w:t>Nom du produit</w:t>
      </w:r>
      <w:r w:rsidRPr="000B13A7">
        <w:t xml:space="preserve"> (colonne H) : </w:t>
      </w:r>
    </w:p>
    <w:p w:rsidR="00505069" w:rsidRPr="000B13A7" w:rsidRDefault="00505069" w:rsidP="00505069">
      <w:pPr>
        <w:jc w:val="both"/>
        <w:rPr>
          <w:szCs w:val="24"/>
        </w:rPr>
      </w:pPr>
      <w:r w:rsidRPr="000B13A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4683171" wp14:editId="3C3D8E79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5367020" cy="248285"/>
                <wp:effectExtent l="0" t="0" r="24130" b="184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7020" cy="24828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rgbClr val="E7E6E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C71EABB" id="Rectangle 8" o:spid="_x0000_s1026" style="position:absolute;margin-left:0;margin-top:.2pt;width:422.6pt;height:19.55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" fillcolor="#e7e6e6" strokecolor="#e7e6e6" strokeweight="1pt">
                <w10:wrap anchorx="margin"/>
              </v:rect>
            </w:pict>
          </mc:Fallback>
        </mc:AlternateContent>
      </w:r>
      <w:r w:rsidRPr="000B13A7">
        <w:rPr>
          <w:szCs w:val="24"/>
        </w:rPr>
        <w:t>« Fabricant/année de la FDS/version de la fiche/code produit ou UFI du produit »</w:t>
      </w:r>
    </w:p>
    <w:p w:rsidR="00505069" w:rsidRPr="000B13A7" w:rsidRDefault="00505069" w:rsidP="00505069">
      <w:pPr>
        <w:jc w:val="both"/>
        <w:rPr>
          <w:szCs w:val="24"/>
        </w:rPr>
      </w:pPr>
      <w:r w:rsidRPr="000B13A7">
        <w:rPr>
          <w:szCs w:val="24"/>
        </w:rPr>
        <w:t>Si le produit n’a pas de code ou d’UFI alors la mention « 00 » sera ajouter à la place attribuée</w:t>
      </w:r>
    </w:p>
    <w:p w:rsidR="00505069" w:rsidRPr="000B13A7" w:rsidRDefault="00505069" w:rsidP="00505069">
      <w:pPr>
        <w:jc w:val="both"/>
        <w:rPr>
          <w:szCs w:val="24"/>
        </w:rPr>
      </w:pPr>
      <w:r w:rsidRPr="000B13A7">
        <w:rPr>
          <w:szCs w:val="24"/>
          <w:u w:val="single"/>
        </w:rPr>
        <w:t>Partie EPI/EPC : (Partie 8 de la FDS)</w:t>
      </w:r>
    </w:p>
    <w:p w:rsidR="00505069" w:rsidRPr="000B13A7" w:rsidRDefault="00505069" w:rsidP="00505069">
      <w:pPr>
        <w:numPr>
          <w:ilvl w:val="0"/>
          <w:numId w:val="1"/>
        </w:numPr>
        <w:contextualSpacing/>
        <w:jc w:val="both"/>
        <w:rPr>
          <w:szCs w:val="24"/>
        </w:rPr>
      </w:pPr>
      <w:r w:rsidRPr="000B13A7">
        <w:rPr>
          <w:szCs w:val="24"/>
        </w:rPr>
        <w:t>Nécessité de gants ? Si oui : Caractéristique et code gant à préciser, sinon mettre « x »</w:t>
      </w:r>
    </w:p>
    <w:p w:rsidR="00505069" w:rsidRPr="000B13A7" w:rsidRDefault="00505069" w:rsidP="00505069">
      <w:pPr>
        <w:numPr>
          <w:ilvl w:val="0"/>
          <w:numId w:val="1"/>
        </w:numPr>
        <w:contextualSpacing/>
        <w:jc w:val="both"/>
        <w:rPr>
          <w:szCs w:val="24"/>
        </w:rPr>
      </w:pPr>
      <w:r w:rsidRPr="000B13A7">
        <w:rPr>
          <w:szCs w:val="24"/>
        </w:rPr>
        <w:t>Nécessité de lunettes de protection ? Si oui : Caractéristique des lunettes à préciser, sinon mettre « x »</w:t>
      </w:r>
    </w:p>
    <w:p w:rsidR="00505069" w:rsidRPr="000B13A7" w:rsidRDefault="00505069" w:rsidP="00505069">
      <w:pPr>
        <w:numPr>
          <w:ilvl w:val="0"/>
          <w:numId w:val="1"/>
        </w:numPr>
        <w:contextualSpacing/>
        <w:jc w:val="both"/>
        <w:rPr>
          <w:szCs w:val="24"/>
        </w:rPr>
      </w:pPr>
      <w:r w:rsidRPr="000B13A7">
        <w:rPr>
          <w:szCs w:val="24"/>
        </w:rPr>
        <w:t>De même pour les autres équipements.</w:t>
      </w:r>
    </w:p>
    <w:p w:rsidR="00505069" w:rsidRPr="000B13A7" w:rsidRDefault="00505069" w:rsidP="00505069">
      <w:pPr>
        <w:jc w:val="both"/>
        <w:rPr>
          <w:szCs w:val="24"/>
        </w:rPr>
      </w:pPr>
    </w:p>
    <w:p w:rsidR="00505069" w:rsidRPr="000B13A7" w:rsidRDefault="00505069" w:rsidP="00505069">
      <w:pPr>
        <w:jc w:val="both"/>
        <w:rPr>
          <w:szCs w:val="24"/>
          <w:u w:val="single"/>
        </w:rPr>
      </w:pPr>
      <w:r w:rsidRPr="000B13A7">
        <w:rPr>
          <w:szCs w:val="24"/>
          <w:u w:val="single"/>
        </w:rPr>
        <w:t>Partie risque incendie : (Partie 7 de la FDS)</w:t>
      </w:r>
    </w:p>
    <w:p w:rsidR="00505069" w:rsidRPr="000B13A7" w:rsidRDefault="00505069" w:rsidP="00505069">
      <w:pPr>
        <w:numPr>
          <w:ilvl w:val="0"/>
          <w:numId w:val="1"/>
        </w:numPr>
        <w:contextualSpacing/>
        <w:jc w:val="both"/>
        <w:rPr>
          <w:szCs w:val="24"/>
        </w:rPr>
      </w:pPr>
      <w:r w:rsidRPr="000B13A7">
        <w:rPr>
          <w:szCs w:val="24"/>
        </w:rPr>
        <w:t xml:space="preserve">Condition de stockage </w:t>
      </w:r>
    </w:p>
    <w:p w:rsidR="00505069" w:rsidRPr="000B13A7" w:rsidRDefault="00505069" w:rsidP="00505069">
      <w:pPr>
        <w:numPr>
          <w:ilvl w:val="0"/>
          <w:numId w:val="1"/>
        </w:numPr>
        <w:contextualSpacing/>
        <w:jc w:val="both"/>
        <w:rPr>
          <w:szCs w:val="24"/>
        </w:rPr>
      </w:pPr>
      <w:r w:rsidRPr="000B13A7">
        <w:rPr>
          <w:szCs w:val="24"/>
        </w:rPr>
        <w:t xml:space="preserve">Type d’extinction </w:t>
      </w:r>
    </w:p>
    <w:p w:rsidR="00505069" w:rsidRPr="000B13A7" w:rsidRDefault="00505069" w:rsidP="00505069">
      <w:pPr>
        <w:jc w:val="both"/>
        <w:rPr>
          <w:szCs w:val="24"/>
        </w:rPr>
      </w:pPr>
    </w:p>
    <w:p w:rsidR="00505069" w:rsidRPr="000B13A7" w:rsidRDefault="00505069" w:rsidP="00505069">
      <w:pPr>
        <w:jc w:val="both"/>
        <w:rPr>
          <w:u w:val="single"/>
        </w:rPr>
      </w:pPr>
      <w:r w:rsidRPr="000B13A7">
        <w:rPr>
          <w:u w:val="single"/>
        </w:rPr>
        <w:t>Partie médecine du travail : (Partie 8 de la FDS)</w:t>
      </w:r>
    </w:p>
    <w:p w:rsidR="00505069" w:rsidRPr="000B13A7" w:rsidRDefault="00505069" w:rsidP="00505069">
      <w:pPr>
        <w:numPr>
          <w:ilvl w:val="0"/>
          <w:numId w:val="1"/>
        </w:numPr>
        <w:contextualSpacing/>
        <w:jc w:val="both"/>
      </w:pPr>
      <w:r w:rsidRPr="000B13A7">
        <w:t>Valeurs limites d’exposition professionnelle (VLEP)</w:t>
      </w:r>
    </w:p>
    <w:p w:rsidR="00505069" w:rsidRPr="000B13A7" w:rsidRDefault="00505069" w:rsidP="00505069">
      <w:pPr>
        <w:jc w:val="both"/>
      </w:pPr>
      <w:r w:rsidRPr="000B13A7">
        <w:t>Toutes les règles de remplissage sont aussi indiquées dans le fichier Excel, en commentaire, dans l’intitulé des cases à remplir.</w:t>
      </w:r>
    </w:p>
    <w:p w:rsidR="00505069" w:rsidRPr="000B13A7" w:rsidRDefault="00505069" w:rsidP="00505069">
      <w:pPr>
        <w:jc w:val="both"/>
        <w:rPr>
          <w:b/>
          <w:u w:val="single"/>
        </w:rPr>
      </w:pPr>
    </w:p>
    <w:p w:rsidR="00505069" w:rsidRPr="000B13A7" w:rsidRDefault="00505069" w:rsidP="00505069">
      <w:pPr>
        <w:jc w:val="both"/>
        <w:rPr>
          <w:u w:val="single"/>
        </w:rPr>
      </w:pPr>
      <w:r w:rsidRPr="000B13A7">
        <w:rPr>
          <w:u w:val="single"/>
        </w:rPr>
        <w:t>Règle de transmission</w:t>
      </w:r>
    </w:p>
    <w:p w:rsidR="00505069" w:rsidRPr="000B13A7" w:rsidRDefault="00505069" w:rsidP="00505069">
      <w:pPr>
        <w:jc w:val="both"/>
      </w:pPr>
      <w:r w:rsidRPr="000B13A7">
        <w:t>Les documents doivent être fournis au format PDF et dans un format Excel exploitable (Open Office Excel Microsoft…) et les colonnes du fichier Excel à remplir sont à compléter entièrement.</w:t>
      </w:r>
    </w:p>
    <w:p w:rsidR="00505069" w:rsidRPr="000B13A7" w:rsidRDefault="00505069" w:rsidP="00505069">
      <w:pPr>
        <w:jc w:val="both"/>
      </w:pPr>
      <w:r w:rsidRPr="000B13A7">
        <w:t xml:space="preserve">Le CHU de Poitiers attire l’attention des candidats sur le fait que l’absence constatée des </w:t>
      </w:r>
      <w:r w:rsidR="00194AE6">
        <w:t xml:space="preserve">FDS </w:t>
      </w:r>
      <w:r w:rsidRPr="000B13A7">
        <w:t xml:space="preserve">demandés lors de </w:t>
      </w:r>
      <w:r w:rsidR="002B2BD9">
        <w:t>la consultation</w:t>
      </w:r>
      <w:r w:rsidRPr="000B13A7">
        <w:t>, entrainera immédiatement le refus de la proposition.</w:t>
      </w:r>
    </w:p>
    <w:p w:rsidR="00505069" w:rsidRPr="000B13A7" w:rsidRDefault="00505069" w:rsidP="00505069">
      <w:pPr>
        <w:jc w:val="both"/>
      </w:pPr>
    </w:p>
    <w:p w:rsidR="00505069" w:rsidRPr="000B13A7" w:rsidRDefault="00505069" w:rsidP="00505069">
      <w:pPr>
        <w:spacing w:before="120" w:after="120"/>
        <w:jc w:val="both"/>
        <w:rPr>
          <w:b/>
          <w:u w:val="single"/>
        </w:rPr>
      </w:pPr>
    </w:p>
    <w:p w:rsidR="00443AB2" w:rsidRPr="00505069" w:rsidRDefault="00443AB2" w:rsidP="00773B2C">
      <w:pPr>
        <w:jc w:val="both"/>
        <w:rPr>
          <w:color w:val="538135" w:themeColor="accent6" w:themeShade="BF"/>
        </w:rPr>
      </w:pPr>
    </w:p>
    <w:sectPr w:rsidR="00443AB2" w:rsidRPr="00505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1DE6"/>
    <w:multiLevelType w:val="hybridMultilevel"/>
    <w:tmpl w:val="42D082F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216CE"/>
    <w:multiLevelType w:val="hybridMultilevel"/>
    <w:tmpl w:val="806C0E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260B7"/>
    <w:multiLevelType w:val="hybridMultilevel"/>
    <w:tmpl w:val="504276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45CE9"/>
    <w:multiLevelType w:val="hybridMultilevel"/>
    <w:tmpl w:val="621E97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67910"/>
    <w:multiLevelType w:val="hybridMultilevel"/>
    <w:tmpl w:val="72CC98B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3372C"/>
    <w:multiLevelType w:val="hybridMultilevel"/>
    <w:tmpl w:val="D2CC6918"/>
    <w:lvl w:ilvl="0" w:tplc="0B0AD01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074FFE"/>
    <w:multiLevelType w:val="hybridMultilevel"/>
    <w:tmpl w:val="E65013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41E91"/>
    <w:multiLevelType w:val="hybridMultilevel"/>
    <w:tmpl w:val="B85AF2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851811"/>
    <w:multiLevelType w:val="hybridMultilevel"/>
    <w:tmpl w:val="17D0DF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B5842"/>
    <w:multiLevelType w:val="hybridMultilevel"/>
    <w:tmpl w:val="501CBA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2C"/>
    <w:rsid w:val="00001179"/>
    <w:rsid w:val="0006446E"/>
    <w:rsid w:val="000B13A7"/>
    <w:rsid w:val="000F23D6"/>
    <w:rsid w:val="00194AE6"/>
    <w:rsid w:val="001A4BED"/>
    <w:rsid w:val="001B3E22"/>
    <w:rsid w:val="002B2BD9"/>
    <w:rsid w:val="003A0776"/>
    <w:rsid w:val="003A25F7"/>
    <w:rsid w:val="00443AB2"/>
    <w:rsid w:val="00505069"/>
    <w:rsid w:val="00512B95"/>
    <w:rsid w:val="00526BD6"/>
    <w:rsid w:val="00556382"/>
    <w:rsid w:val="00557643"/>
    <w:rsid w:val="005C2297"/>
    <w:rsid w:val="007205E4"/>
    <w:rsid w:val="00773B2C"/>
    <w:rsid w:val="00827BB8"/>
    <w:rsid w:val="00862FF2"/>
    <w:rsid w:val="0089790B"/>
    <w:rsid w:val="008D2060"/>
    <w:rsid w:val="00971D2F"/>
    <w:rsid w:val="00AC2FD6"/>
    <w:rsid w:val="00AD5464"/>
    <w:rsid w:val="00C434ED"/>
    <w:rsid w:val="00D86103"/>
    <w:rsid w:val="00E0114C"/>
    <w:rsid w:val="00F1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ED5A"/>
  <w15:chartTrackingRefBased/>
  <w15:docId w15:val="{D4F747FC-F8F6-44CE-B8A1-9400A89D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B2C"/>
    <w:pPr>
      <w:spacing w:after="80" w:line="240" w:lineRule="auto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3B2C"/>
    <w:pPr>
      <w:ind w:left="720"/>
      <w:contextualSpacing/>
    </w:pPr>
  </w:style>
  <w:style w:type="paragraph" w:styleId="Sansinterligne">
    <w:name w:val="No Spacing"/>
    <w:uiPriority w:val="1"/>
    <w:qFormat/>
    <w:rsid w:val="00773B2C"/>
    <w:pPr>
      <w:spacing w:after="0" w:line="240" w:lineRule="auto"/>
    </w:pPr>
    <w:rPr>
      <w:rFonts w:ascii="Arial" w:hAnsi="Arial"/>
      <w:sz w:val="24"/>
    </w:rPr>
  </w:style>
  <w:style w:type="paragraph" w:customStyle="1" w:styleId="RedTxt">
    <w:name w:val="RedTxt"/>
    <w:basedOn w:val="Normal"/>
    <w:link w:val="RedTxtCar"/>
    <w:rsid w:val="00827BB8"/>
    <w:pPr>
      <w:keepLines/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18"/>
      <w:szCs w:val="18"/>
      <w:lang w:val="x-none" w:eastAsia="x-none"/>
    </w:rPr>
  </w:style>
  <w:style w:type="character" w:customStyle="1" w:styleId="RedTxtCar">
    <w:name w:val="RedTxt Car"/>
    <w:link w:val="RedTxt"/>
    <w:rsid w:val="00827BB8"/>
    <w:rPr>
      <w:rFonts w:ascii="Arial" w:eastAsia="Times New Roman" w:hAnsi="Arial" w:cs="Times New Roman"/>
      <w:sz w:val="18"/>
      <w:szCs w:val="18"/>
      <w:lang w:val="x-none" w:eastAsia="x-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13A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0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ur-lex.europa.eu/legal-content/fr/TXT/PDF/?uri=CELEX:02008R1272-20180301&amp;from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728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Poitiers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HUHUNGEE Gabrielle</dc:creator>
  <cp:keywords/>
  <dc:description/>
  <cp:lastModifiedBy>CAREY-MAITRE Nicola</cp:lastModifiedBy>
  <cp:revision>7</cp:revision>
  <cp:lastPrinted>2022-06-17T12:19:00Z</cp:lastPrinted>
  <dcterms:created xsi:type="dcterms:W3CDTF">2022-06-17T08:13:00Z</dcterms:created>
  <dcterms:modified xsi:type="dcterms:W3CDTF">2022-07-01T15:09:00Z</dcterms:modified>
</cp:coreProperties>
</file>