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6A5AD7D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A0054A">
        <w:rPr>
          <w:rFonts w:ascii="Arial" w:hAnsi="Arial" w:cs="Arial"/>
        </w:rPr>
        <w:t>1</w:t>
      </w:r>
      <w:r w:rsidR="001417FC">
        <w:rPr>
          <w:rFonts w:ascii="Arial" w:hAnsi="Arial" w:cs="Arial"/>
        </w:rPr>
        <w:t>2</w:t>
      </w:r>
      <w:r w:rsidR="000026B9" w:rsidRPr="000026B9">
        <w:rPr>
          <w:rFonts w:ascii="Arial" w:hAnsi="Arial" w:cs="Arial"/>
        </w:rPr>
        <w:t xml:space="preserve"> </w:t>
      </w:r>
      <w:r w:rsidRPr="000026B9">
        <w:rPr>
          <w:rFonts w:ascii="Arial" w:hAnsi="Arial" w:cs="Arial"/>
        </w:rPr>
        <w:t>mois.</w:t>
      </w: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3988AEBB" w14:textId="34D90451" w:rsidR="00DD2FC5" w:rsidRDefault="005B035F" w:rsidP="00AD0429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</w:t>
      </w:r>
      <w:r w:rsidR="00AD0429">
        <w:rPr>
          <w:rFonts w:ascii="Arial" w:hAnsi="Arial" w:cs="Arial"/>
        </w:rPr>
        <w:t>,</w:t>
      </w:r>
      <w:r w:rsidRPr="00316143">
        <w:rPr>
          <w:rFonts w:ascii="Arial" w:hAnsi="Arial" w:cs="Arial"/>
        </w:rPr>
        <w:t xml:space="preserve"> reprendre obligatoirement le tableau récapitulatif ci-dessous.</w:t>
      </w:r>
    </w:p>
    <w:p w14:paraId="2BF4EAA5" w14:textId="77777777" w:rsidR="005B035F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224"/>
        <w:gridCol w:w="1355"/>
        <w:gridCol w:w="1362"/>
        <w:gridCol w:w="1066"/>
        <w:gridCol w:w="1055"/>
      </w:tblGrid>
      <w:tr w:rsidR="005B035F" w:rsidRPr="001532AE" w14:paraId="4659C428" w14:textId="77777777" w:rsidTr="00DF2F74">
        <w:trPr>
          <w:trHeight w:val="525"/>
        </w:trPr>
        <w:tc>
          <w:tcPr>
            <w:tcW w:w="2331" w:type="pct"/>
            <w:hideMark/>
          </w:tcPr>
          <w:p w14:paraId="6DDA7C27" w14:textId="77777777" w:rsidR="005B035F" w:rsidRPr="00B17850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48" w:type="pct"/>
            <w:hideMark/>
          </w:tcPr>
          <w:p w14:paraId="71D9D78E" w14:textId="77777777" w:rsidR="005B035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4D2F584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(détail)</w:t>
            </w:r>
          </w:p>
        </w:tc>
        <w:tc>
          <w:tcPr>
            <w:tcW w:w="751" w:type="pct"/>
            <w:hideMark/>
          </w:tcPr>
          <w:p w14:paraId="2C5B433D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588" w:type="pct"/>
            <w:hideMark/>
          </w:tcPr>
          <w:p w14:paraId="442F36A7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582" w:type="pct"/>
            <w:hideMark/>
          </w:tcPr>
          <w:p w14:paraId="6250870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1532AE" w14:paraId="3ECCC1F7" w14:textId="77777777" w:rsidTr="00DF2F74">
        <w:trPr>
          <w:trHeight w:val="330"/>
        </w:trPr>
        <w:tc>
          <w:tcPr>
            <w:tcW w:w="2331" w:type="pct"/>
            <w:vMerge w:val="restart"/>
            <w:hideMark/>
          </w:tcPr>
          <w:p w14:paraId="79B6FB40" w14:textId="226353F3" w:rsidR="005B035F" w:rsidRPr="00DF2F74" w:rsidRDefault="00DF2F74" w:rsidP="00DF2F74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ind w:left="3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Tâche 0. </w:t>
            </w:r>
            <w:r w:rsidRPr="00DF2F74">
              <w:rPr>
                <w:rFonts w:ascii="Arial" w:hAnsi="Arial" w:cs="Arial"/>
                <w:color w:val="000000"/>
                <w:sz w:val="20"/>
                <w:szCs w:val="20"/>
              </w:rPr>
              <w:t>Benchmark des meilleures pratiques ou techniques disponibles</w:t>
            </w:r>
          </w:p>
        </w:tc>
        <w:tc>
          <w:tcPr>
            <w:tcW w:w="748" w:type="pct"/>
            <w:hideMark/>
          </w:tcPr>
          <w:p w14:paraId="7BD1CD0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hideMark/>
          </w:tcPr>
          <w:p w14:paraId="3AB4168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pct"/>
            <w:hideMark/>
          </w:tcPr>
          <w:p w14:paraId="29D0484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pct"/>
            <w:hideMark/>
          </w:tcPr>
          <w:p w14:paraId="3671977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3BCD173B" w14:textId="77777777" w:rsidTr="00DF2F74">
        <w:trPr>
          <w:trHeight w:val="330"/>
        </w:trPr>
        <w:tc>
          <w:tcPr>
            <w:tcW w:w="2331" w:type="pct"/>
            <w:vMerge/>
          </w:tcPr>
          <w:p w14:paraId="503A05BC" w14:textId="77777777" w:rsidR="005B035F" w:rsidRPr="00367DCA" w:rsidRDefault="005B035F" w:rsidP="00DF2F74">
            <w:pPr>
              <w:spacing w:after="0"/>
              <w:ind w:left="3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5CFAD17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1D41B53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7CD1DEA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1A57F7E0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384554BA" w14:textId="77777777" w:rsidTr="00DF2F74">
        <w:trPr>
          <w:trHeight w:val="330"/>
        </w:trPr>
        <w:tc>
          <w:tcPr>
            <w:tcW w:w="2331" w:type="pct"/>
            <w:vMerge/>
            <w:hideMark/>
          </w:tcPr>
          <w:p w14:paraId="4600F784" w14:textId="77777777" w:rsidR="005B035F" w:rsidRPr="00367DCA" w:rsidRDefault="005B035F" w:rsidP="00DF2F74">
            <w:pPr>
              <w:spacing w:after="0"/>
              <w:ind w:left="3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hideMark/>
          </w:tcPr>
          <w:p w14:paraId="2E246EE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hideMark/>
          </w:tcPr>
          <w:p w14:paraId="46C04A1F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pct"/>
            <w:hideMark/>
          </w:tcPr>
          <w:p w14:paraId="59E860C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pct"/>
            <w:hideMark/>
          </w:tcPr>
          <w:p w14:paraId="42D674A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11B42E97" w14:textId="77777777" w:rsidTr="00DF2F74">
        <w:trPr>
          <w:trHeight w:val="330"/>
        </w:trPr>
        <w:tc>
          <w:tcPr>
            <w:tcW w:w="2331" w:type="pct"/>
            <w:vMerge w:val="restart"/>
            <w:hideMark/>
          </w:tcPr>
          <w:p w14:paraId="56D0304C" w14:textId="4B4AC691" w:rsidR="00DD2FC5" w:rsidRPr="00DF2F74" w:rsidRDefault="00DF2F74" w:rsidP="00DF2F74">
            <w:pPr>
              <w:pStyle w:val="Paragraphedeliste"/>
              <w:numPr>
                <w:ilvl w:val="0"/>
                <w:numId w:val="6"/>
              </w:numPr>
              <w:ind w:left="306"/>
              <w:rPr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Tâche 1. </w:t>
            </w:r>
            <w:r w:rsidRPr="00DF2F74">
              <w:rPr>
                <w:shd w:val="clear" w:color="auto" w:fill="FFFFFF"/>
              </w:rPr>
              <w:t xml:space="preserve">Catégorisation des MPR métalliques en France par spécification technique et commerciale </w:t>
            </w:r>
          </w:p>
        </w:tc>
        <w:tc>
          <w:tcPr>
            <w:tcW w:w="748" w:type="pct"/>
            <w:hideMark/>
          </w:tcPr>
          <w:p w14:paraId="0BD9AD7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hideMark/>
          </w:tcPr>
          <w:p w14:paraId="38DFE67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pct"/>
            <w:hideMark/>
          </w:tcPr>
          <w:p w14:paraId="0098A32C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pct"/>
            <w:hideMark/>
          </w:tcPr>
          <w:p w14:paraId="7AB876D8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4E088465" w14:textId="77777777" w:rsidTr="00DF2F74">
        <w:trPr>
          <w:trHeight w:val="330"/>
        </w:trPr>
        <w:tc>
          <w:tcPr>
            <w:tcW w:w="2331" w:type="pct"/>
            <w:vMerge/>
          </w:tcPr>
          <w:p w14:paraId="486C0815" w14:textId="77777777" w:rsidR="000F5CB5" w:rsidRPr="00367DCA" w:rsidRDefault="000F5CB5" w:rsidP="00DF2F74">
            <w:pPr>
              <w:spacing w:after="0"/>
              <w:ind w:left="3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737EF46D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687401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45797141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5EFA93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5CB5" w:rsidRPr="001532AE" w14:paraId="7EBA0EC8" w14:textId="77777777" w:rsidTr="00DF2F74">
        <w:trPr>
          <w:trHeight w:val="234"/>
        </w:trPr>
        <w:tc>
          <w:tcPr>
            <w:tcW w:w="2331" w:type="pct"/>
            <w:vMerge/>
            <w:hideMark/>
          </w:tcPr>
          <w:p w14:paraId="37CBE61E" w14:textId="77777777" w:rsidR="000F5CB5" w:rsidRPr="00367DCA" w:rsidRDefault="000F5CB5" w:rsidP="00DF2F74">
            <w:pPr>
              <w:spacing w:after="0"/>
              <w:ind w:left="30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  <w:hideMark/>
          </w:tcPr>
          <w:p w14:paraId="2447D50E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pct"/>
            <w:hideMark/>
          </w:tcPr>
          <w:p w14:paraId="72C550DA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pct"/>
            <w:hideMark/>
          </w:tcPr>
          <w:p w14:paraId="16BBA21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pct"/>
            <w:hideMark/>
          </w:tcPr>
          <w:p w14:paraId="3745758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2F74" w:rsidRPr="001532AE" w14:paraId="47BBAC12" w14:textId="77777777" w:rsidTr="00DF2F74">
        <w:trPr>
          <w:trHeight w:val="330"/>
        </w:trPr>
        <w:tc>
          <w:tcPr>
            <w:tcW w:w="2331" w:type="pct"/>
            <w:vMerge w:val="restart"/>
          </w:tcPr>
          <w:p w14:paraId="42D619F3" w14:textId="7EAE0316" w:rsidR="00DF2F74" w:rsidRPr="00653644" w:rsidRDefault="00DF2F74" w:rsidP="00DF2F74">
            <w:pPr>
              <w:pStyle w:val="Paragraphedeliste"/>
              <w:numPr>
                <w:ilvl w:val="0"/>
                <w:numId w:val="6"/>
              </w:numPr>
              <w:spacing w:after="0"/>
              <w:ind w:left="3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Tâche 2.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DF2F74">
              <w:rPr>
                <w:rFonts w:ascii="Arial" w:hAnsi="Arial" w:cs="Arial"/>
                <w:sz w:val="20"/>
                <w:szCs w:val="20"/>
              </w:rPr>
              <w:t>éthodologie de traçabilité pour suivre les MPR des métaux considérés, de leur production jusqu’à leur incorporation</w:t>
            </w:r>
          </w:p>
        </w:tc>
        <w:tc>
          <w:tcPr>
            <w:tcW w:w="748" w:type="pct"/>
          </w:tcPr>
          <w:p w14:paraId="2AAE4C88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7BBABB4B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45B02DCC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12D9C733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2F74" w:rsidRPr="001532AE" w14:paraId="04E168FE" w14:textId="77777777" w:rsidTr="00DF2F74">
        <w:trPr>
          <w:trHeight w:val="330"/>
        </w:trPr>
        <w:tc>
          <w:tcPr>
            <w:tcW w:w="2331" w:type="pct"/>
            <w:vMerge/>
          </w:tcPr>
          <w:p w14:paraId="6FC9DC59" w14:textId="77777777" w:rsidR="00DF2F74" w:rsidRDefault="00DF2F74" w:rsidP="00DF2F74">
            <w:pPr>
              <w:spacing w:after="0"/>
              <w:ind w:left="306"/>
            </w:pPr>
          </w:p>
        </w:tc>
        <w:tc>
          <w:tcPr>
            <w:tcW w:w="748" w:type="pct"/>
          </w:tcPr>
          <w:p w14:paraId="2E173F8A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4CED58B0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487043AF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15E1720F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2F74" w:rsidRPr="001532AE" w14:paraId="4A494C8E" w14:textId="77777777" w:rsidTr="00DF2F74">
        <w:trPr>
          <w:trHeight w:val="330"/>
        </w:trPr>
        <w:tc>
          <w:tcPr>
            <w:tcW w:w="2331" w:type="pct"/>
            <w:vMerge/>
          </w:tcPr>
          <w:p w14:paraId="4C838442" w14:textId="77777777" w:rsidR="00DF2F74" w:rsidRDefault="00DF2F74" w:rsidP="00DF2F74">
            <w:pPr>
              <w:spacing w:after="0"/>
              <w:ind w:left="306"/>
            </w:pPr>
          </w:p>
        </w:tc>
        <w:tc>
          <w:tcPr>
            <w:tcW w:w="748" w:type="pct"/>
          </w:tcPr>
          <w:p w14:paraId="6C75B077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79FFB2EC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618004F0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074A591C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2F74" w:rsidRPr="001532AE" w14:paraId="0DF1875D" w14:textId="77777777" w:rsidTr="00DF2F74">
        <w:trPr>
          <w:trHeight w:val="330"/>
        </w:trPr>
        <w:tc>
          <w:tcPr>
            <w:tcW w:w="2331" w:type="pct"/>
            <w:vMerge w:val="restart"/>
          </w:tcPr>
          <w:p w14:paraId="6E78DACD" w14:textId="2A18D903" w:rsidR="00DF2F74" w:rsidRDefault="00DF2F74" w:rsidP="00DF2F74">
            <w:pPr>
              <w:pStyle w:val="Paragraphedeliste"/>
              <w:numPr>
                <w:ilvl w:val="0"/>
                <w:numId w:val="6"/>
              </w:numPr>
              <w:spacing w:after="0"/>
              <w:ind w:left="306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Tâche 3. </w:t>
            </w:r>
            <w:r>
              <w:t>M</w:t>
            </w:r>
            <w:r w:rsidRPr="00DF2F74">
              <w:t>éthodologie permettant de calculer et déclarer la présence du contenu recyclée dans les produits</w:t>
            </w:r>
          </w:p>
        </w:tc>
        <w:tc>
          <w:tcPr>
            <w:tcW w:w="748" w:type="pct"/>
          </w:tcPr>
          <w:p w14:paraId="2D6EDE8A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115C158C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14B3654B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4141A206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2F74" w:rsidRPr="001532AE" w14:paraId="3830FFED" w14:textId="77777777" w:rsidTr="00DF2F74">
        <w:trPr>
          <w:trHeight w:val="330"/>
        </w:trPr>
        <w:tc>
          <w:tcPr>
            <w:tcW w:w="2331" w:type="pct"/>
            <w:vMerge/>
          </w:tcPr>
          <w:p w14:paraId="05C4FF64" w14:textId="77777777" w:rsidR="00DF2F74" w:rsidRPr="00367DCA" w:rsidRDefault="00DF2F74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7186526D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49151B27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49BF953D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55CD187B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F2F74" w:rsidRPr="001532AE" w14:paraId="2E00F419" w14:textId="77777777" w:rsidTr="00DF2F74">
        <w:trPr>
          <w:trHeight w:val="330"/>
        </w:trPr>
        <w:tc>
          <w:tcPr>
            <w:tcW w:w="2331" w:type="pct"/>
            <w:vMerge/>
          </w:tcPr>
          <w:p w14:paraId="4AD6E763" w14:textId="77777777" w:rsidR="00DF2F74" w:rsidRPr="00367DCA" w:rsidRDefault="00DF2F74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317794F6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" w:type="pct"/>
          </w:tcPr>
          <w:p w14:paraId="539A6C98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" w:type="pct"/>
          </w:tcPr>
          <w:p w14:paraId="6644EB24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2" w:type="pct"/>
          </w:tcPr>
          <w:p w14:paraId="7CFDC1CE" w14:textId="77777777" w:rsidR="00DF2F74" w:rsidRPr="001532AE" w:rsidRDefault="00DF2F74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5142AF50" w14:textId="77777777" w:rsidTr="00DF2F74">
        <w:trPr>
          <w:trHeight w:val="567"/>
        </w:trPr>
        <w:tc>
          <w:tcPr>
            <w:tcW w:w="5000" w:type="pct"/>
            <w:gridSpan w:val="5"/>
            <w:hideMark/>
          </w:tcPr>
          <w:p w14:paraId="5C1CA06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1532AE" w14:paraId="33D3C77A" w14:textId="77777777" w:rsidTr="00DF2F74">
        <w:trPr>
          <w:trHeight w:val="567"/>
        </w:trPr>
        <w:tc>
          <w:tcPr>
            <w:tcW w:w="4418" w:type="pct"/>
            <w:gridSpan w:val="4"/>
            <w:hideMark/>
          </w:tcPr>
          <w:p w14:paraId="064C81B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</w:tc>
        <w:tc>
          <w:tcPr>
            <w:tcW w:w="582" w:type="pct"/>
            <w:hideMark/>
          </w:tcPr>
          <w:p w14:paraId="4019AB7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5C1EC0EC" w14:textId="77777777" w:rsidTr="00DF2F74">
        <w:trPr>
          <w:trHeight w:val="567"/>
        </w:trPr>
        <w:tc>
          <w:tcPr>
            <w:tcW w:w="4418" w:type="pct"/>
            <w:gridSpan w:val="4"/>
            <w:hideMark/>
          </w:tcPr>
          <w:p w14:paraId="5E986597" w14:textId="77777777" w:rsidR="00653644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177E3CA2" w14:textId="77777777" w:rsidR="005B035F" w:rsidRPr="00653644" w:rsidRDefault="005B035F" w:rsidP="0065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" w:type="pct"/>
            <w:hideMark/>
          </w:tcPr>
          <w:p w14:paraId="60E8C01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148431A7" w14:textId="77777777" w:rsidTr="00DF2F74">
        <w:trPr>
          <w:trHeight w:val="567"/>
        </w:trPr>
        <w:tc>
          <w:tcPr>
            <w:tcW w:w="4418" w:type="pct"/>
            <w:gridSpan w:val="4"/>
            <w:hideMark/>
          </w:tcPr>
          <w:p w14:paraId="22DBF3E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582" w:type="pct"/>
            <w:hideMark/>
          </w:tcPr>
          <w:p w14:paraId="6B28BA6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6A274DAD" w14:textId="77777777" w:rsidTr="00DF2F74">
        <w:trPr>
          <w:trHeight w:val="567"/>
        </w:trPr>
        <w:tc>
          <w:tcPr>
            <w:tcW w:w="4418" w:type="pct"/>
            <w:gridSpan w:val="4"/>
            <w:hideMark/>
          </w:tcPr>
          <w:p w14:paraId="2E718F8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</w:tc>
        <w:tc>
          <w:tcPr>
            <w:tcW w:w="582" w:type="pct"/>
            <w:hideMark/>
          </w:tcPr>
          <w:p w14:paraId="559C59A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289883C8" w14:textId="77777777" w:rsidTr="00DF2F74">
        <w:trPr>
          <w:trHeight w:val="567"/>
        </w:trPr>
        <w:tc>
          <w:tcPr>
            <w:tcW w:w="4418" w:type="pct"/>
            <w:gridSpan w:val="4"/>
            <w:hideMark/>
          </w:tcPr>
          <w:p w14:paraId="00DBDE0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582" w:type="pct"/>
            <w:hideMark/>
          </w:tcPr>
          <w:p w14:paraId="0DE1C03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E0467A8" w14:textId="77777777" w:rsidR="001417FC" w:rsidRDefault="001417FC" w:rsidP="005B035F"/>
    <w:sectPr w:rsidR="001417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AD2F0" w14:textId="77777777" w:rsidR="00220EAA" w:rsidRDefault="00220EAA" w:rsidP="004C38E9">
      <w:pPr>
        <w:spacing w:after="0" w:line="240" w:lineRule="auto"/>
      </w:pPr>
      <w:r>
        <w:separator/>
      </w:r>
    </w:p>
  </w:endnote>
  <w:endnote w:type="continuationSeparator" w:id="0">
    <w:p w14:paraId="0A30BBA5" w14:textId="77777777" w:rsidR="00220EAA" w:rsidRDefault="00220EAA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0EF1EBD2" w:rsidR="00773554" w:rsidRPr="00773554" w:rsidRDefault="00DF2F74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r w:rsidRPr="00DF2F7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2025MA000155</w:t>
    </w: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</w:t>
    </w:r>
    <w:r w:rsidR="00773554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– Cadre</w:t>
    </w:r>
    <w:r w:rsid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de décomposition des prix</w:t>
    </w:r>
    <w:r w:rsidR="00773554"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</w: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</w:r>
    <w:r w:rsidR="00773554"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Page </w:t>
    </w:r>
    <w:r w:rsid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  <w:p w14:paraId="74C28B2C" w14:textId="77777777" w:rsidR="004C38E9" w:rsidRDefault="004C38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57C15" w14:textId="77777777" w:rsidR="00220EAA" w:rsidRDefault="00220EAA" w:rsidP="004C38E9">
      <w:pPr>
        <w:spacing w:after="0" w:line="240" w:lineRule="auto"/>
      </w:pPr>
      <w:r>
        <w:separator/>
      </w:r>
    </w:p>
  </w:footnote>
  <w:footnote w:type="continuationSeparator" w:id="0">
    <w:p w14:paraId="14692358" w14:textId="77777777" w:rsidR="00220EAA" w:rsidRDefault="00220EAA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AD"/>
    <w:multiLevelType w:val="hybridMultilevel"/>
    <w:tmpl w:val="7A429C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B09B5"/>
    <w:multiLevelType w:val="hybridMultilevel"/>
    <w:tmpl w:val="EC46F3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3"/>
  </w:num>
  <w:num w:numId="2" w16cid:durableId="1879463172">
    <w:abstractNumId w:val="5"/>
  </w:num>
  <w:num w:numId="3" w16cid:durableId="1606301200">
    <w:abstractNumId w:val="4"/>
  </w:num>
  <w:num w:numId="4" w16cid:durableId="1383824477">
    <w:abstractNumId w:val="0"/>
  </w:num>
  <w:num w:numId="5" w16cid:durableId="52823996">
    <w:abstractNumId w:val="1"/>
  </w:num>
  <w:num w:numId="6" w16cid:durableId="1915822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27250"/>
    <w:rsid w:val="000C733D"/>
    <w:rsid w:val="000F5CB5"/>
    <w:rsid w:val="001417FC"/>
    <w:rsid w:val="00220EAA"/>
    <w:rsid w:val="0025306B"/>
    <w:rsid w:val="002F0ACC"/>
    <w:rsid w:val="003623A8"/>
    <w:rsid w:val="003D4C5B"/>
    <w:rsid w:val="004264FA"/>
    <w:rsid w:val="00460533"/>
    <w:rsid w:val="004C38E9"/>
    <w:rsid w:val="005B035F"/>
    <w:rsid w:val="006179F9"/>
    <w:rsid w:val="00630900"/>
    <w:rsid w:val="00653644"/>
    <w:rsid w:val="006A67E3"/>
    <w:rsid w:val="006C5CE1"/>
    <w:rsid w:val="00773554"/>
    <w:rsid w:val="00952B00"/>
    <w:rsid w:val="00A0054A"/>
    <w:rsid w:val="00A33F69"/>
    <w:rsid w:val="00A75FB6"/>
    <w:rsid w:val="00AD0429"/>
    <w:rsid w:val="00B157C5"/>
    <w:rsid w:val="00BC5E49"/>
    <w:rsid w:val="00C23DC7"/>
    <w:rsid w:val="00C27F8E"/>
    <w:rsid w:val="00CD4FA5"/>
    <w:rsid w:val="00D14971"/>
    <w:rsid w:val="00D2334E"/>
    <w:rsid w:val="00D6405E"/>
    <w:rsid w:val="00DB5D40"/>
    <w:rsid w:val="00DD2FC5"/>
    <w:rsid w:val="00DF2F74"/>
    <w:rsid w:val="00E263E8"/>
    <w:rsid w:val="00E57228"/>
    <w:rsid w:val="00EF116D"/>
    <w:rsid w:val="00F23F8D"/>
    <w:rsid w:val="00FB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  <w:style w:type="table" w:styleId="Grilledutableau">
    <w:name w:val="Table Grid"/>
    <w:basedOn w:val="TableauNormal"/>
    <w:uiPriority w:val="39"/>
    <w:rsid w:val="00DF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27F8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27F8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7F8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7F8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7F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BEAUCHENE Joëlle</cp:lastModifiedBy>
  <cp:revision>2</cp:revision>
  <dcterms:created xsi:type="dcterms:W3CDTF">2025-05-28T13:36:00Z</dcterms:created>
  <dcterms:modified xsi:type="dcterms:W3CDTF">2025-05-28T13:36:00Z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2025-02-06T13:47:38Z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75752a4c-1c94-441f-be78-a0cee764ebd8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