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Titre"/>
      </w:pPr>
      <w:r>
        <w:t>Refonte des flux liés aux placements et du calcul des encours dans NSYN</w:t>
      </w:r>
    </w:p>
    <w:p>
      <w:pPr>
        <w:pStyle w:val="Titre1"/>
      </w:pPr>
      <w:r>
        <w:t>Situation actuelle</w:t>
      </w:r>
    </w:p>
    <w:p>
      <w:r>
        <w:t>Le solde spontané est calculé somme étant égal au « solde BDF + placements »</w:t>
      </w:r>
    </w:p>
    <w:p>
      <w:r>
        <w:rPr>
          <w:noProof/>
        </w:rPr>
        <w:drawing>
          <wp:inline distT="0" distB="0" distL="0" distR="0">
            <wp:extent cx="5760720" cy="1709420"/>
            <wp:effectExtent l="0" t="0" r="0" b="508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60720" cy="1709420"/>
                    </a:xfrm>
                    <a:prstGeom prst="rect">
                      <a:avLst/>
                    </a:prstGeom>
                  </pic:spPr>
                </pic:pic>
              </a:graphicData>
            </a:graphic>
          </wp:inline>
        </w:drawing>
      </w:r>
    </w:p>
    <w:p>
      <w:r>
        <w:t>Or, lors d’opérations d’emprunts, les montants empruntés sont considérés, à tort, comme des placements, augmentant ainsi indument le spontané.</w:t>
      </w:r>
    </w:p>
    <w:p>
      <w:r>
        <w:t>Ainsi, le 7 septembre 2023, un emprunt de 2 500 est venu augmenter le solde du code flux 161-2 et donc le solde BDF, mais dans le même temps, il augmente l’encours et, par conséquent, le spontané une deuxième fois.</w:t>
      </w:r>
    </w:p>
    <w:p>
      <w:r>
        <w:rPr>
          <w:noProof/>
        </w:rPr>
        <w:drawing>
          <wp:inline distT="0" distB="0" distL="0" distR="0">
            <wp:extent cx="5760720" cy="1367790"/>
            <wp:effectExtent l="0" t="0" r="0" b="381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60720" cy="1367790"/>
                    </a:xfrm>
                    <a:prstGeom prst="rect">
                      <a:avLst/>
                    </a:prstGeom>
                  </pic:spPr>
                </pic:pic>
              </a:graphicData>
            </a:graphic>
          </wp:inline>
        </w:drawing>
      </w:r>
    </w:p>
    <w:p>
      <w:r>
        <w:rPr>
          <w:noProof/>
        </w:rPr>
        <w:drawing>
          <wp:inline distT="0" distB="0" distL="0" distR="0">
            <wp:extent cx="5760720" cy="1249045"/>
            <wp:effectExtent l="0" t="0" r="0" b="825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1249045"/>
                    </a:xfrm>
                    <a:prstGeom prst="rect">
                      <a:avLst/>
                    </a:prstGeom>
                  </pic:spPr>
                </pic:pic>
              </a:graphicData>
            </a:graphic>
          </wp:inline>
        </w:drawing>
      </w:r>
    </w:p>
    <w:p>
      <w:r>
        <w:t xml:space="preserve">Par ailleurs, cette valeur de l’encours a aussi un impact sur la réalisation : </w:t>
      </w:r>
    </w:p>
    <w:p>
      <w:r>
        <w:rPr>
          <w:noProof/>
        </w:rPr>
        <w:drawing>
          <wp:inline distT="0" distB="0" distL="0" distR="0">
            <wp:extent cx="5760720" cy="1006475"/>
            <wp:effectExtent l="0" t="0" r="0" b="317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60720" cy="1006475"/>
                    </a:xfrm>
                    <a:prstGeom prst="rect">
                      <a:avLst/>
                    </a:prstGeom>
                  </pic:spPr>
                </pic:pic>
              </a:graphicData>
            </a:graphic>
          </wp:inline>
        </w:drawing>
      </w:r>
    </w:p>
    <w:p>
      <w:r>
        <w:t xml:space="preserve">Les encours proviennent de trois sources : </w:t>
      </w:r>
    </w:p>
    <w:p>
      <w:pPr>
        <w:pStyle w:val="Paragraphedeliste"/>
        <w:numPr>
          <w:ilvl w:val="0"/>
          <w:numId w:val="2"/>
        </w:numPr>
      </w:pPr>
      <w:r>
        <w:lastRenderedPageBreak/>
        <w:t>Intermédiaire 159-Dette.xlsx pour les encours OAT et BTF. Ce sont des encours à long terme, ils n’entrent pas dans le calcul du spontané. La situation est à conserver telle quelle.</w:t>
      </w:r>
    </w:p>
    <w:p>
      <w:pPr>
        <w:pStyle w:val="Paragraphedeliste"/>
        <w:numPr>
          <w:ilvl w:val="0"/>
          <w:numId w:val="2"/>
        </w:numPr>
      </w:pPr>
      <w:r>
        <w:t>Placements.xlsm pour les données relatives aux placements et aux emprunts. C’est de cette source que vient le problème.</w:t>
      </w:r>
    </w:p>
    <w:p>
      <w:pPr>
        <w:pStyle w:val="Paragraphedeliste"/>
        <w:numPr>
          <w:ilvl w:val="0"/>
          <w:numId w:val="2"/>
        </w:numPr>
      </w:pPr>
      <w:r>
        <w:t>Intermédiaire-159-BT.xlsx pour les données des billets de trésorerie. Cette source-ci pose également un problème en raison du caractère particulier des BT CADES (neutres pour le CUT)</w:t>
      </w:r>
    </w:p>
    <w:p>
      <w:r>
        <w:t xml:space="preserve">Du fichier Placements.xlsm, deux onglets sont récupérés </w:t>
      </w:r>
      <w:proofErr w:type="spellStart"/>
      <w:r>
        <w:t>newplac</w:t>
      </w:r>
      <w:proofErr w:type="spellEnd"/>
      <w:r>
        <w:t xml:space="preserve"> pour les placements et emprunts pour les emprunts : </w:t>
      </w:r>
    </w:p>
    <w:p>
      <w:r>
        <w:rPr>
          <w:noProof/>
        </w:rPr>
        <w:drawing>
          <wp:inline distT="0" distB="0" distL="0" distR="0">
            <wp:extent cx="5760720" cy="385508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60720" cy="3855085"/>
                    </a:xfrm>
                    <a:prstGeom prst="rect">
                      <a:avLst/>
                    </a:prstGeom>
                  </pic:spPr>
                </pic:pic>
              </a:graphicData>
            </a:graphic>
          </wp:inline>
        </w:drawing>
      </w:r>
    </w:p>
    <w:p>
      <w:r>
        <w:t>Les placements et les emprunts sont actuellement importés selon les 3 catégories :</w:t>
      </w:r>
    </w:p>
    <w:p>
      <w:pPr>
        <w:pStyle w:val="Paragraphedeliste"/>
        <w:numPr>
          <w:ilvl w:val="0"/>
          <w:numId w:val="3"/>
        </w:numPr>
      </w:pPr>
      <w:r>
        <w:t xml:space="preserve">Pensions (159 - 2) : colonnes B, C et D des onglets « </w:t>
      </w:r>
      <w:proofErr w:type="spellStart"/>
      <w:r>
        <w:t>newplac</w:t>
      </w:r>
      <w:proofErr w:type="spellEnd"/>
      <w:r>
        <w:t> » et « emprunts »</w:t>
      </w:r>
    </w:p>
    <w:p>
      <w:pPr>
        <w:pStyle w:val="Paragraphedeliste"/>
        <w:numPr>
          <w:ilvl w:val="0"/>
          <w:numId w:val="3"/>
        </w:numPr>
      </w:pPr>
      <w:r>
        <w:t xml:space="preserve">Prêts et emprunts court terme (161-1) : colonnes E, F et G des onglets « </w:t>
      </w:r>
      <w:proofErr w:type="spellStart"/>
      <w:r>
        <w:t>newplac</w:t>
      </w:r>
      <w:proofErr w:type="spellEnd"/>
      <w:r>
        <w:t> » et « Emprunts »</w:t>
      </w:r>
    </w:p>
    <w:p>
      <w:pPr>
        <w:pStyle w:val="Paragraphedeliste"/>
        <w:numPr>
          <w:ilvl w:val="0"/>
          <w:numId w:val="3"/>
        </w:numPr>
      </w:pPr>
      <w:r>
        <w:t xml:space="preserve">Prêts &amp; emprunts Etats étrangers (161-2) : colonnes H, I et J des onglets « </w:t>
      </w:r>
      <w:proofErr w:type="spellStart"/>
      <w:r>
        <w:t>newplac</w:t>
      </w:r>
      <w:proofErr w:type="spellEnd"/>
      <w:r>
        <w:t> » et « Emprunts »</w:t>
      </w:r>
    </w:p>
    <w:p>
      <w:r>
        <w:t xml:space="preserve">Et les encours sont calculés de ces 3 codes flux sont calculés ainsi : </w:t>
      </w:r>
    </w:p>
    <w:p>
      <w:r>
        <w:t xml:space="preserve">Encours (159-2) </w:t>
      </w:r>
      <w:r>
        <w:rPr>
          <w:vertAlign w:val="subscript"/>
        </w:rPr>
        <w:t>j</w:t>
      </w:r>
      <w:r>
        <w:t xml:space="preserve"> = encours (159-2) </w:t>
      </w:r>
      <w:r>
        <w:rPr>
          <w:vertAlign w:val="subscript"/>
        </w:rPr>
        <w:t>j-1</w:t>
      </w:r>
      <w:r>
        <w:t xml:space="preserve"> - solde (Prise en pension) </w:t>
      </w:r>
      <w:r>
        <w:rPr>
          <w:vertAlign w:val="subscript"/>
        </w:rPr>
        <w:t xml:space="preserve">j </w:t>
      </w:r>
      <w:r>
        <w:t xml:space="preserve">+ solde (Mise en pension) </w:t>
      </w:r>
      <w:r>
        <w:rPr>
          <w:vertAlign w:val="subscript"/>
        </w:rPr>
        <w:t>j</w:t>
      </w:r>
    </w:p>
    <w:p>
      <w:pPr>
        <w:rPr>
          <w:vertAlign w:val="subscript"/>
        </w:rPr>
      </w:pPr>
      <w:r>
        <w:t xml:space="preserve">Encours (161-1) </w:t>
      </w:r>
      <w:r>
        <w:rPr>
          <w:vertAlign w:val="subscript"/>
        </w:rPr>
        <w:t>j</w:t>
      </w:r>
      <w:r>
        <w:t xml:space="preserve"> = encours (161-1) </w:t>
      </w:r>
      <w:r>
        <w:rPr>
          <w:vertAlign w:val="subscript"/>
        </w:rPr>
        <w:t>j-1</w:t>
      </w:r>
      <w:r>
        <w:t xml:space="preserve"> - solde (Prêts en blanc) </w:t>
      </w:r>
      <w:r>
        <w:rPr>
          <w:vertAlign w:val="subscript"/>
        </w:rPr>
        <w:t>j</w:t>
      </w:r>
      <w:r>
        <w:t xml:space="preserve"> + solde (Emprunt en blancs) </w:t>
      </w:r>
      <w:r>
        <w:rPr>
          <w:vertAlign w:val="subscript"/>
        </w:rPr>
        <w:t>j</w:t>
      </w:r>
    </w:p>
    <w:p>
      <w:r>
        <w:t xml:space="preserve">Encours (161-2) </w:t>
      </w:r>
      <w:r>
        <w:rPr>
          <w:vertAlign w:val="subscript"/>
        </w:rPr>
        <w:t>j</w:t>
      </w:r>
      <w:r>
        <w:t xml:space="preserve"> = encours (161-2) </w:t>
      </w:r>
      <w:r>
        <w:rPr>
          <w:vertAlign w:val="subscript"/>
        </w:rPr>
        <w:t>j-1</w:t>
      </w:r>
      <w:r>
        <w:t xml:space="preserve"> - solde (Prêts euroland)</w:t>
      </w:r>
      <w:r>
        <w:rPr>
          <w:vertAlign w:val="subscript"/>
        </w:rPr>
        <w:t xml:space="preserve"> j</w:t>
      </w:r>
      <w:r>
        <w:t xml:space="preserve"> + solde (Emprunt euroland)</w:t>
      </w:r>
      <w:r>
        <w:rPr>
          <w:vertAlign w:val="subscript"/>
        </w:rPr>
        <w:t xml:space="preserve"> j</w:t>
      </w:r>
    </w:p>
    <w:p>
      <w:r>
        <w:t xml:space="preserve">Ajouter le solde de mise en pension ou d’emprunts à l’encours vient fausser la vision du solde spontané. </w:t>
      </w:r>
    </w:p>
    <w:p>
      <w:r>
        <w:lastRenderedPageBreak/>
        <w:t xml:space="preserve">Par ailleurs, les BT CADES qui sont neutres pour le CUT sont actuellement traités manuellement sur le code flux 163 évitant ainsi d’augmenter indument le solde. </w:t>
      </w:r>
    </w:p>
    <w:p>
      <w:r>
        <w:t>Enfin joindre dans un même code flux des opérations opposées comme un prêt et un emprunt nuit au suivi de ces opérations.</w:t>
      </w:r>
    </w:p>
    <w:p>
      <w:pPr>
        <w:pStyle w:val="Titre1"/>
      </w:pPr>
      <w:r>
        <w:t>Évolutions demandées</w:t>
      </w:r>
    </w:p>
    <w:p>
      <w:r>
        <w:t>Deux évolutions sont demandées, une première pour traiter différemment les codes flux relevant des emprunts de ceux relevant des prêts, une seconde sur le calcul de l’encours qui ne tiendra plus compte des opérations assimilables à de l’emprunt.</w:t>
      </w:r>
    </w:p>
    <w:p>
      <w:pPr>
        <w:pStyle w:val="Titre1"/>
        <w:numPr>
          <w:ilvl w:val="1"/>
          <w:numId w:val="1"/>
        </w:numPr>
      </w:pPr>
      <w:r>
        <w:t>Nouvelle organisation des codes flux</w:t>
      </w:r>
    </w:p>
    <w:p>
      <w:r>
        <w:t>Le code flux 159-2 « Pensions » sera renommé « Prises en pensions ». Il servira à intégrer les opérations de prêts de l’AFT contre des titres (pensions livrées et billets de trésoreries).</w:t>
      </w:r>
    </w:p>
    <w:p>
      <w:r>
        <w:t>Le code flux 159-3 « BT » sera renommé « Mises en pensions ». Il servira à intégrer les opérations de d’emprunts de cash de l’AFT contre des titres (pensions livrées et billets de trésoreries).</w:t>
      </w:r>
    </w:p>
    <w:p>
      <w:r>
        <w:t>De manière similaire, le code flux 161-1 « Prêts et emprunts court terme » sera renommé « Prêts court terme ». Il servira à intégrer les opérations de prêts en blanc auprès des différentes contreparties (SVT, DMO, etc.).</w:t>
      </w:r>
    </w:p>
    <w:p>
      <w:r>
        <w:t>Le code flux 161-2 « Prêts et emprunts états étrangers » sera renommé « Emprunts court terme ». Il servira à intégrer les opérations de prêts en blanc auprès des différentes contreparties (SVT, DMO, etc.).</w:t>
      </w:r>
    </w:p>
    <w:p>
      <w:r>
        <w:t>Le code flux 161-3 « Lignes de trésorerie » sera renommé « Neutralisation d’opérations ». Son nouveau numéro de code flux sera 199. Il servira à neutraliser les opérations qui ne doivent pas avoir d’impact sur le solde spontané, notamment les BT CADES.</w:t>
      </w:r>
    </w:p>
    <w:p>
      <w:r>
        <w:t xml:space="preserve">Les lignes de trésorerie seront considérées comme des emprunts, les BT qui passent par </w:t>
      </w:r>
      <w:proofErr w:type="spellStart"/>
      <w:r>
        <w:t>Euroclear</w:t>
      </w:r>
      <w:proofErr w:type="spellEnd"/>
      <w:r>
        <w:t xml:space="preserve"> comme des pensions. </w:t>
      </w:r>
    </w:p>
    <w:p>
      <w:pPr>
        <w:pStyle w:val="Titre1"/>
        <w:numPr>
          <w:ilvl w:val="2"/>
          <w:numId w:val="1"/>
        </w:numPr>
      </w:pPr>
      <w:r>
        <w:t>Alimentation des codes flux en prévision</w:t>
      </w:r>
    </w:p>
    <w:p>
      <w:r>
        <w:t>Il n’y a pas lieu de récupérer les colonnes « Solde » du fichiers Placements.xlsm.</w:t>
      </w:r>
    </w:p>
    <w:p>
      <w:r>
        <w:t>Le code flux 159-2 est alimenté par les colonnes B et C de l’onglet « </w:t>
      </w:r>
      <w:proofErr w:type="spellStart"/>
      <w:r>
        <w:t>newplac</w:t>
      </w:r>
      <w:proofErr w:type="spellEnd"/>
      <w:r>
        <w:t> » du fichier « Placements.xlsm ».</w:t>
      </w:r>
    </w:p>
    <w:p>
      <w:r>
        <w:t xml:space="preserve">Le code flux 159-3 est alimenté par les colonnes </w:t>
      </w:r>
      <w:r>
        <w:t xml:space="preserve">B et C </w:t>
      </w:r>
      <w:r>
        <w:t>de l’onglet « emprunts » du fichier « Placements.xlsm ».</w:t>
      </w:r>
    </w:p>
    <w:p>
      <w:r>
        <w:t>Le code flux 161-1 est alimenté par la somme des colonnes E et H pour les débits, F et I pour les crédits, de l’onglet « </w:t>
      </w:r>
      <w:proofErr w:type="spellStart"/>
      <w:r>
        <w:t>newplac</w:t>
      </w:r>
      <w:proofErr w:type="spellEnd"/>
      <w:r>
        <w:t> » du fichier « Placements.xlsm ».</w:t>
      </w:r>
    </w:p>
    <w:p>
      <w:r>
        <w:t>Le code flux 161-2 est alimenté par la somme des colonnes E, H et K pour les débits, F, I et L pour les crédits, de l’onglet « Emprunt » du fichier « Placements.xlsm ».</w:t>
      </w:r>
    </w:p>
    <w:p>
      <w:r>
        <w:t xml:space="preserve">Le code flux 199 « Neutralisation » est alimenté par les fichiers Intermediaire_199-Neutralisation_Credit.xlsx pour les crédits et </w:t>
      </w:r>
      <w:r>
        <w:t>Intermediaire_199-Neutralisation_</w:t>
      </w:r>
      <w:r>
        <w:t>Debit</w:t>
      </w:r>
      <w:r>
        <w:t>.xlsx</w:t>
      </w:r>
      <w:r>
        <w:t xml:space="preserve"> pour les débits.</w:t>
      </w:r>
    </w:p>
    <w:p>
      <w:r>
        <w:t>Le solde du code flux 199 est égal à la somme des débits et des crédits du code flux.</w:t>
      </w:r>
    </w:p>
    <w:p>
      <w:r>
        <w:lastRenderedPageBreak/>
        <w:t>Pour chacun des sous-codes 159-2, 159-3, 161-1 et 161-2, le solde est égal à la somme des débits et des crédits.</w:t>
      </w:r>
    </w:p>
    <w:p>
      <w:pPr>
        <w:pStyle w:val="Titre1"/>
        <w:numPr>
          <w:ilvl w:val="2"/>
          <w:numId w:val="1"/>
        </w:numPr>
      </w:pPr>
      <w:r>
        <w:t>Alimentation des codes flux par les annonces</w:t>
      </w:r>
    </w:p>
    <w:p>
      <w:r>
        <w:t>Les codes flux 159-2, 159-3, 161-1 et 161-2 seront alimentés par les données murex selon les nouvelles répartitions définies. Le champ M_TP_FOLIO pourrait être modifié de façon à discriminer les prêts en blanc des emprunts en blanc et dans le même esprit les prises et les mises en pensions.</w:t>
      </w:r>
    </w:p>
    <w:p>
      <w:r>
        <w:t>Les sous-code flux distinguant intérêts et nominal continueront à être servis.</w:t>
      </w:r>
    </w:p>
    <w:p>
      <w:r>
        <w:t>Le script d’initialisation d’AGATE sera à modifier (ou la liste des correspondances murex d’AGATE).</w:t>
      </w:r>
    </w:p>
    <w:p>
      <w:r>
        <w:t>Ces annonces servent également, comme actuellement, à alimenter la réalisation pour les sous code flux concernés.</w:t>
      </w:r>
    </w:p>
    <w:p/>
    <w:p>
      <w:r>
        <w:t>Ci-après est détaillée l’arborescence des codes flux des opérations AFT</w:t>
      </w:r>
      <w:r>
        <w:t xml:space="preserve"> modifiés</w:t>
      </w:r>
      <w:r>
        <w:t> :</w:t>
      </w:r>
    </w:p>
    <w:p>
      <w:r>
        <w:t xml:space="preserve">Opérations </w:t>
      </w:r>
      <w:r>
        <w:t xml:space="preserve">modifiées </w:t>
      </w:r>
      <w:r>
        <w:t>imputées sur le code flux 159 : Règlement livraison titres</w:t>
      </w:r>
    </w:p>
    <w:p>
      <w:pPr>
        <w:numPr>
          <w:ilvl w:val="0"/>
          <w:numId w:val="6"/>
        </w:numPr>
        <w:spacing w:after="0" w:line="240" w:lineRule="auto"/>
      </w:pPr>
      <w:r>
        <w:t>159-</w:t>
      </w:r>
      <w:r>
        <w:t>2</w:t>
      </w:r>
      <w:r>
        <w:t xml:space="preserve"> : </w:t>
      </w:r>
      <w:r>
        <w:t>Prises en pensions</w:t>
      </w:r>
    </w:p>
    <w:p>
      <w:pPr>
        <w:numPr>
          <w:ilvl w:val="0"/>
          <w:numId w:val="4"/>
        </w:numPr>
        <w:tabs>
          <w:tab w:val="clear" w:pos="720"/>
        </w:tabs>
        <w:spacing w:after="0" w:line="240" w:lineRule="auto"/>
        <w:ind w:left="993"/>
      </w:pPr>
      <w:r>
        <w:t>159-31 : Nominal</w:t>
      </w:r>
    </w:p>
    <w:p>
      <w:pPr>
        <w:numPr>
          <w:ilvl w:val="0"/>
          <w:numId w:val="4"/>
        </w:numPr>
        <w:tabs>
          <w:tab w:val="clear" w:pos="720"/>
        </w:tabs>
        <w:spacing w:after="0" w:line="240" w:lineRule="auto"/>
        <w:ind w:left="993"/>
      </w:pPr>
      <w:r>
        <w:t>159-32 : Intérêts</w:t>
      </w:r>
    </w:p>
    <w:p>
      <w:pPr>
        <w:ind w:left="993"/>
      </w:pPr>
    </w:p>
    <w:p>
      <w:pPr>
        <w:numPr>
          <w:ilvl w:val="0"/>
          <w:numId w:val="6"/>
        </w:numPr>
        <w:spacing w:after="0" w:line="240" w:lineRule="auto"/>
      </w:pPr>
      <w:r>
        <w:t xml:space="preserve">159-3 : </w:t>
      </w:r>
      <w:r>
        <w:t>M</w:t>
      </w:r>
      <w:r>
        <w:t>ises en pensions</w:t>
      </w:r>
    </w:p>
    <w:p>
      <w:pPr>
        <w:numPr>
          <w:ilvl w:val="0"/>
          <w:numId w:val="4"/>
        </w:numPr>
        <w:tabs>
          <w:tab w:val="clear" w:pos="720"/>
        </w:tabs>
        <w:spacing w:after="0" w:line="240" w:lineRule="auto"/>
        <w:ind w:left="993"/>
      </w:pPr>
      <w:r>
        <w:t>159-31 : Nominal</w:t>
      </w:r>
    </w:p>
    <w:p>
      <w:pPr>
        <w:numPr>
          <w:ilvl w:val="0"/>
          <w:numId w:val="4"/>
        </w:numPr>
        <w:tabs>
          <w:tab w:val="clear" w:pos="720"/>
        </w:tabs>
        <w:spacing w:after="0" w:line="240" w:lineRule="auto"/>
        <w:ind w:left="993"/>
      </w:pPr>
      <w:r>
        <w:t>159-32 : Intérêts</w:t>
      </w:r>
    </w:p>
    <w:p>
      <w:pPr>
        <w:ind w:left="993"/>
      </w:pPr>
    </w:p>
    <w:p>
      <w:r>
        <w:t xml:space="preserve">Opérations </w:t>
      </w:r>
      <w:r>
        <w:t xml:space="preserve">modifiées </w:t>
      </w:r>
      <w:r>
        <w:t>imputées sur le code flux 161 : Prêts/Emprunts</w:t>
      </w:r>
    </w:p>
    <w:p>
      <w:pPr>
        <w:numPr>
          <w:ilvl w:val="0"/>
          <w:numId w:val="6"/>
        </w:numPr>
        <w:spacing w:after="0" w:line="240" w:lineRule="auto"/>
      </w:pPr>
      <w:r>
        <w:t>161-1 : Prêts</w:t>
      </w:r>
      <w:r>
        <w:t xml:space="preserve"> à court terme</w:t>
      </w:r>
    </w:p>
    <w:p>
      <w:pPr>
        <w:numPr>
          <w:ilvl w:val="0"/>
          <w:numId w:val="4"/>
        </w:numPr>
        <w:tabs>
          <w:tab w:val="clear" w:pos="720"/>
        </w:tabs>
        <w:spacing w:after="0" w:line="240" w:lineRule="auto"/>
        <w:ind w:left="993"/>
      </w:pPr>
      <w:r>
        <w:t>161-11 : Nominal</w:t>
      </w:r>
    </w:p>
    <w:p>
      <w:pPr>
        <w:numPr>
          <w:ilvl w:val="0"/>
          <w:numId w:val="4"/>
        </w:numPr>
        <w:tabs>
          <w:tab w:val="clear" w:pos="720"/>
        </w:tabs>
        <w:spacing w:after="0" w:line="240" w:lineRule="auto"/>
        <w:ind w:left="993"/>
      </w:pPr>
      <w:r>
        <w:t>161-12 : Intérêts</w:t>
      </w:r>
    </w:p>
    <w:p>
      <w:pPr>
        <w:ind w:left="993"/>
      </w:pPr>
    </w:p>
    <w:p>
      <w:pPr>
        <w:numPr>
          <w:ilvl w:val="0"/>
          <w:numId w:val="6"/>
        </w:numPr>
        <w:spacing w:after="0" w:line="240" w:lineRule="auto"/>
      </w:pPr>
      <w:r>
        <w:t xml:space="preserve">161-2 : </w:t>
      </w:r>
      <w:r>
        <w:t>Emprunts</w:t>
      </w:r>
      <w:r>
        <w:t xml:space="preserve"> à court terme</w:t>
      </w:r>
    </w:p>
    <w:p>
      <w:pPr>
        <w:numPr>
          <w:ilvl w:val="0"/>
          <w:numId w:val="4"/>
        </w:numPr>
        <w:tabs>
          <w:tab w:val="clear" w:pos="720"/>
        </w:tabs>
        <w:spacing w:after="0" w:line="240" w:lineRule="auto"/>
        <w:ind w:left="993"/>
      </w:pPr>
      <w:r>
        <w:t>161-21 : Nominal</w:t>
      </w:r>
    </w:p>
    <w:p>
      <w:pPr>
        <w:numPr>
          <w:ilvl w:val="0"/>
          <w:numId w:val="4"/>
        </w:numPr>
        <w:tabs>
          <w:tab w:val="clear" w:pos="720"/>
        </w:tabs>
        <w:spacing w:after="0" w:line="240" w:lineRule="auto"/>
        <w:ind w:left="993"/>
      </w:pPr>
      <w:r>
        <w:t>161-22 : Intérêts</w:t>
      </w:r>
    </w:p>
    <w:p/>
    <w:p>
      <w:pPr>
        <w:numPr>
          <w:ilvl w:val="0"/>
          <w:numId w:val="6"/>
        </w:numPr>
        <w:spacing w:after="0" w:line="240" w:lineRule="auto"/>
      </w:pPr>
      <w:r>
        <w:t>161-</w:t>
      </w:r>
      <w:r>
        <w:t>3</w:t>
      </w:r>
      <w:r>
        <w:t xml:space="preserve"> : </w:t>
      </w:r>
      <w:r>
        <w:t>Lignes de trésorerie (supprimé)</w:t>
      </w:r>
    </w:p>
    <w:p/>
    <w:p>
      <w:r>
        <w:t xml:space="preserve">Le code flux 199 « Neutralisation » n’a pas vocation à être alimenté par des annonces. </w:t>
      </w:r>
    </w:p>
    <w:p>
      <w:pPr>
        <w:pStyle w:val="Titre1"/>
        <w:numPr>
          <w:ilvl w:val="2"/>
          <w:numId w:val="1"/>
        </w:numPr>
      </w:pPr>
      <w:r>
        <w:lastRenderedPageBreak/>
        <w:t>Autres modifications</w:t>
      </w:r>
    </w:p>
    <w:p>
      <w:r>
        <w:t>En plus du changement de dénomination des noms des flux, il conviendra d’isoler visuellement le code flux 199 en redimensionnant le 161 – Prêt &amp; emprunts et en changeant la couleur pour le nouveau code flux. Par ailleurs, la nouvelle couleur pourra utilement s’appliquer aux autres flux dont le numéro est strictement supérieur à 161 : 162, 163 et 170.</w:t>
      </w:r>
    </w:p>
    <w:p>
      <w:r>
        <w:t>Avant :</w:t>
      </w:r>
    </w:p>
    <w:p>
      <w:r>
        <w:rPr>
          <w:noProof/>
        </w:rPr>
        <w:drawing>
          <wp:inline distT="0" distB="0" distL="0" distR="0">
            <wp:extent cx="5760720" cy="704215"/>
            <wp:effectExtent l="0" t="0" r="0" b="63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60720" cy="704215"/>
                    </a:xfrm>
                    <a:prstGeom prst="rect">
                      <a:avLst/>
                    </a:prstGeom>
                  </pic:spPr>
                </pic:pic>
              </a:graphicData>
            </a:graphic>
          </wp:inline>
        </w:drawing>
      </w:r>
    </w:p>
    <w:p>
      <w:r>
        <w:t>Après :</w:t>
      </w:r>
    </w:p>
    <w:p>
      <w:r>
        <w:rPr>
          <w:noProof/>
        </w:rPr>
        <w:drawing>
          <wp:inline distT="0" distB="0" distL="0" distR="0">
            <wp:extent cx="5760720" cy="704215"/>
            <wp:effectExtent l="0" t="0" r="0" b="63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60720" cy="704215"/>
                    </a:xfrm>
                    <a:prstGeom prst="rect">
                      <a:avLst/>
                    </a:prstGeom>
                  </pic:spPr>
                </pic:pic>
              </a:graphicData>
            </a:graphic>
          </wp:inline>
        </w:drawing>
      </w:r>
    </w:p>
    <w:p>
      <w:r>
        <w:t>Par ailleurs, la colonne « Total prêts &amp; emprunts » cumulera les soldes des codes flux 161-1 et 161-2.</w:t>
      </w:r>
    </w:p>
    <w:p>
      <w:r>
        <w:t>La colonne « Total Flux AFT » cumulera les soldes des codes flux 162, 163, 170 et 199. Ce dernier code flux est situé à gauche de la colonne.</w:t>
      </w:r>
    </w:p>
    <w:p>
      <w:pPr>
        <w:pStyle w:val="Titre1"/>
        <w:numPr>
          <w:ilvl w:val="1"/>
          <w:numId w:val="1"/>
        </w:numPr>
      </w:pPr>
      <w:r>
        <w:t>Prise en compte de l’encours</w:t>
      </w:r>
    </w:p>
    <w:p>
      <w:r>
        <w:t>Actuellement dans NSYN, les colonnes D à I reprennent des encours. Aucune modification n’est à apporter pour les encours des OAT et BTF (colonnes D et E).</w:t>
      </w:r>
    </w:p>
    <w:p>
      <w:r>
        <w:t>La colonne F (BT Acoss et CADES) demeure pour l’instant non servie</w:t>
      </w:r>
      <w:r>
        <w:t>.</w:t>
      </w:r>
    </w:p>
    <w:p>
      <w:r>
        <w:t>La colonne G (Prêts Etats étrangers) demeure pour l’instant non servie.</w:t>
      </w:r>
    </w:p>
    <w:p>
      <w:r>
        <w:t>La colonne H (Pensions) est calculée ainsi :</w:t>
      </w:r>
    </w:p>
    <w:p>
      <w:pPr>
        <w:rPr>
          <w:vertAlign w:val="subscript"/>
        </w:rPr>
      </w:pPr>
      <w:r>
        <w:t xml:space="preserve">Encours (Pensions) </w:t>
      </w:r>
      <w:r>
        <w:rPr>
          <w:vertAlign w:val="subscript"/>
        </w:rPr>
        <w:t>j</w:t>
      </w:r>
      <w:r>
        <w:t xml:space="preserve"> = encours (Pensions) </w:t>
      </w:r>
      <w:r>
        <w:rPr>
          <w:vertAlign w:val="subscript"/>
        </w:rPr>
        <w:t>j-1</w:t>
      </w:r>
      <w:r>
        <w:t xml:space="preserve"> - solde (code flux 159-2) </w:t>
      </w:r>
      <w:r>
        <w:rPr>
          <w:vertAlign w:val="subscript"/>
        </w:rPr>
        <w:t>j</w:t>
      </w:r>
    </w:p>
    <w:p>
      <w:r>
        <w:t>La colonne</w:t>
      </w:r>
      <w:r>
        <w:t xml:space="preserve"> I</w:t>
      </w:r>
      <w:r>
        <w:t xml:space="preserve"> (Dépôts en </w:t>
      </w:r>
      <w:proofErr w:type="gramStart"/>
      <w:r>
        <w:t>blanc(</w:t>
      </w:r>
      <w:proofErr w:type="gramEnd"/>
      <w:r>
        <w:t xml:space="preserve">+lignes de </w:t>
      </w:r>
      <w:proofErr w:type="spellStart"/>
      <w:r>
        <w:t>tréso</w:t>
      </w:r>
      <w:proofErr w:type="spellEnd"/>
      <w:r>
        <w:t>)) est</w:t>
      </w:r>
      <w:r>
        <w:t xml:space="preserve"> renommée « Dépôts en blanc »</w:t>
      </w:r>
      <w:r>
        <w:t xml:space="preserve"> </w:t>
      </w:r>
      <w:r>
        <w:t xml:space="preserve">et </w:t>
      </w:r>
      <w:r>
        <w:t>calculée ainsi :</w:t>
      </w:r>
    </w:p>
    <w:p>
      <w:pPr>
        <w:rPr>
          <w:vertAlign w:val="subscript"/>
        </w:rPr>
      </w:pPr>
      <w:r>
        <w:t xml:space="preserve">Encours (Dépôts en blanc) </w:t>
      </w:r>
      <w:r>
        <w:rPr>
          <w:vertAlign w:val="subscript"/>
        </w:rPr>
        <w:t>j</w:t>
      </w:r>
      <w:r>
        <w:t xml:space="preserve"> = encours (Dépôts en blanc) </w:t>
      </w:r>
      <w:r>
        <w:rPr>
          <w:vertAlign w:val="subscript"/>
        </w:rPr>
        <w:t>j-1</w:t>
      </w:r>
      <w:r>
        <w:t xml:space="preserve"> - solde (code flux </w:t>
      </w:r>
      <w:r>
        <w:t>161-1</w:t>
      </w:r>
      <w:r>
        <w:t xml:space="preserve">) </w:t>
      </w:r>
      <w:r>
        <w:rPr>
          <w:vertAlign w:val="subscript"/>
        </w:rPr>
        <w:t>j</w:t>
      </w:r>
    </w:p>
    <w:p/>
    <w:p>
      <w:r>
        <w:t>Le solde spontané est toujours égal à solde BDF + Encours (Pensions) + Encours (Dépôts en blanc).</w:t>
      </w:r>
    </w:p>
    <w:p>
      <w:r>
        <w:t xml:space="preserve"> </w:t>
      </w:r>
    </w:p>
    <w:sectPr>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75622"/>
    <w:multiLevelType w:val="hybridMultilevel"/>
    <w:tmpl w:val="3C82ADA2"/>
    <w:lvl w:ilvl="0" w:tplc="C1300A86">
      <w:start w:val="1"/>
      <w:numFmt w:val="bullet"/>
      <w:lvlText w:val="o"/>
      <w:lvlJc w:val="left"/>
      <w:pPr>
        <w:tabs>
          <w:tab w:val="num" w:pos="720"/>
        </w:tabs>
        <w:ind w:left="720" w:hanging="360"/>
      </w:pPr>
      <w:rPr>
        <w:rFonts w:ascii="Courier New" w:hAnsi="Courier New" w:hint="default"/>
      </w:rPr>
    </w:lvl>
    <w:lvl w:ilvl="1" w:tplc="F37466E0" w:tentative="1">
      <w:start w:val="1"/>
      <w:numFmt w:val="bullet"/>
      <w:lvlText w:val="o"/>
      <w:lvlJc w:val="left"/>
      <w:pPr>
        <w:tabs>
          <w:tab w:val="num" w:pos="1440"/>
        </w:tabs>
        <w:ind w:left="1440" w:hanging="360"/>
      </w:pPr>
      <w:rPr>
        <w:rFonts w:ascii="Courier New" w:hAnsi="Courier New" w:hint="default"/>
      </w:rPr>
    </w:lvl>
    <w:lvl w:ilvl="2" w:tplc="13C0E928" w:tentative="1">
      <w:start w:val="1"/>
      <w:numFmt w:val="bullet"/>
      <w:lvlText w:val="o"/>
      <w:lvlJc w:val="left"/>
      <w:pPr>
        <w:tabs>
          <w:tab w:val="num" w:pos="2160"/>
        </w:tabs>
        <w:ind w:left="2160" w:hanging="360"/>
      </w:pPr>
      <w:rPr>
        <w:rFonts w:ascii="Courier New" w:hAnsi="Courier New" w:hint="default"/>
      </w:rPr>
    </w:lvl>
    <w:lvl w:ilvl="3" w:tplc="517C6B0C" w:tentative="1">
      <w:start w:val="1"/>
      <w:numFmt w:val="bullet"/>
      <w:lvlText w:val="o"/>
      <w:lvlJc w:val="left"/>
      <w:pPr>
        <w:tabs>
          <w:tab w:val="num" w:pos="2880"/>
        </w:tabs>
        <w:ind w:left="2880" w:hanging="360"/>
      </w:pPr>
      <w:rPr>
        <w:rFonts w:ascii="Courier New" w:hAnsi="Courier New" w:hint="default"/>
      </w:rPr>
    </w:lvl>
    <w:lvl w:ilvl="4" w:tplc="190084F0" w:tentative="1">
      <w:start w:val="1"/>
      <w:numFmt w:val="bullet"/>
      <w:lvlText w:val="o"/>
      <w:lvlJc w:val="left"/>
      <w:pPr>
        <w:tabs>
          <w:tab w:val="num" w:pos="3600"/>
        </w:tabs>
        <w:ind w:left="3600" w:hanging="360"/>
      </w:pPr>
      <w:rPr>
        <w:rFonts w:ascii="Courier New" w:hAnsi="Courier New" w:hint="default"/>
      </w:rPr>
    </w:lvl>
    <w:lvl w:ilvl="5" w:tplc="749AC9BE" w:tentative="1">
      <w:start w:val="1"/>
      <w:numFmt w:val="bullet"/>
      <w:lvlText w:val="o"/>
      <w:lvlJc w:val="left"/>
      <w:pPr>
        <w:tabs>
          <w:tab w:val="num" w:pos="4320"/>
        </w:tabs>
        <w:ind w:left="4320" w:hanging="360"/>
      </w:pPr>
      <w:rPr>
        <w:rFonts w:ascii="Courier New" w:hAnsi="Courier New" w:hint="default"/>
      </w:rPr>
    </w:lvl>
    <w:lvl w:ilvl="6" w:tplc="0D328846" w:tentative="1">
      <w:start w:val="1"/>
      <w:numFmt w:val="bullet"/>
      <w:lvlText w:val="o"/>
      <w:lvlJc w:val="left"/>
      <w:pPr>
        <w:tabs>
          <w:tab w:val="num" w:pos="5040"/>
        </w:tabs>
        <w:ind w:left="5040" w:hanging="360"/>
      </w:pPr>
      <w:rPr>
        <w:rFonts w:ascii="Courier New" w:hAnsi="Courier New" w:hint="default"/>
      </w:rPr>
    </w:lvl>
    <w:lvl w:ilvl="7" w:tplc="7FD80B3A" w:tentative="1">
      <w:start w:val="1"/>
      <w:numFmt w:val="bullet"/>
      <w:lvlText w:val="o"/>
      <w:lvlJc w:val="left"/>
      <w:pPr>
        <w:tabs>
          <w:tab w:val="num" w:pos="5760"/>
        </w:tabs>
        <w:ind w:left="5760" w:hanging="360"/>
      </w:pPr>
      <w:rPr>
        <w:rFonts w:ascii="Courier New" w:hAnsi="Courier New" w:hint="default"/>
      </w:rPr>
    </w:lvl>
    <w:lvl w:ilvl="8" w:tplc="EC007A2E" w:tentative="1">
      <w:start w:val="1"/>
      <w:numFmt w:val="bullet"/>
      <w:lvlText w:val="o"/>
      <w:lvlJc w:val="left"/>
      <w:pPr>
        <w:tabs>
          <w:tab w:val="num" w:pos="6480"/>
        </w:tabs>
        <w:ind w:left="6480" w:hanging="360"/>
      </w:pPr>
      <w:rPr>
        <w:rFonts w:ascii="Courier New" w:hAnsi="Courier New" w:hint="default"/>
      </w:rPr>
    </w:lvl>
  </w:abstractNum>
  <w:abstractNum w:abstractNumId="1" w15:restartNumberingAfterBreak="0">
    <w:nsid w:val="04F15217"/>
    <w:multiLevelType w:val="hybridMultilevel"/>
    <w:tmpl w:val="24B6B3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EBC3A6B"/>
    <w:multiLevelType w:val="hybridMultilevel"/>
    <w:tmpl w:val="B054010A"/>
    <w:lvl w:ilvl="0" w:tplc="3014ED0A">
      <w:start w:val="1"/>
      <w:numFmt w:val="decimal"/>
      <w:pStyle w:val="Titre1"/>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0EA5E74"/>
    <w:multiLevelType w:val="hybridMultilevel"/>
    <w:tmpl w:val="3E8046C6"/>
    <w:lvl w:ilvl="0" w:tplc="CA6E97BC">
      <w:start w:val="1"/>
      <w:numFmt w:val="bullet"/>
      <w:lvlText w:val=""/>
      <w:lvlJc w:val="left"/>
      <w:pPr>
        <w:tabs>
          <w:tab w:val="num" w:pos="1962"/>
        </w:tabs>
        <w:ind w:left="1962" w:hanging="360"/>
      </w:pPr>
      <w:rPr>
        <w:rFonts w:ascii="Wingdings" w:hAnsi="Wingdings" w:hint="default"/>
      </w:rPr>
    </w:lvl>
    <w:lvl w:ilvl="1" w:tplc="45A6821E" w:tentative="1">
      <w:start w:val="1"/>
      <w:numFmt w:val="bullet"/>
      <w:lvlText w:val=""/>
      <w:lvlJc w:val="left"/>
      <w:pPr>
        <w:tabs>
          <w:tab w:val="num" w:pos="2682"/>
        </w:tabs>
        <w:ind w:left="2682" w:hanging="360"/>
      </w:pPr>
      <w:rPr>
        <w:rFonts w:ascii="Wingdings" w:hAnsi="Wingdings" w:hint="default"/>
      </w:rPr>
    </w:lvl>
    <w:lvl w:ilvl="2" w:tplc="5C34A67E" w:tentative="1">
      <w:start w:val="1"/>
      <w:numFmt w:val="bullet"/>
      <w:lvlText w:val=""/>
      <w:lvlJc w:val="left"/>
      <w:pPr>
        <w:tabs>
          <w:tab w:val="num" w:pos="3402"/>
        </w:tabs>
        <w:ind w:left="3402" w:hanging="360"/>
      </w:pPr>
      <w:rPr>
        <w:rFonts w:ascii="Wingdings" w:hAnsi="Wingdings" w:hint="default"/>
      </w:rPr>
    </w:lvl>
    <w:lvl w:ilvl="3" w:tplc="E122760C" w:tentative="1">
      <w:start w:val="1"/>
      <w:numFmt w:val="bullet"/>
      <w:lvlText w:val=""/>
      <w:lvlJc w:val="left"/>
      <w:pPr>
        <w:tabs>
          <w:tab w:val="num" w:pos="4122"/>
        </w:tabs>
        <w:ind w:left="4122" w:hanging="360"/>
      </w:pPr>
      <w:rPr>
        <w:rFonts w:ascii="Wingdings" w:hAnsi="Wingdings" w:hint="default"/>
      </w:rPr>
    </w:lvl>
    <w:lvl w:ilvl="4" w:tplc="3B8256CE" w:tentative="1">
      <w:start w:val="1"/>
      <w:numFmt w:val="bullet"/>
      <w:lvlText w:val=""/>
      <w:lvlJc w:val="left"/>
      <w:pPr>
        <w:tabs>
          <w:tab w:val="num" w:pos="4842"/>
        </w:tabs>
        <w:ind w:left="4842" w:hanging="360"/>
      </w:pPr>
      <w:rPr>
        <w:rFonts w:ascii="Wingdings" w:hAnsi="Wingdings" w:hint="default"/>
      </w:rPr>
    </w:lvl>
    <w:lvl w:ilvl="5" w:tplc="AA3A1540" w:tentative="1">
      <w:start w:val="1"/>
      <w:numFmt w:val="bullet"/>
      <w:lvlText w:val=""/>
      <w:lvlJc w:val="left"/>
      <w:pPr>
        <w:tabs>
          <w:tab w:val="num" w:pos="5562"/>
        </w:tabs>
        <w:ind w:left="5562" w:hanging="360"/>
      </w:pPr>
      <w:rPr>
        <w:rFonts w:ascii="Wingdings" w:hAnsi="Wingdings" w:hint="default"/>
      </w:rPr>
    </w:lvl>
    <w:lvl w:ilvl="6" w:tplc="B24E0694" w:tentative="1">
      <w:start w:val="1"/>
      <w:numFmt w:val="bullet"/>
      <w:lvlText w:val=""/>
      <w:lvlJc w:val="left"/>
      <w:pPr>
        <w:tabs>
          <w:tab w:val="num" w:pos="6282"/>
        </w:tabs>
        <w:ind w:left="6282" w:hanging="360"/>
      </w:pPr>
      <w:rPr>
        <w:rFonts w:ascii="Wingdings" w:hAnsi="Wingdings" w:hint="default"/>
      </w:rPr>
    </w:lvl>
    <w:lvl w:ilvl="7" w:tplc="A4E20C9C" w:tentative="1">
      <w:start w:val="1"/>
      <w:numFmt w:val="bullet"/>
      <w:lvlText w:val=""/>
      <w:lvlJc w:val="left"/>
      <w:pPr>
        <w:tabs>
          <w:tab w:val="num" w:pos="7002"/>
        </w:tabs>
        <w:ind w:left="7002" w:hanging="360"/>
      </w:pPr>
      <w:rPr>
        <w:rFonts w:ascii="Wingdings" w:hAnsi="Wingdings" w:hint="default"/>
      </w:rPr>
    </w:lvl>
    <w:lvl w:ilvl="8" w:tplc="41E8D530" w:tentative="1">
      <w:start w:val="1"/>
      <w:numFmt w:val="bullet"/>
      <w:lvlText w:val=""/>
      <w:lvlJc w:val="left"/>
      <w:pPr>
        <w:tabs>
          <w:tab w:val="num" w:pos="7722"/>
        </w:tabs>
        <w:ind w:left="7722" w:hanging="360"/>
      </w:pPr>
      <w:rPr>
        <w:rFonts w:ascii="Wingdings" w:hAnsi="Wingdings" w:hint="default"/>
      </w:rPr>
    </w:lvl>
  </w:abstractNum>
  <w:abstractNum w:abstractNumId="4" w15:restartNumberingAfterBreak="0">
    <w:nsid w:val="28044EB6"/>
    <w:multiLevelType w:val="hybridMultilevel"/>
    <w:tmpl w:val="B1CC73A6"/>
    <w:lvl w:ilvl="0" w:tplc="3528A066">
      <w:start w:val="1"/>
      <w:numFmt w:val="bullet"/>
      <w:lvlText w:val=""/>
      <w:lvlJc w:val="left"/>
      <w:pPr>
        <w:tabs>
          <w:tab w:val="num" w:pos="993"/>
        </w:tabs>
        <w:ind w:left="993" w:hanging="360"/>
      </w:pPr>
      <w:rPr>
        <w:rFonts w:ascii="Wingdings" w:hAnsi="Wingdings" w:hint="default"/>
      </w:rPr>
    </w:lvl>
    <w:lvl w:ilvl="1" w:tplc="D0BE8416" w:tentative="1">
      <w:start w:val="1"/>
      <w:numFmt w:val="bullet"/>
      <w:lvlText w:val=""/>
      <w:lvlJc w:val="left"/>
      <w:pPr>
        <w:tabs>
          <w:tab w:val="num" w:pos="1713"/>
        </w:tabs>
        <w:ind w:left="1713" w:hanging="360"/>
      </w:pPr>
      <w:rPr>
        <w:rFonts w:ascii="Wingdings" w:hAnsi="Wingdings" w:hint="default"/>
      </w:rPr>
    </w:lvl>
    <w:lvl w:ilvl="2" w:tplc="D960CF4E" w:tentative="1">
      <w:start w:val="1"/>
      <w:numFmt w:val="bullet"/>
      <w:lvlText w:val=""/>
      <w:lvlJc w:val="left"/>
      <w:pPr>
        <w:tabs>
          <w:tab w:val="num" w:pos="2433"/>
        </w:tabs>
        <w:ind w:left="2433" w:hanging="360"/>
      </w:pPr>
      <w:rPr>
        <w:rFonts w:ascii="Wingdings" w:hAnsi="Wingdings" w:hint="default"/>
      </w:rPr>
    </w:lvl>
    <w:lvl w:ilvl="3" w:tplc="80FE065A" w:tentative="1">
      <w:start w:val="1"/>
      <w:numFmt w:val="bullet"/>
      <w:lvlText w:val=""/>
      <w:lvlJc w:val="left"/>
      <w:pPr>
        <w:tabs>
          <w:tab w:val="num" w:pos="3153"/>
        </w:tabs>
        <w:ind w:left="3153" w:hanging="360"/>
      </w:pPr>
      <w:rPr>
        <w:rFonts w:ascii="Wingdings" w:hAnsi="Wingdings" w:hint="default"/>
      </w:rPr>
    </w:lvl>
    <w:lvl w:ilvl="4" w:tplc="0F440174" w:tentative="1">
      <w:start w:val="1"/>
      <w:numFmt w:val="bullet"/>
      <w:lvlText w:val=""/>
      <w:lvlJc w:val="left"/>
      <w:pPr>
        <w:tabs>
          <w:tab w:val="num" w:pos="3873"/>
        </w:tabs>
        <w:ind w:left="3873" w:hanging="360"/>
      </w:pPr>
      <w:rPr>
        <w:rFonts w:ascii="Wingdings" w:hAnsi="Wingdings" w:hint="default"/>
      </w:rPr>
    </w:lvl>
    <w:lvl w:ilvl="5" w:tplc="2ED63F80" w:tentative="1">
      <w:start w:val="1"/>
      <w:numFmt w:val="bullet"/>
      <w:lvlText w:val=""/>
      <w:lvlJc w:val="left"/>
      <w:pPr>
        <w:tabs>
          <w:tab w:val="num" w:pos="4593"/>
        </w:tabs>
        <w:ind w:left="4593" w:hanging="360"/>
      </w:pPr>
      <w:rPr>
        <w:rFonts w:ascii="Wingdings" w:hAnsi="Wingdings" w:hint="default"/>
      </w:rPr>
    </w:lvl>
    <w:lvl w:ilvl="6" w:tplc="638695A2" w:tentative="1">
      <w:start w:val="1"/>
      <w:numFmt w:val="bullet"/>
      <w:lvlText w:val=""/>
      <w:lvlJc w:val="left"/>
      <w:pPr>
        <w:tabs>
          <w:tab w:val="num" w:pos="5313"/>
        </w:tabs>
        <w:ind w:left="5313" w:hanging="360"/>
      </w:pPr>
      <w:rPr>
        <w:rFonts w:ascii="Wingdings" w:hAnsi="Wingdings" w:hint="default"/>
      </w:rPr>
    </w:lvl>
    <w:lvl w:ilvl="7" w:tplc="F3547068" w:tentative="1">
      <w:start w:val="1"/>
      <w:numFmt w:val="bullet"/>
      <w:lvlText w:val=""/>
      <w:lvlJc w:val="left"/>
      <w:pPr>
        <w:tabs>
          <w:tab w:val="num" w:pos="6033"/>
        </w:tabs>
        <w:ind w:left="6033" w:hanging="360"/>
      </w:pPr>
      <w:rPr>
        <w:rFonts w:ascii="Wingdings" w:hAnsi="Wingdings" w:hint="default"/>
      </w:rPr>
    </w:lvl>
    <w:lvl w:ilvl="8" w:tplc="A9CEDE4E" w:tentative="1">
      <w:start w:val="1"/>
      <w:numFmt w:val="bullet"/>
      <w:lvlText w:val=""/>
      <w:lvlJc w:val="left"/>
      <w:pPr>
        <w:tabs>
          <w:tab w:val="num" w:pos="6753"/>
        </w:tabs>
        <w:ind w:left="6753" w:hanging="360"/>
      </w:pPr>
      <w:rPr>
        <w:rFonts w:ascii="Wingdings" w:hAnsi="Wingdings" w:hint="default"/>
      </w:rPr>
    </w:lvl>
  </w:abstractNum>
  <w:abstractNum w:abstractNumId="5" w15:restartNumberingAfterBreak="0">
    <w:nsid w:val="77A54A12"/>
    <w:multiLevelType w:val="hybridMultilevel"/>
    <w:tmpl w:val="92A8D536"/>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num w:numId="1">
    <w:abstractNumId w:val="2"/>
  </w:num>
  <w:num w:numId="2">
    <w:abstractNumId w:val="5"/>
  </w:num>
  <w:num w:numId="3">
    <w:abstractNumId w:val="1"/>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E63F88-9E56-40A7-A5D3-02464C64C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style>
  <w:style w:type="paragraph" w:styleId="Titre1">
    <w:name w:val="heading 1"/>
    <w:basedOn w:val="Normal"/>
    <w:next w:val="Normal"/>
    <w:link w:val="Titre1Car"/>
    <w:autoRedefine/>
    <w:uiPriority w:val="9"/>
    <w:qFormat/>
    <w:pPr>
      <w:keepNext/>
      <w:keepLines/>
      <w:numPr>
        <w:numId w:val="1"/>
      </w:numPr>
      <w:spacing w:before="240" w:after="0"/>
      <w:outlineLvl w:val="0"/>
    </w:pPr>
    <w:rPr>
      <w:rFonts w:asciiTheme="majorHAnsi" w:eastAsiaTheme="majorEastAsia" w:hAnsiTheme="majorHAnsi" w:cstheme="majorBidi"/>
      <w:b/>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autoRedefine/>
    <w:uiPriority w:val="10"/>
    <w:qFormat/>
    <w:pPr>
      <w:pBdr>
        <w:top w:val="single" w:sz="4" w:space="1" w:color="auto"/>
        <w:left w:val="single" w:sz="4" w:space="4" w:color="auto"/>
        <w:bottom w:val="single" w:sz="4" w:space="1" w:color="auto"/>
        <w:right w:val="single" w:sz="4" w:space="4" w:color="auto"/>
      </w:pBdr>
      <w:spacing w:after="240" w:line="240" w:lineRule="auto"/>
      <w:contextualSpacing/>
      <w:jc w:val="center"/>
    </w:pPr>
    <w:rPr>
      <w:rFonts w:ascii="Calibri" w:eastAsiaTheme="majorEastAsia" w:hAnsi="Calibri" w:cstheme="majorBidi"/>
      <w:b/>
      <w:spacing w:val="-10"/>
      <w:kern w:val="28"/>
      <w:sz w:val="36"/>
      <w:szCs w:val="36"/>
    </w:rPr>
  </w:style>
  <w:style w:type="character" w:customStyle="1" w:styleId="TitreCar">
    <w:name w:val="Titre Car"/>
    <w:basedOn w:val="Policepardfaut"/>
    <w:link w:val="Titre"/>
    <w:uiPriority w:val="10"/>
    <w:rPr>
      <w:rFonts w:ascii="Calibri" w:eastAsiaTheme="majorEastAsia" w:hAnsi="Calibri" w:cstheme="majorBidi"/>
      <w:b/>
      <w:spacing w:val="-10"/>
      <w:kern w:val="28"/>
      <w:sz w:val="36"/>
      <w:szCs w:val="36"/>
    </w:rPr>
  </w:style>
  <w:style w:type="character" w:customStyle="1" w:styleId="Titre1Car">
    <w:name w:val="Titre 1 Car"/>
    <w:basedOn w:val="Policepardfaut"/>
    <w:link w:val="Titre1"/>
    <w:uiPriority w:val="9"/>
    <w:rPr>
      <w:rFonts w:asciiTheme="majorHAnsi" w:eastAsiaTheme="majorEastAsia" w:hAnsiTheme="majorHAnsi" w:cstheme="majorBidi"/>
      <w:b/>
      <w:sz w:val="28"/>
      <w:szCs w:val="28"/>
    </w:rPr>
  </w:style>
  <w:style w:type="paragraph" w:styleId="Paragraphedeliste">
    <w:name w:val="List Paragraph"/>
    <w:basedOn w:val="Normal"/>
    <w:uiPriority w:val="34"/>
    <w:qFormat/>
    <w:pPr>
      <w:ind w:left="720"/>
      <w:contextualSpacing/>
    </w:p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28146-6C5C-4B91-B44B-275205AD7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1162</Words>
  <Characters>6391</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Ministere Finances</Company>
  <LinksUpToDate>false</LinksUpToDate>
  <CharactersWithSpaces>7538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BORSOI Come</dc:creator>
  <cp:keywords/>
  <dc:description/>
  <cp:lastModifiedBy>BORSOI Come</cp:lastModifiedBy>
  <cp:revision>2</cp:revision>
  <dcterms:created xsi:type="dcterms:W3CDTF">2024-06-17T15:18:00Z</dcterms:created>
  <dcterms:modified xsi:type="dcterms:W3CDTF">2024-06-17T15:18:00Z</dcterms:modified>
</cp:coreProperties>
</file>