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western"/>
        <w:spacing w:before="0" w:after="0"/>
        <w:rPr>
          <w:color w:val="FF0000"/>
        </w:rPr>
      </w:pPr>
      <w:r>
        <w:rPr>
          <w:color w:val="FF0000"/>
        </w:rPr>
      </w:r>
      <w:bookmarkStart w:id="0" w:name="_GoBack"/>
      <w:bookmarkStart w:id="1" w:name="_GoBack"/>
      <w:bookmarkEnd w:id="1"/>
    </w:p>
    <w:p>
      <w:pPr>
        <w:pStyle w:val="western"/>
        <w:spacing w:before="0" w:after="0"/>
        <w:rPr>
          <w:color w:val="FF0000"/>
        </w:rPr>
      </w:pPr>
      <w:r>
        <w:rPr>
          <w:color w:val="FF0000"/>
        </w:rPr>
      </w:r>
    </w:p>
    <w:p>
      <w:pPr>
        <w:pStyle w:val="western"/>
        <w:spacing w:before="0" w:after="0"/>
        <w:rPr>
          <w:rFonts w:ascii="Calibri" w:hAnsi="Calibri"/>
        </w:rPr>
      </w:pPr>
      <w:r>
        <w:rPr>
          <w:rFonts w:ascii="Calibri" w:hAnsi="Calibri"/>
          <w:b/>
          <w:sz w:val="24"/>
          <w:szCs w:val="24"/>
        </w:rPr>
        <w:t>ANNEXE 1 au CCTP – Art. 6.8.2 du CCTP Émissions polluantes des poids lourds</w:t>
      </w:r>
    </w:p>
    <w:p>
      <w:pPr>
        <w:pStyle w:val="western"/>
        <w:spacing w:before="0" w:after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western"/>
        <w:spacing w:before="0" w:after="0"/>
        <w:rPr>
          <w:rFonts w:ascii="Calibri" w:hAnsi="Calibri"/>
        </w:rPr>
      </w:pPr>
      <w:r>
        <w:rPr>
          <w:rFonts w:ascii="Calibri" w:hAnsi="Calibri"/>
          <w:sz w:val="24"/>
          <w:szCs w:val="24"/>
        </w:rPr>
        <w:t>Caractérisation des flottes de véhicules utilisés dans le cadre de l’exécution du marché</w:t>
      </w:r>
    </w:p>
    <w:p>
      <w:pPr>
        <w:pStyle w:val="western"/>
        <w:spacing w:before="0" w:after="0"/>
        <w:rPr>
          <w:rFonts w:ascii="Calibri" w:hAnsi="Calibri"/>
          <w:color w:val="00B050"/>
        </w:rPr>
      </w:pPr>
      <w:r>
        <w:rPr>
          <w:rFonts w:ascii="Calibri" w:hAnsi="Calibri"/>
          <w:color w:val="00B050"/>
        </w:rPr>
      </w:r>
    </w:p>
    <w:p>
      <w:pPr>
        <w:pStyle w:val="western"/>
        <w:spacing w:before="0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western"/>
        <w:spacing w:before="0" w:after="0"/>
        <w:rPr>
          <w:rFonts w:ascii="Calibri" w:hAnsi="Calibri"/>
        </w:rPr>
      </w:pPr>
      <w:r>
        <w:rPr>
          <w:rFonts w:ascii="Calibri" w:hAnsi="Calibri"/>
        </w:rPr>
      </w:r>
    </w:p>
    <w:p>
      <w:pPr>
        <w:pStyle w:val="western"/>
        <w:spacing w:before="0" w:after="0"/>
        <w:rPr>
          <w:rFonts w:ascii="Calibri" w:hAnsi="Calibri"/>
        </w:rPr>
      </w:pPr>
      <w:r>
        <w:rPr>
          <w:rFonts w:ascii="Calibri" w:hAnsi="Calibri"/>
        </w:rPr>
        <w:t>Période du XX/XX/XXXX au XX/XX/XXXX (reporting annuel à la date anniversaire du marché)</w:t>
      </w:r>
    </w:p>
    <w:p>
      <w:pPr>
        <w:pStyle w:val="western"/>
        <w:spacing w:before="0" w:after="0"/>
        <w:rPr>
          <w:rFonts w:ascii="Calibri" w:hAnsi="Calibri"/>
        </w:rPr>
      </w:pPr>
      <w:r>
        <w:rPr>
          <w:rFonts w:ascii="Calibri" w:hAnsi="Calibri"/>
        </w:rPr>
      </w:r>
    </w:p>
    <w:tbl>
      <w:tblPr>
        <w:tblStyle w:val="Grilledutableau"/>
        <w:tblW w:w="5000" w:type="pct"/>
        <w:jc w:val="left"/>
        <w:tblInd w:w="-71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866"/>
        <w:gridCol w:w="987"/>
        <w:gridCol w:w="987"/>
        <w:gridCol w:w="1439"/>
        <w:gridCol w:w="955"/>
        <w:gridCol w:w="820"/>
        <w:gridCol w:w="1235"/>
        <w:gridCol w:w="1359"/>
      </w:tblGrid>
      <w:tr>
        <w:trPr/>
        <w:tc>
          <w:tcPr>
            <w:tcW w:w="989" w:type="dxa"/>
            <w:vMerge w:val="restart"/>
            <w:tcBorders/>
            <w:vAlign w:val="center"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Norme Euro</w:t>
            </w:r>
          </w:p>
        </w:tc>
        <w:tc>
          <w:tcPr>
            <w:tcW w:w="866" w:type="dxa"/>
            <w:vMerge w:val="restart"/>
            <w:tcBorders/>
            <w:vAlign w:val="center"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Nb total de PL mobilisés</w:t>
            </w:r>
          </w:p>
        </w:tc>
        <w:tc>
          <w:tcPr>
            <w:tcW w:w="7782" w:type="dxa"/>
            <w:gridSpan w:val="7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Dont :</w:t>
            </w:r>
          </w:p>
        </w:tc>
      </w:tr>
      <w:tr>
        <w:trPr/>
        <w:tc>
          <w:tcPr>
            <w:tcW w:w="989" w:type="dxa"/>
            <w:vMerge w:val="continue"/>
            <w:tcBorders/>
          </w:tcPr>
          <w:p>
            <w:pPr>
              <w:pStyle w:val="BodyText"/>
              <w:widowControl/>
              <w:spacing w:before="120" w:after="120"/>
              <w:jc w:val="left"/>
              <w:rPr>
                <w:rFonts w:ascii="Calibri" w:hAnsi="Calibri" w:cs="Arial"/>
                <w:b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866" w:type="dxa"/>
            <w:vMerge w:val="continue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100 % électriques</w:t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à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hydrogène</w:t>
            </w:r>
          </w:p>
        </w:tc>
        <w:tc>
          <w:tcPr>
            <w:tcW w:w="143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électriques hybrides rechargeables de l’extérieur</w:t>
            </w:r>
          </w:p>
        </w:tc>
        <w:tc>
          <w:tcPr>
            <w:tcW w:w="95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au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gaz naturel (y.c. biogaz)</w:t>
            </w:r>
          </w:p>
        </w:tc>
        <w:tc>
          <w:tcPr>
            <w:tcW w:w="820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au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GPL</w:t>
            </w:r>
          </w:p>
        </w:tc>
        <w:tc>
          <w:tcPr>
            <w:tcW w:w="123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aux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biocarburants</w:t>
            </w:r>
          </w:p>
        </w:tc>
        <w:tc>
          <w:tcPr>
            <w:tcW w:w="135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 xml:space="preserve">Nb de PL mobilisés aux </w:t>
            </w:r>
            <w:r>
              <w:rPr>
                <w:rFonts w:cs="Arial" w:ascii="Calibri" w:hAnsi="Calibri"/>
                <w:b/>
                <w:bCs/>
                <w:kern w:val="0"/>
                <w:sz w:val="16"/>
                <w:lang w:val="fr-FR" w:bidi="ar-SA"/>
              </w:rPr>
              <w:t>carburants de synthèse ou paraffiniques</w:t>
            </w:r>
          </w:p>
        </w:tc>
      </w:tr>
      <w:tr>
        <w:trPr/>
        <w:tc>
          <w:tcPr>
            <w:tcW w:w="989" w:type="dxa"/>
            <w:tcBorders/>
            <w:vAlign w:val="center"/>
          </w:tcPr>
          <w:p>
            <w:pPr>
              <w:pStyle w:val="BodyText"/>
              <w:widowControl/>
              <w:spacing w:before="120" w:after="120"/>
              <w:jc w:val="left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>Euro VI</w:t>
            </w:r>
          </w:p>
        </w:tc>
        <w:tc>
          <w:tcPr>
            <w:tcW w:w="866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43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5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820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35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</w:tr>
      <w:tr>
        <w:trPr/>
        <w:tc>
          <w:tcPr>
            <w:tcW w:w="989" w:type="dxa"/>
            <w:tcBorders/>
            <w:vAlign w:val="center"/>
          </w:tcPr>
          <w:p>
            <w:pPr>
              <w:pStyle w:val="BodyText"/>
              <w:widowControl/>
              <w:spacing w:before="120" w:after="120"/>
              <w:jc w:val="left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>Euro V</w:t>
            </w:r>
          </w:p>
        </w:tc>
        <w:tc>
          <w:tcPr>
            <w:tcW w:w="866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43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5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820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35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</w:tr>
      <w:tr>
        <w:trPr/>
        <w:tc>
          <w:tcPr>
            <w:tcW w:w="989" w:type="dxa"/>
            <w:tcBorders/>
            <w:vAlign w:val="center"/>
          </w:tcPr>
          <w:p>
            <w:pPr>
              <w:pStyle w:val="BodyText"/>
              <w:widowControl/>
              <w:spacing w:before="120" w:after="120"/>
              <w:jc w:val="left"/>
              <w:rPr>
                <w:rFonts w:ascii="Calibri" w:hAnsi="Calibri"/>
                <w:kern w:val="0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  <w:t>Normes Euro antérieures</w:t>
            </w:r>
          </w:p>
        </w:tc>
        <w:tc>
          <w:tcPr>
            <w:tcW w:w="866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87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43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95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820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235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  <w:tc>
          <w:tcPr>
            <w:tcW w:w="1359" w:type="dxa"/>
            <w:tcBorders/>
          </w:tcPr>
          <w:p>
            <w:pPr>
              <w:pStyle w:val="BodyText"/>
              <w:widowControl/>
              <w:spacing w:before="120" w:after="120"/>
              <w:jc w:val="center"/>
              <w:rPr>
                <w:rFonts w:ascii="Calibri" w:hAnsi="Calibri" w:cs="Arial"/>
                <w:bCs/>
                <w:kern w:val="0"/>
                <w:sz w:val="16"/>
                <w:lang w:val="fr-FR" w:bidi="ar-SA"/>
              </w:rPr>
            </w:pPr>
            <w:r>
              <w:rPr>
                <w:rFonts w:cs="Arial" w:ascii="Calibri" w:hAnsi="Calibri"/>
                <w:bCs/>
                <w:kern w:val="0"/>
                <w:sz w:val="16"/>
                <w:lang w:val="fr-FR" w:bidi="ar-SA"/>
              </w:rPr>
            </w:r>
          </w:p>
        </w:tc>
      </w:tr>
    </w:tbl>
    <w:p>
      <w:pPr>
        <w:pStyle w:val="western"/>
        <w:spacing w:before="0" w:after="0"/>
        <w:ind w:left="-567"/>
        <w:rPr>
          <w:rFonts w:ascii="Calibri" w:hAnsi="Calibri"/>
        </w:rPr>
      </w:pPr>
      <w:r>
        <w:rPr>
          <w:rFonts w:ascii="Calibri" w:hAnsi="Calibri"/>
        </w:rPr>
        <w:t>PL : poids lourds</w:t>
      </w:r>
    </w:p>
    <w:p>
      <w:pPr>
        <w:pStyle w:val="Normal"/>
        <w:spacing w:before="0" w:after="120"/>
        <w:rPr>
          <w:rFonts w:ascii="Calibri" w:hAnsi="Calibri"/>
        </w:rPr>
      </w:pPr>
      <w:r>
        <w:rPr>
          <w:rFonts w:ascii="Calibri" w:hAnsi="Calibri"/>
        </w:rPr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709" w:top="1418" w:footer="709" w:bottom="766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1"/>
    <w:family w:val="auto"/>
    <w:pitch w:val="default"/>
  </w:font>
  <w:font w:name="Arial">
    <w:charset w:val="01"/>
    <w:family w:val="auto"/>
    <w:pitch w:val="default"/>
  </w:font>
  <w:font w:name="Arial Narrow">
    <w:charset w:val="01"/>
    <w:family w:val="auto"/>
    <w:pitch w:val="default"/>
  </w:font>
  <w:font w:name="Times New Roman">
    <w:charset w:val="01"/>
    <w:family w:val="auto"/>
    <w:pitch w:val="default"/>
  </w:font>
  <w:font w:name="Marianne">
    <w:charset w:val="01"/>
    <w:family w:val="auto"/>
    <w:pitch w:val="default"/>
  </w:font>
  <w:font w:name="Calibri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rPr>
        <w:sz w:val="16"/>
        <w:szCs w:val="16"/>
      </w:rPr>
    </w:pPr>
    <w:r>
      <w:rPr>
        <w:sz w:val="16"/>
        <w:szCs w:val="16"/>
      </w:rPr>
      <w:t xml:space="preserve">DAE-2022-AC-SOLIMPROD_Prestations d’impression </w:t>
      <w:tab/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0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pBdr>
        <w:top w:val="single" w:sz="4" w:space="1" w:color="000000"/>
      </w:pBdr>
      <w:rPr>
        <w:sz w:val="16"/>
        <w:szCs w:val="16"/>
      </w:rPr>
    </w:pPr>
    <w:r>
      <w:rPr>
        <w:sz w:val="16"/>
        <w:szCs w:val="16"/>
      </w:rPr>
      <w:t xml:space="preserve">DAE-2022-AC-SOLIMPROD_Prestations d’impression </w:t>
      <w:tab/>
      <w:tab/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PAGE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  <w:r>
      <w:rPr>
        <w:sz w:val="16"/>
        <w:szCs w:val="16"/>
      </w:rPr>
      <w:t>/</w:t>
    </w: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NUMPAGES \* ARABIC </w:instrText>
    </w:r>
    <w:r>
      <w:rPr>
        <w:sz w:val="16"/>
        <w:szCs w:val="16"/>
      </w:rPr>
      <w:fldChar w:fldCharType="separate"/>
    </w:r>
    <w:r>
      <w:rPr>
        <w:sz w:val="16"/>
        <w:szCs w:val="16"/>
      </w:rPr>
      <w:t>1</w:t>
    </w:r>
    <w:r>
      <w:rPr>
        <w:sz w:val="16"/>
        <w:szCs w:val="16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Intituldirection"/>
      <w:rPr>
        <w:rFonts w:ascii="Marianne" w:hAnsi="Marianne"/>
        <w:b w:val="false"/>
      </w:rPr>
    </w:pPr>
    <w:r>
      <w:rPr>
        <w:rFonts w:ascii="Marianne" w:hAnsi="Marianne"/>
      </w:rPr>
      <w:t xml:space="preserve"> </w:t>
    </w:r>
  </w:p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72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fr-F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b6b96"/>
    <w:pPr>
      <w:widowControl/>
      <w:bidi w:val="0"/>
      <w:spacing w:lineRule="auto" w:line="276" w:before="0" w:after="120"/>
      <w:jc w:val="both"/>
    </w:pPr>
    <w:rPr>
      <w:rFonts w:ascii="Arial" w:hAnsi="Arial" w:eastAsia="Calibri" w:cs="" w:cstheme="minorBidi" w:eastAsiaTheme="minorHAnsi"/>
      <w:color w:val="auto"/>
      <w:kern w:val="0"/>
      <w:sz w:val="20"/>
      <w:szCs w:val="22"/>
      <w:lang w:val="fr-FR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-tteCar" w:customStyle="1">
    <w:name w:val="En-tête Car"/>
    <w:basedOn w:val="DefaultParagraphFont"/>
    <w:uiPriority w:val="99"/>
    <w:qFormat/>
    <w:rsid w:val="00db6b96"/>
    <w:rPr>
      <w:rFonts w:ascii="Arial" w:hAnsi="Arial"/>
      <w:sz w:val="20"/>
    </w:rPr>
  </w:style>
  <w:style w:type="character" w:styleId="PieddepageCar" w:customStyle="1">
    <w:name w:val="Pied de page Car"/>
    <w:basedOn w:val="DefaultParagraphFont"/>
    <w:uiPriority w:val="99"/>
    <w:qFormat/>
    <w:rsid w:val="00db6b96"/>
    <w:rPr>
      <w:rFonts w:ascii="Arial" w:hAnsi="Arial"/>
      <w:sz w:val="20"/>
    </w:rPr>
  </w:style>
  <w:style w:type="character" w:styleId="CorpsdetexteCar" w:customStyle="1">
    <w:name w:val="Corps de texte Car"/>
    <w:basedOn w:val="DefaultParagraphFont"/>
    <w:qFormat/>
    <w:rsid w:val="00db6b96"/>
    <w:rPr>
      <w:rFonts w:ascii="Arial Narrow" w:hAnsi="Arial Narrow" w:eastAsia="Times New Roman" w:cs="Times New Roman"/>
      <w:sz w:val="24"/>
      <w:szCs w:val="24"/>
      <w:lang w:eastAsia="fr-FR"/>
    </w:rPr>
  </w:style>
  <w:style w:type="character" w:styleId="StandardCar" w:customStyle="1">
    <w:name w:val="Standard Car"/>
    <w:basedOn w:val="DefaultParagraphFont"/>
    <w:link w:val="Standard"/>
    <w:qFormat/>
    <w:rsid w:val="00db6b96"/>
    <w:rPr>
      <w:rFonts w:ascii="Times New Roman" w:hAnsi="Times New Roman" w:eastAsia="Times New Roman" w:cs="Times New Roman"/>
      <w:kern w:val="2"/>
      <w:sz w:val="24"/>
      <w:szCs w:val="24"/>
      <w:lang w:eastAsia="zh-CN"/>
    </w:rPr>
  </w:style>
  <w:style w:type="character" w:styleId="IntituldirectionCar" w:customStyle="1">
    <w:name w:val="Intitulé direction Car"/>
    <w:basedOn w:val="En-tteCar"/>
    <w:link w:val="Intituldirection"/>
    <w:qFormat/>
    <w:rsid w:val="00db6b96"/>
    <w:rPr>
      <w:rFonts w:ascii="Arial" w:hAnsi="Arial" w:eastAsia="Arial" w:cs="Arial"/>
      <w:b/>
      <w:bCs/>
      <w:sz w:val="24"/>
      <w:szCs w:val="24"/>
      <w:lang w:val="en-US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Marianne" w:hAnsi="Marianne" w:eastAsia="Microsoft YaHei" w:cs="Arial"/>
      <w:sz w:val="28"/>
      <w:szCs w:val="28"/>
    </w:rPr>
  </w:style>
  <w:style w:type="paragraph" w:styleId="BodyText">
    <w:name w:val="Body Text"/>
    <w:basedOn w:val="Normal"/>
    <w:link w:val="CorpsdetexteCar"/>
    <w:rsid w:val="00db6b96"/>
    <w:pPr>
      <w:spacing w:lineRule="auto" w:line="240" w:before="120" w:after="120"/>
    </w:pPr>
    <w:rPr>
      <w:rFonts w:ascii="Arial Narrow" w:hAnsi="Arial Narrow" w:eastAsia="Times New Roman" w:cs="Times New Roman"/>
      <w:sz w:val="24"/>
      <w:szCs w:val="24"/>
      <w:lang w:eastAsia="fr-FR"/>
    </w:rPr>
  </w:style>
  <w:style w:type="paragraph" w:styleId="List">
    <w:name w:val="List"/>
    <w:basedOn w:val="BodyText"/>
    <w:pPr/>
    <w:rPr>
      <w:rFonts w:ascii="Marianne" w:hAnsi="Marianne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Marianne" w:hAnsi="Marianne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Marianne" w:hAnsi="Marianne" w:cs="Arial"/>
    </w:rPr>
  </w:style>
  <w:style w:type="paragraph" w:styleId="western" w:customStyle="1">
    <w:name w:val="western"/>
    <w:basedOn w:val="Normal"/>
    <w:uiPriority w:val="99"/>
    <w:qFormat/>
    <w:rsid w:val="00db6b96"/>
    <w:pPr>
      <w:spacing w:lineRule="auto" w:line="240" w:before="57" w:after="0"/>
    </w:pPr>
    <w:rPr>
      <w:rFonts w:eastAsia="Times New Roman" w:cs="Arial"/>
      <w:szCs w:val="20"/>
      <w:lang w:eastAsia="fr-FR"/>
    </w:rPr>
  </w:style>
  <w:style w:type="paragraph" w:styleId="Standard" w:customStyle="1">
    <w:name w:val="Standard"/>
    <w:link w:val="StandardCar"/>
    <w:qFormat/>
    <w:rsid w:val="00db6b96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eastAsia="zh-CN" w:val="fr-FR" w:bidi="ar-SA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link w:val="En-tteCar"/>
    <w:uiPriority w:val="99"/>
    <w:unhideWhenUsed/>
    <w:rsid w:val="00db6b9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PieddepageCar"/>
    <w:uiPriority w:val="99"/>
    <w:unhideWhenUsed/>
    <w:rsid w:val="00db6b9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Intituldirection" w:customStyle="1">
    <w:name w:val="Intitulé direction"/>
    <w:basedOn w:val="Header"/>
    <w:next w:val="BodyText"/>
    <w:link w:val="IntituldirectionCar"/>
    <w:qFormat/>
    <w:rsid w:val="00db6b96"/>
    <w:pPr>
      <w:widowControl w:val="false"/>
      <w:tabs>
        <w:tab w:val="clear" w:pos="4536"/>
        <w:tab w:val="clear" w:pos="9072"/>
        <w:tab w:val="right" w:pos="9026" w:leader="none"/>
      </w:tabs>
      <w:jc w:val="right"/>
    </w:pPr>
    <w:rPr>
      <w:rFonts w:eastAsia="Arial" w:cs="Arial"/>
      <w:b/>
      <w:bCs/>
      <w:sz w:val="24"/>
      <w:szCs w:val="24"/>
      <w:lang w:val="en-US"/>
    </w:rPr>
  </w:style>
  <w:style w:type="numbering" w:styleId="Pasdeliste" w:default="1">
    <w:name w:val="Pas de liste"/>
    <w:uiPriority w:val="99"/>
    <w:semiHidden/>
    <w:unhideWhenUsed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db6b96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LibreOffice/24.2.5.2$Windows_X86_64 LibreOffice_project/bffef4ea93e59bebbeaf7f431bb02b1a39ee8a59</Application>
  <AppVersion>15.0000</AppVersion>
  <Pages>1</Pages>
  <Words>108</Words>
  <Characters>597</Characters>
  <CharactersWithSpaces>704</CharactersWithSpaces>
  <Paragraphs>1</Paragraphs>
  <Company>Secrétariat Général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2025-05-06T10:24:23Z</dcterms:created>
  <dc:creator/>
  <dc:description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