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
    <w:p>
      <w:pPr>
        <w:jc w:val="center"/>
        <w:rPr>
          <w:rFonts w:cstheme="minorHAnsi"/>
          <w:b/>
          <w:bCs/>
          <w:sz w:val="28"/>
          <w:szCs w:val="28"/>
        </w:rPr>
      </w:pPr>
      <w:r>
        <w:rPr>
          <w:rFonts w:cstheme="minorHAnsi"/>
          <w:b/>
          <w:bCs/>
          <w:sz w:val="28"/>
          <w:szCs w:val="28"/>
        </w:rPr>
        <w:t>Marché de prestations intellectuelles pour une mission d’assistance mission d’assistance à la conduite d’opération dans le cadre de la passation et du suivi d’exécution d’un marché public global de performances (MPGP)</w:t>
      </w:r>
    </w:p>
    <w:p>
      <w:pPr>
        <w:jc w:val="center"/>
        <w:rPr>
          <w:rFonts w:cstheme="minorHAnsi"/>
          <w:b/>
          <w:bCs/>
          <w:sz w:val="28"/>
          <w:szCs w:val="28"/>
        </w:rPr>
      </w:pPr>
    </w:p>
    <w:p>
      <w:pPr>
        <w:jc w:val="center"/>
        <w:rPr>
          <w:b/>
          <w:bCs/>
          <w:sz w:val="28"/>
          <w:szCs w:val="28"/>
        </w:rPr>
      </w:pPr>
      <w:r>
        <w:rPr>
          <w:b/>
          <w:bCs/>
          <w:sz w:val="28"/>
          <w:szCs w:val="28"/>
        </w:rPr>
        <w:t>REGLEMENT DE LA CONSULTATION</w:t>
      </w:r>
    </w:p>
    <w:p>
      <w:pPr>
        <w:pStyle w:val="Citationintense"/>
        <w:rPr>
          <w:b/>
          <w:bCs/>
          <w:sz w:val="32"/>
          <w:szCs w:val="32"/>
        </w:rPr>
      </w:pPr>
      <w:r>
        <w:rPr>
          <w:b/>
          <w:bCs/>
          <w:sz w:val="32"/>
          <w:szCs w:val="32"/>
        </w:rPr>
        <w:t>ANNEXE 3 - Cadre de réponse valant offre technique du candidat</w:t>
      </w:r>
    </w:p>
    <w:p>
      <w:pPr>
        <w:jc w:val="center"/>
        <w:rPr>
          <w:rFonts w:ascii="Arial" w:hAnsi="Arial" w:cs="Arial"/>
          <w:b/>
          <w:bCs/>
          <w:sz w:val="28"/>
          <w:szCs w:val="28"/>
        </w:rPr>
      </w:pPr>
    </w:p>
    <w:p>
      <w:pPr>
        <w:jc w:val="center"/>
        <w:rPr>
          <w:rFonts w:ascii="Arial" w:hAnsi="Arial" w:cs="Arial"/>
          <w:b/>
          <w:bCs/>
          <w:sz w:val="28"/>
          <w:szCs w:val="28"/>
        </w:rPr>
      </w:pPr>
    </w:p>
    <w:p>
      <w:pPr>
        <w:jc w:val="center"/>
        <w:rPr>
          <w:rFonts w:ascii="Arial" w:hAnsi="Arial" w:cs="Arial"/>
          <w:b/>
          <w:bCs/>
          <w:sz w:val="28"/>
          <w:szCs w:val="28"/>
        </w:rPr>
      </w:pPr>
    </w:p>
    <w:p>
      <w:pPr>
        <w:jc w:val="right"/>
        <w:rPr>
          <w:rFonts w:ascii="Arial" w:hAnsi="Arial" w:cs="Arial"/>
          <w:b/>
          <w:bCs/>
        </w:rPr>
      </w:pPr>
      <w:r>
        <w:rPr>
          <w:rFonts w:ascii="Arial" w:hAnsi="Arial" w:cs="Arial"/>
          <w:b/>
          <w:bCs/>
        </w:rPr>
        <w:t>A compléter par le candidat</w:t>
      </w:r>
    </w:p>
    <w:p>
      <w:pPr>
        <w:jc w:val="right"/>
        <w:rPr>
          <w:rFonts w:ascii="Arial" w:hAnsi="Arial" w:cs="Arial"/>
          <w:b/>
          <w:bCs/>
        </w:rPr>
      </w:pPr>
      <w:r>
        <w:rPr>
          <w:rFonts w:ascii="Arial" w:hAnsi="Arial" w:cs="Arial"/>
          <w:b/>
          <w:bCs/>
        </w:rPr>
        <w:t xml:space="preserve">Un seul cadre de réponse doit être rendu même en cas de groupement </w:t>
      </w:r>
    </w:p>
    <w:p>
      <w:pPr>
        <w:rPr>
          <w:rFonts w:ascii="Arial" w:hAnsi="Arial" w:cs="Arial"/>
          <w:b/>
          <w:bCs/>
        </w:rPr>
      </w:pPr>
    </w:p>
    <w:p>
      <w:pPr>
        <w:rPr>
          <w:rFonts w:ascii="Arial" w:hAnsi="Arial" w:cs="Arial"/>
          <w:b/>
          <w:bCs/>
        </w:rPr>
      </w:pPr>
    </w:p>
    <w:p>
      <w:pPr>
        <w:rPr>
          <w:rFonts w:cstheme="minorHAnsi"/>
          <w:b/>
          <w:bCs/>
          <w:color w:val="2F5496" w:themeColor="accent1" w:themeShade="BF"/>
          <w:sz w:val="32"/>
          <w:szCs w:val="32"/>
          <w:u w:val="single"/>
        </w:rPr>
      </w:pPr>
      <w:r>
        <w:rPr>
          <w:rFonts w:cstheme="minorHAnsi"/>
          <w:b/>
          <w:bCs/>
          <w:color w:val="2F5496" w:themeColor="accent1" w:themeShade="BF"/>
          <w:sz w:val="32"/>
          <w:szCs w:val="32"/>
          <w:u w:val="single"/>
        </w:rPr>
        <w:t xml:space="preserve">Note explicative </w:t>
      </w:r>
    </w:p>
    <w:p>
      <w:pPr>
        <w:rPr>
          <w:rFonts w:cstheme="minorHAnsi"/>
          <w:bCs/>
          <w:sz w:val="24"/>
          <w:szCs w:val="24"/>
        </w:rPr>
      </w:pPr>
      <w:r>
        <w:rPr>
          <w:rFonts w:cstheme="minorHAnsi"/>
          <w:bCs/>
          <w:sz w:val="24"/>
        </w:rPr>
        <w:t xml:space="preserve">La présente trame de ce mémoire qui est à compléter obligatoirement par les candidats doit permettre d’étudier la valeur technique </w:t>
      </w:r>
      <w:r>
        <w:rPr>
          <w:rFonts w:cstheme="minorHAnsi"/>
          <w:bCs/>
          <w:sz w:val="24"/>
          <w:szCs w:val="24"/>
        </w:rPr>
        <w:t>et la disposition environnemental des offres.</w:t>
      </w:r>
    </w:p>
    <w:p>
      <w:pPr>
        <w:autoSpaceDE w:val="0"/>
        <w:autoSpaceDN w:val="0"/>
        <w:adjustRightInd w:val="0"/>
        <w:spacing w:after="0" w:line="240" w:lineRule="auto"/>
        <w:rPr>
          <w:rFonts w:cstheme="minorHAnsi"/>
          <w:bCs/>
          <w:sz w:val="24"/>
          <w:szCs w:val="24"/>
        </w:rPr>
      </w:pPr>
      <w:r>
        <w:rPr>
          <w:rFonts w:cstheme="minorHAnsi"/>
          <w:bCs/>
          <w:sz w:val="24"/>
          <w:szCs w:val="24"/>
        </w:rPr>
        <w:t>Les candidats doivent adopter une rédaction précise et synthétique afin de faciliter l’analyse de l’offre par la personne publique. Les éléments trop génériques de présentation, les trop nombreuses références ou les éléments hors sujets sont à éviter autant que possible, le document doit être rédigé de façon personnalisée pour le présent marché.</w:t>
      </w:r>
    </w:p>
    <w:p>
      <w:pPr>
        <w:autoSpaceDE w:val="0"/>
        <w:autoSpaceDN w:val="0"/>
        <w:adjustRightInd w:val="0"/>
        <w:spacing w:after="0" w:line="240" w:lineRule="auto"/>
        <w:rPr>
          <w:rFonts w:cstheme="minorHAnsi"/>
          <w:bCs/>
          <w:sz w:val="24"/>
          <w:szCs w:val="24"/>
        </w:rPr>
      </w:pPr>
    </w:p>
    <w:p>
      <w:pPr>
        <w:rPr>
          <w:rFonts w:cstheme="minorHAnsi"/>
          <w:bCs/>
          <w:sz w:val="24"/>
          <w:szCs w:val="24"/>
        </w:rPr>
      </w:pPr>
      <w:r>
        <w:rPr>
          <w:rFonts w:cstheme="minorHAnsi"/>
          <w:bCs/>
          <w:sz w:val="24"/>
          <w:szCs w:val="24"/>
        </w:rPr>
        <w:t>Le cadre de réponse recommandera un nombre de pages maximum à ne pas dépasser pour chaque réponse. Son niveau de détail devra permettre de comprendre le contenu technique de l’offre.</w:t>
      </w:r>
    </w:p>
    <w:p>
      <w:pPr>
        <w:rPr>
          <w:rFonts w:cstheme="minorHAnsi"/>
          <w:bCs/>
          <w:sz w:val="24"/>
          <w:szCs w:val="24"/>
        </w:rPr>
      </w:pPr>
      <w:r>
        <w:rPr>
          <w:rFonts w:cstheme="minorHAnsi"/>
          <w:bCs/>
          <w:sz w:val="24"/>
          <w:szCs w:val="24"/>
        </w:rPr>
        <w:t>Il est recommandé d’utiliser la police Calibri (Corps) en taille 12 si possible.</w:t>
      </w:r>
    </w:p>
    <w:p>
      <w:pPr>
        <w:rPr>
          <w:rFonts w:cstheme="minorHAnsi"/>
          <w:bCs/>
          <w:sz w:val="24"/>
          <w:szCs w:val="24"/>
        </w:rPr>
      </w:pPr>
      <w:r>
        <w:rPr>
          <w:rFonts w:cstheme="minorHAnsi"/>
          <w:bCs/>
          <w:sz w:val="24"/>
          <w:szCs w:val="24"/>
        </w:rPr>
        <w:t>Le cadre de réponse est un document contractuel. Il deviendra une annexe de l’acte d’engagement, signée par le titulaire du marché.</w:t>
      </w:r>
    </w:p>
    <w:p>
      <w:pPr>
        <w:autoSpaceDE w:val="0"/>
        <w:autoSpaceDN w:val="0"/>
        <w:adjustRightInd w:val="0"/>
        <w:spacing w:after="0" w:line="240" w:lineRule="auto"/>
        <w:rPr>
          <w:rFonts w:cstheme="minorHAnsi"/>
          <w:bCs/>
          <w:sz w:val="24"/>
          <w:szCs w:val="24"/>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tabs>
          <w:tab w:val="left" w:pos="1305"/>
        </w:tabs>
        <w:rPr>
          <w:rFonts w:ascii="Arial" w:hAnsi="Arial" w:cs="Arial"/>
        </w:rPr>
      </w:pPr>
    </w:p>
    <w:p>
      <w:pPr>
        <w:pStyle w:val="Titre1"/>
        <w:numPr>
          <w:ilvl w:val="0"/>
          <w:numId w:val="5"/>
        </w:numPr>
        <w:rPr>
          <w:b/>
          <w:bCs/>
          <w:color w:val="000000" w:themeColor="text1"/>
          <w:u w:val="single"/>
        </w:rPr>
      </w:pPr>
      <w:r>
        <w:rPr>
          <w:b/>
          <w:bCs/>
          <w:color w:val="000000" w:themeColor="text1"/>
          <w:u w:val="single"/>
        </w:rPr>
        <w:t xml:space="preserve">La Valeur technique </w:t>
      </w:r>
    </w:p>
    <w:p>
      <w:pPr>
        <w:pStyle w:val="Titre1"/>
        <w:numPr>
          <w:ilvl w:val="0"/>
          <w:numId w:val="2"/>
        </w:numPr>
        <w:rPr>
          <w:b/>
          <w:bCs/>
        </w:rPr>
      </w:pPr>
      <w:r>
        <w:rPr>
          <w:b/>
          <w:bCs/>
        </w:rPr>
        <w:t>Cohérence de l’organisation et du calendrier envisagés, la qualification et la compétence des personnes proposées pour l’exécution du marché au regard de la prestation à exécuter pour répondre spécifiquement au besoin et sécuriser la maîtrise d’ouvrage – Sous-critère pondéré à 40%</w:t>
      </w:r>
    </w:p>
    <w:p/>
    <w:p>
      <w:pPr>
        <w:rPr>
          <w:rFonts w:cs="Arial"/>
          <w:i/>
        </w:rPr>
      </w:pPr>
      <w:r>
        <w:rPr>
          <w:rFonts w:cs="Arial"/>
          <w:i/>
        </w:rPr>
        <w:t>Le présent item doit permettre au candidat de proposer une méthodologie organisationnelle et le pilotage des prestations objet du marché.</w:t>
      </w:r>
    </w:p>
    <w:p>
      <w:pPr>
        <w:spacing w:before="120"/>
        <w:rPr>
          <w:rFonts w:cs="Arial"/>
          <w:i/>
        </w:rPr>
      </w:pPr>
      <w:r>
        <w:rPr>
          <w:rFonts w:cs="Arial"/>
          <w:i/>
        </w:rPr>
        <w:t>Il doit servir au candidat à :</w:t>
      </w:r>
    </w:p>
    <w:p>
      <w:pPr>
        <w:numPr>
          <w:ilvl w:val="0"/>
          <w:numId w:val="8"/>
        </w:numPr>
        <w:suppressAutoHyphens/>
        <w:spacing w:after="0" w:line="240" w:lineRule="auto"/>
        <w:jc w:val="both"/>
        <w:rPr>
          <w:rFonts w:cs="Arial"/>
          <w:i/>
        </w:rPr>
      </w:pPr>
      <w:r>
        <w:rPr>
          <w:rFonts w:cs="Arial"/>
          <w:i/>
        </w:rPr>
        <w:t>Démontrer que ces moyens humains sont en adéquation avec des objectifs des missions.</w:t>
      </w:r>
    </w:p>
    <w:p>
      <w:pPr>
        <w:numPr>
          <w:ilvl w:val="0"/>
          <w:numId w:val="8"/>
        </w:numPr>
        <w:suppressAutoHyphens/>
        <w:spacing w:after="0" w:line="240" w:lineRule="auto"/>
        <w:jc w:val="both"/>
        <w:rPr>
          <w:rFonts w:cs="Arial"/>
          <w:i/>
        </w:rPr>
      </w:pPr>
      <w:r>
        <w:rPr>
          <w:rFonts w:cs="Arial"/>
          <w:i/>
        </w:rPr>
        <w:t>Expliquer clairement le fonctionnement de l’effectif dédié</w:t>
      </w:r>
    </w:p>
    <w:p>
      <w:pPr>
        <w:numPr>
          <w:ilvl w:val="0"/>
          <w:numId w:val="8"/>
        </w:numPr>
        <w:suppressAutoHyphens/>
        <w:spacing w:after="0" w:line="240" w:lineRule="auto"/>
        <w:jc w:val="both"/>
        <w:rPr>
          <w:rFonts w:cs="Arial"/>
          <w:i/>
        </w:rPr>
      </w:pPr>
      <w:r>
        <w:rPr>
          <w:rFonts w:cs="Arial"/>
          <w:i/>
        </w:rPr>
        <w:t>Fournir un calendrier détaillé des activités prévues</w:t>
      </w:r>
    </w:p>
    <w:p>
      <w:pPr>
        <w:numPr>
          <w:ilvl w:val="0"/>
          <w:numId w:val="8"/>
        </w:numPr>
        <w:suppressAutoHyphens/>
        <w:spacing w:after="0" w:line="240" w:lineRule="auto"/>
        <w:jc w:val="both"/>
        <w:rPr>
          <w:rFonts w:cs="Arial"/>
          <w:i/>
        </w:rPr>
      </w:pPr>
      <w:r>
        <w:rPr>
          <w:rFonts w:cs="Arial"/>
          <w:i/>
        </w:rPr>
        <w:t>Présenter une estimation de la charge et du délai de réalisation par phase de projet</w:t>
      </w:r>
    </w:p>
    <w:p>
      <w:pPr>
        <w:suppressAutoHyphens/>
        <w:spacing w:after="0" w:line="240" w:lineRule="auto"/>
        <w:jc w:val="both"/>
        <w:rPr>
          <w:rFonts w:cs="Arial"/>
          <w:b/>
          <w:bCs/>
          <w:i/>
        </w:rPr>
      </w:pPr>
      <w:r>
        <w:rPr>
          <w:rFonts w:cs="Arial"/>
          <w:b/>
          <w:bCs/>
          <w:i/>
        </w:rPr>
        <w:t>(4 pages)</w:t>
      </w:r>
    </w:p>
    <w:p>
      <w:pPr>
        <w:suppressAutoHyphens/>
        <w:spacing w:after="0" w:line="240" w:lineRule="auto"/>
        <w:jc w:val="both"/>
        <w:rPr>
          <w:rFonts w:cs="Arial"/>
          <w:b/>
          <w:bCs/>
          <w:i/>
        </w:rPr>
      </w:pPr>
    </w:p>
    <w:p>
      <w:pPr>
        <w:suppressAutoHyphens/>
        <w:spacing w:after="0" w:line="240" w:lineRule="auto"/>
        <w:jc w:val="both"/>
        <w:rPr>
          <w:rFonts w:eastAsia="Times New Roman" w:cs="Calibri"/>
          <w:lang w:eastAsia="fr-FR"/>
        </w:rPr>
      </w:pPr>
      <w:r>
        <w:rPr>
          <w:rFonts w:eastAsia="Times New Roman" w:cs="Calibri"/>
          <w:lang w:eastAsia="fr-FR"/>
        </w:rPr>
        <w:t>Compléter le tableau concernant les moyens humains (RC_ANNEXE4_MOYENS_HUMAINS_COP)</w:t>
      </w: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r>
        <w:rPr>
          <w:rFonts w:eastAsia="Times New Roman" w:cs="Calibri"/>
          <w:lang w:eastAsia="fr-FR"/>
        </w:rPr>
        <w:t>Fournir les CV détaillés des membres de l’équipe avec leurs références et renseigner le tableau suivant :</w:t>
      </w: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p>
      <w:pPr>
        <w:suppressAutoHyphens/>
        <w:spacing w:after="0" w:line="240" w:lineRule="auto"/>
        <w:jc w:val="both"/>
        <w:rPr>
          <w:rFonts w:eastAsia="Times New Roman" w:cs="Calibri"/>
          <w:lang w:eastAsia="fr-FR"/>
        </w:rPr>
      </w:pPr>
    </w:p>
    <w:tbl>
      <w:tblPr>
        <w:tblW w:w="1338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5"/>
        <w:gridCol w:w="913"/>
        <w:gridCol w:w="1125"/>
        <w:gridCol w:w="860"/>
        <w:gridCol w:w="6379"/>
      </w:tblGrid>
      <w:tr>
        <w:trPr>
          <w:trHeight w:val="630"/>
        </w:trPr>
        <w:tc>
          <w:tcPr>
            <w:tcW w:w="4105" w:type="dxa"/>
            <w:vMerge w:val="restart"/>
            <w:shd w:val="clear" w:color="auto" w:fill="F2F2F2" w:themeFill="background1" w:themeFillShade="F2"/>
            <w:vAlign w:val="center"/>
            <w:hideMark/>
          </w:tcPr>
          <w:p>
            <w:pPr>
              <w:spacing w:after="0"/>
              <w:jc w:val="center"/>
              <w:rPr>
                <w:rFonts w:ascii="Arial" w:hAnsi="Arial" w:cs="Arial"/>
                <w:b/>
                <w:bCs/>
                <w:color w:val="1F3864" w:themeColor="accent1" w:themeShade="80"/>
                <w:szCs w:val="20"/>
              </w:rPr>
            </w:pPr>
            <w:r>
              <w:rPr>
                <w:rFonts w:ascii="Arial" w:hAnsi="Arial" w:cs="Arial"/>
                <w:b/>
                <w:bCs/>
                <w:color w:val="1F3864" w:themeColor="accent1" w:themeShade="80"/>
                <w:szCs w:val="20"/>
              </w:rPr>
              <w:t xml:space="preserve">Profils </w:t>
            </w:r>
          </w:p>
          <w:p>
            <w:pPr>
              <w:spacing w:after="0"/>
              <w:jc w:val="center"/>
              <w:rPr>
                <w:rFonts w:ascii="Arial" w:hAnsi="Arial" w:cs="Arial"/>
                <w:b/>
                <w:bCs/>
                <w:color w:val="1F3864" w:themeColor="accent1" w:themeShade="80"/>
                <w:szCs w:val="20"/>
              </w:rPr>
            </w:pPr>
            <w:r>
              <w:rPr>
                <w:rFonts w:ascii="Arial" w:hAnsi="Arial" w:cs="Arial"/>
                <w:b/>
                <w:bCs/>
                <w:color w:val="1F3864" w:themeColor="accent1" w:themeShade="80"/>
                <w:sz w:val="18"/>
                <w:szCs w:val="18"/>
              </w:rPr>
              <w:t>( architectes ,économistes, ingénieur …)</w:t>
            </w:r>
          </w:p>
          <w:p>
            <w:pPr>
              <w:spacing w:after="0"/>
              <w:rPr>
                <w:rFonts w:ascii="Arial" w:hAnsi="Arial" w:cs="Arial"/>
                <w:b/>
                <w:bCs/>
                <w:color w:val="1F3864" w:themeColor="accent1" w:themeShade="80"/>
                <w:szCs w:val="20"/>
              </w:rPr>
            </w:pPr>
          </w:p>
        </w:tc>
        <w:tc>
          <w:tcPr>
            <w:tcW w:w="2898" w:type="dxa"/>
            <w:gridSpan w:val="3"/>
            <w:shd w:val="clear" w:color="auto" w:fill="F2F2F2" w:themeFill="background1" w:themeFillShade="F2"/>
            <w:vAlign w:val="center"/>
            <w:hideMark/>
          </w:tcPr>
          <w:p>
            <w:pPr>
              <w:spacing w:after="0"/>
              <w:jc w:val="center"/>
              <w:rPr>
                <w:rFonts w:ascii="Arial" w:hAnsi="Arial" w:cs="Arial"/>
                <w:b/>
                <w:bCs/>
                <w:color w:val="1F3864" w:themeColor="accent1" w:themeShade="80"/>
                <w:szCs w:val="20"/>
              </w:rPr>
            </w:pPr>
            <w:r>
              <w:rPr>
                <w:rFonts w:ascii="Arial" w:hAnsi="Arial" w:cs="Arial"/>
                <w:b/>
                <w:bCs/>
                <w:color w:val="1F3864" w:themeColor="accent1" w:themeShade="80"/>
                <w:szCs w:val="20"/>
              </w:rPr>
              <w:t xml:space="preserve">Nb de Profils </w:t>
            </w:r>
          </w:p>
        </w:tc>
        <w:tc>
          <w:tcPr>
            <w:tcW w:w="6379" w:type="dxa"/>
            <w:vMerge w:val="restart"/>
            <w:shd w:val="clear" w:color="auto" w:fill="F2F2F2" w:themeFill="background1" w:themeFillShade="F2"/>
            <w:vAlign w:val="center"/>
            <w:hideMark/>
          </w:tcPr>
          <w:p>
            <w:pPr>
              <w:spacing w:after="0"/>
              <w:jc w:val="center"/>
              <w:rPr>
                <w:rFonts w:ascii="Arial" w:hAnsi="Arial" w:cs="Arial"/>
                <w:b/>
                <w:bCs/>
                <w:color w:val="1F3864" w:themeColor="accent1" w:themeShade="80"/>
                <w:szCs w:val="20"/>
              </w:rPr>
            </w:pPr>
            <w:r>
              <w:rPr>
                <w:rFonts w:ascii="Arial" w:hAnsi="Arial" w:cs="Arial"/>
                <w:b/>
                <w:bCs/>
                <w:color w:val="1F3864" w:themeColor="accent1" w:themeShade="80"/>
                <w:szCs w:val="20"/>
              </w:rPr>
              <w:t>Titres /Certifications</w:t>
            </w:r>
          </w:p>
        </w:tc>
      </w:tr>
      <w:tr>
        <w:trPr>
          <w:trHeight w:val="330"/>
        </w:trPr>
        <w:tc>
          <w:tcPr>
            <w:tcW w:w="4105" w:type="dxa"/>
            <w:vMerge/>
            <w:shd w:val="clear" w:color="auto" w:fill="F2F2F2" w:themeFill="background1" w:themeFillShade="F2"/>
            <w:vAlign w:val="center"/>
            <w:hideMark/>
          </w:tcPr>
          <w:p>
            <w:pPr>
              <w:spacing w:after="0"/>
              <w:rPr>
                <w:rFonts w:ascii="Arial" w:hAnsi="Arial" w:cs="Arial"/>
                <w:b/>
                <w:bCs/>
                <w:color w:val="F2F2F2"/>
                <w:szCs w:val="20"/>
              </w:rPr>
            </w:pPr>
          </w:p>
        </w:tc>
        <w:tc>
          <w:tcPr>
            <w:tcW w:w="913" w:type="dxa"/>
            <w:shd w:val="clear" w:color="auto" w:fill="F2F2F2" w:themeFill="background1" w:themeFillShade="F2"/>
            <w:vAlign w:val="center"/>
            <w:hideMark/>
          </w:tcPr>
          <w:p>
            <w:pPr>
              <w:spacing w:after="0"/>
              <w:rPr>
                <w:rFonts w:ascii="Arial" w:hAnsi="Arial" w:cs="Arial"/>
                <w:b/>
                <w:bCs/>
                <w:color w:val="1F3864" w:themeColor="accent1" w:themeShade="80"/>
                <w:szCs w:val="20"/>
              </w:rPr>
            </w:pPr>
            <w:r>
              <w:rPr>
                <w:rFonts w:ascii="Arial" w:hAnsi="Arial" w:cs="Arial"/>
                <w:b/>
                <w:bCs/>
                <w:color w:val="1F3864" w:themeColor="accent1" w:themeShade="80"/>
                <w:szCs w:val="20"/>
              </w:rPr>
              <w:t>Junior</w:t>
            </w:r>
          </w:p>
        </w:tc>
        <w:tc>
          <w:tcPr>
            <w:tcW w:w="1125" w:type="dxa"/>
            <w:shd w:val="clear" w:color="auto" w:fill="F2F2F2" w:themeFill="background1" w:themeFillShade="F2"/>
            <w:vAlign w:val="center"/>
            <w:hideMark/>
          </w:tcPr>
          <w:p>
            <w:pPr>
              <w:spacing w:after="0"/>
              <w:rPr>
                <w:rFonts w:ascii="Arial" w:hAnsi="Arial" w:cs="Arial"/>
                <w:b/>
                <w:bCs/>
                <w:color w:val="1F3864" w:themeColor="accent1" w:themeShade="80"/>
                <w:szCs w:val="20"/>
              </w:rPr>
            </w:pPr>
            <w:r>
              <w:rPr>
                <w:rFonts w:ascii="Arial" w:hAnsi="Arial" w:cs="Arial"/>
                <w:b/>
                <w:bCs/>
                <w:color w:val="1F3864" w:themeColor="accent1" w:themeShade="80"/>
                <w:szCs w:val="20"/>
              </w:rPr>
              <w:t>Senior</w:t>
            </w:r>
          </w:p>
        </w:tc>
        <w:tc>
          <w:tcPr>
            <w:tcW w:w="860" w:type="dxa"/>
            <w:shd w:val="clear" w:color="auto" w:fill="F2F2F2" w:themeFill="background1" w:themeFillShade="F2"/>
            <w:vAlign w:val="center"/>
            <w:hideMark/>
          </w:tcPr>
          <w:p>
            <w:pPr>
              <w:spacing w:after="0"/>
              <w:rPr>
                <w:rFonts w:ascii="Arial" w:hAnsi="Arial" w:cs="Arial"/>
                <w:b/>
                <w:bCs/>
                <w:color w:val="1F3864" w:themeColor="accent1" w:themeShade="80"/>
                <w:szCs w:val="20"/>
              </w:rPr>
            </w:pPr>
            <w:r>
              <w:rPr>
                <w:rFonts w:ascii="Arial" w:hAnsi="Arial" w:cs="Arial"/>
                <w:b/>
                <w:bCs/>
                <w:color w:val="1F3864" w:themeColor="accent1" w:themeShade="80"/>
                <w:szCs w:val="20"/>
              </w:rPr>
              <w:t>Expert</w:t>
            </w:r>
          </w:p>
        </w:tc>
        <w:tc>
          <w:tcPr>
            <w:tcW w:w="6379" w:type="dxa"/>
            <w:vMerge/>
            <w:vAlign w:val="center"/>
            <w:hideMark/>
          </w:tcPr>
          <w:p>
            <w:pPr>
              <w:spacing w:after="0"/>
              <w:rPr>
                <w:rFonts w:ascii="Arial" w:hAnsi="Arial" w:cs="Arial"/>
                <w:b/>
                <w:bCs/>
                <w:color w:val="1F3864" w:themeColor="accent1" w:themeShade="80"/>
                <w:szCs w:val="20"/>
              </w:rPr>
            </w:pPr>
          </w:p>
        </w:tc>
      </w:tr>
      <w:tr>
        <w:trPr>
          <w:trHeight w:val="315"/>
        </w:trPr>
        <w:tc>
          <w:tcPr>
            <w:tcW w:w="4105" w:type="dxa"/>
            <w:shd w:val="clear" w:color="auto" w:fill="auto"/>
            <w:vAlign w:val="center"/>
            <w:hideMark/>
          </w:tcPr>
          <w:p>
            <w:pPr>
              <w:spacing w:after="0"/>
              <w:ind w:firstLineChars="100" w:firstLine="220"/>
              <w:rPr>
                <w:rFonts w:ascii="Arial" w:hAnsi="Arial" w:cs="Arial"/>
                <w:color w:val="000000"/>
                <w:szCs w:val="20"/>
              </w:rPr>
            </w:pPr>
          </w:p>
        </w:tc>
        <w:tc>
          <w:tcPr>
            <w:tcW w:w="913" w:type="dxa"/>
            <w:shd w:val="clear" w:color="auto" w:fill="auto"/>
            <w:vAlign w:val="center"/>
            <w:hideMark/>
          </w:tcPr>
          <w:p>
            <w:pPr>
              <w:spacing w:after="0"/>
              <w:rPr>
                <w:rFonts w:ascii="Arial" w:hAnsi="Arial" w:cs="Arial"/>
                <w:color w:val="1F3864" w:themeColor="accent1" w:themeShade="80"/>
                <w:szCs w:val="20"/>
              </w:rPr>
            </w:pPr>
            <w:r>
              <w:rPr>
                <w:rFonts w:ascii="Arial" w:hAnsi="Arial" w:cs="Arial"/>
                <w:color w:val="1F3864" w:themeColor="accent1" w:themeShade="80"/>
                <w:szCs w:val="20"/>
              </w:rPr>
              <w:t> </w:t>
            </w:r>
          </w:p>
        </w:tc>
        <w:tc>
          <w:tcPr>
            <w:tcW w:w="1125" w:type="dxa"/>
            <w:shd w:val="clear" w:color="auto" w:fill="auto"/>
            <w:vAlign w:val="center"/>
            <w:hideMark/>
          </w:tcPr>
          <w:p>
            <w:pPr>
              <w:spacing w:after="0"/>
              <w:rPr>
                <w:rFonts w:ascii="Arial" w:hAnsi="Arial" w:cs="Arial"/>
                <w:color w:val="1F3864" w:themeColor="accent1" w:themeShade="80"/>
                <w:szCs w:val="20"/>
              </w:rPr>
            </w:pPr>
            <w:r>
              <w:rPr>
                <w:rFonts w:ascii="Arial" w:hAnsi="Arial" w:cs="Arial"/>
                <w:color w:val="1F3864" w:themeColor="accent1" w:themeShade="80"/>
                <w:szCs w:val="20"/>
              </w:rPr>
              <w:t> </w:t>
            </w:r>
          </w:p>
        </w:tc>
        <w:tc>
          <w:tcPr>
            <w:tcW w:w="860" w:type="dxa"/>
            <w:shd w:val="clear" w:color="auto" w:fill="auto"/>
            <w:vAlign w:val="center"/>
            <w:hideMark/>
          </w:tcPr>
          <w:p>
            <w:pPr>
              <w:spacing w:after="0"/>
              <w:rPr>
                <w:rFonts w:ascii="Arial" w:hAnsi="Arial" w:cs="Arial"/>
                <w:color w:val="1F3864" w:themeColor="accent1" w:themeShade="80"/>
                <w:szCs w:val="20"/>
              </w:rPr>
            </w:pPr>
            <w:r>
              <w:rPr>
                <w:rFonts w:ascii="Arial" w:hAnsi="Arial" w:cs="Arial"/>
                <w:color w:val="1F3864" w:themeColor="accent1" w:themeShade="80"/>
                <w:szCs w:val="20"/>
              </w:rPr>
              <w:t> </w:t>
            </w:r>
          </w:p>
        </w:tc>
        <w:tc>
          <w:tcPr>
            <w:tcW w:w="6379" w:type="dxa"/>
            <w:shd w:val="clear" w:color="auto" w:fill="auto"/>
            <w:vAlign w:val="center"/>
            <w:hideMark/>
          </w:tcPr>
          <w:p>
            <w:pPr>
              <w:spacing w:after="0"/>
              <w:rPr>
                <w:rFonts w:ascii="Arial" w:hAnsi="Arial" w:cs="Arial"/>
                <w:color w:val="1F3864" w:themeColor="accent1" w:themeShade="80"/>
                <w:szCs w:val="20"/>
              </w:rPr>
            </w:pPr>
            <w:r>
              <w:rPr>
                <w:rFonts w:ascii="Arial" w:hAnsi="Arial" w:cs="Arial"/>
                <w:color w:val="1F3864" w:themeColor="accent1" w:themeShade="80"/>
                <w:szCs w:val="20"/>
              </w:rPr>
              <w:t> </w:t>
            </w:r>
          </w:p>
        </w:tc>
      </w:tr>
      <w:tr>
        <w:trPr>
          <w:trHeight w:val="315"/>
        </w:trPr>
        <w:tc>
          <w:tcPr>
            <w:tcW w:w="4105" w:type="dxa"/>
            <w:shd w:val="clear" w:color="auto" w:fill="auto"/>
            <w:vAlign w:val="center"/>
            <w:hideMark/>
          </w:tcPr>
          <w:p>
            <w:pPr>
              <w:spacing w:after="0"/>
              <w:ind w:firstLineChars="100" w:firstLine="220"/>
              <w:rPr>
                <w:rFonts w:ascii="Arial" w:hAnsi="Arial" w:cs="Arial"/>
                <w:color w:val="000000"/>
                <w:szCs w:val="20"/>
              </w:rPr>
            </w:pPr>
          </w:p>
        </w:tc>
        <w:tc>
          <w:tcPr>
            <w:tcW w:w="913"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c>
          <w:tcPr>
            <w:tcW w:w="1125"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c>
          <w:tcPr>
            <w:tcW w:w="860"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c>
          <w:tcPr>
            <w:tcW w:w="6379"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r>
      <w:tr>
        <w:trPr>
          <w:trHeight w:val="315"/>
        </w:trPr>
        <w:tc>
          <w:tcPr>
            <w:tcW w:w="4105" w:type="dxa"/>
            <w:shd w:val="clear" w:color="auto" w:fill="auto"/>
            <w:vAlign w:val="center"/>
          </w:tcPr>
          <w:p>
            <w:pPr>
              <w:spacing w:after="0"/>
              <w:ind w:firstLineChars="100" w:firstLine="220"/>
              <w:rPr>
                <w:rFonts w:ascii="Arial" w:hAnsi="Arial" w:cs="Arial"/>
                <w:color w:val="000000"/>
                <w:szCs w:val="20"/>
              </w:rPr>
            </w:pPr>
          </w:p>
        </w:tc>
        <w:tc>
          <w:tcPr>
            <w:tcW w:w="913"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c>
          <w:tcPr>
            <w:tcW w:w="1125"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c>
          <w:tcPr>
            <w:tcW w:w="860" w:type="dxa"/>
            <w:shd w:val="clear" w:color="auto" w:fill="auto"/>
            <w:vAlign w:val="center"/>
            <w:hideMark/>
          </w:tcPr>
          <w:p>
            <w:pPr>
              <w:spacing w:after="0"/>
              <w:rPr>
                <w:rFonts w:ascii="Arial" w:hAnsi="Arial" w:cs="Arial"/>
                <w:color w:val="000000"/>
                <w:szCs w:val="20"/>
              </w:rPr>
            </w:pPr>
            <w:r>
              <w:rPr>
                <w:rFonts w:ascii="Arial" w:hAnsi="Arial" w:cs="Arial"/>
                <w:color w:val="000000"/>
                <w:szCs w:val="20"/>
              </w:rPr>
              <w:t> </w:t>
            </w:r>
          </w:p>
        </w:tc>
        <w:tc>
          <w:tcPr>
            <w:tcW w:w="6379" w:type="dxa"/>
            <w:shd w:val="clear" w:color="auto" w:fill="auto"/>
            <w:vAlign w:val="center"/>
          </w:tcPr>
          <w:p>
            <w:pPr>
              <w:spacing w:after="0"/>
              <w:rPr>
                <w:rFonts w:ascii="Arial" w:hAnsi="Arial" w:cs="Arial"/>
                <w:color w:val="000000"/>
                <w:szCs w:val="20"/>
              </w:rPr>
            </w:pPr>
          </w:p>
        </w:tc>
      </w:tr>
      <w:tr>
        <w:trPr>
          <w:trHeight w:val="315"/>
        </w:trPr>
        <w:tc>
          <w:tcPr>
            <w:tcW w:w="4105" w:type="dxa"/>
            <w:shd w:val="clear" w:color="auto" w:fill="auto"/>
            <w:vAlign w:val="center"/>
          </w:tcPr>
          <w:p>
            <w:pPr>
              <w:spacing w:after="0"/>
              <w:ind w:firstLineChars="100" w:firstLine="220"/>
              <w:rPr>
                <w:rFonts w:ascii="Arial" w:hAnsi="Arial" w:cs="Arial"/>
                <w:color w:val="000000"/>
                <w:szCs w:val="20"/>
              </w:rPr>
            </w:pPr>
          </w:p>
        </w:tc>
        <w:tc>
          <w:tcPr>
            <w:tcW w:w="913" w:type="dxa"/>
            <w:shd w:val="clear" w:color="auto" w:fill="auto"/>
            <w:vAlign w:val="center"/>
          </w:tcPr>
          <w:p>
            <w:pPr>
              <w:spacing w:after="0"/>
              <w:rPr>
                <w:rFonts w:ascii="Arial" w:hAnsi="Arial" w:cs="Arial"/>
                <w:color w:val="000000"/>
                <w:szCs w:val="20"/>
              </w:rPr>
            </w:pPr>
          </w:p>
        </w:tc>
        <w:tc>
          <w:tcPr>
            <w:tcW w:w="1125" w:type="dxa"/>
            <w:shd w:val="clear" w:color="auto" w:fill="auto"/>
            <w:vAlign w:val="center"/>
          </w:tcPr>
          <w:p>
            <w:pPr>
              <w:spacing w:after="0"/>
              <w:rPr>
                <w:rFonts w:ascii="Arial" w:hAnsi="Arial" w:cs="Arial"/>
                <w:color w:val="000000"/>
                <w:szCs w:val="20"/>
              </w:rPr>
            </w:pPr>
          </w:p>
        </w:tc>
        <w:tc>
          <w:tcPr>
            <w:tcW w:w="860" w:type="dxa"/>
            <w:shd w:val="clear" w:color="auto" w:fill="auto"/>
            <w:vAlign w:val="center"/>
          </w:tcPr>
          <w:p>
            <w:pPr>
              <w:spacing w:after="0"/>
              <w:rPr>
                <w:rFonts w:ascii="Arial" w:hAnsi="Arial" w:cs="Arial"/>
                <w:color w:val="000000"/>
                <w:szCs w:val="20"/>
              </w:rPr>
            </w:pPr>
          </w:p>
        </w:tc>
        <w:tc>
          <w:tcPr>
            <w:tcW w:w="6379" w:type="dxa"/>
            <w:shd w:val="clear" w:color="auto" w:fill="auto"/>
            <w:vAlign w:val="center"/>
          </w:tcPr>
          <w:p>
            <w:pPr>
              <w:spacing w:after="0"/>
              <w:rPr>
                <w:rFonts w:ascii="Arial" w:hAnsi="Arial" w:cs="Arial"/>
                <w:color w:val="000000"/>
                <w:szCs w:val="20"/>
              </w:rPr>
            </w:pPr>
          </w:p>
        </w:tc>
      </w:tr>
      <w:tr>
        <w:trPr>
          <w:trHeight w:val="315"/>
        </w:trPr>
        <w:tc>
          <w:tcPr>
            <w:tcW w:w="4105" w:type="dxa"/>
            <w:shd w:val="clear" w:color="auto" w:fill="auto"/>
            <w:vAlign w:val="center"/>
          </w:tcPr>
          <w:p>
            <w:pPr>
              <w:spacing w:after="0"/>
              <w:ind w:firstLineChars="100" w:firstLine="220"/>
              <w:rPr>
                <w:rFonts w:ascii="Arial" w:hAnsi="Arial" w:cs="Arial"/>
                <w:color w:val="000000"/>
                <w:szCs w:val="20"/>
              </w:rPr>
            </w:pPr>
          </w:p>
        </w:tc>
        <w:tc>
          <w:tcPr>
            <w:tcW w:w="913" w:type="dxa"/>
            <w:shd w:val="clear" w:color="auto" w:fill="auto"/>
            <w:vAlign w:val="center"/>
          </w:tcPr>
          <w:p>
            <w:pPr>
              <w:spacing w:after="0"/>
              <w:rPr>
                <w:rFonts w:ascii="Arial" w:hAnsi="Arial" w:cs="Arial"/>
                <w:color w:val="000000"/>
                <w:szCs w:val="20"/>
              </w:rPr>
            </w:pPr>
          </w:p>
        </w:tc>
        <w:tc>
          <w:tcPr>
            <w:tcW w:w="1125" w:type="dxa"/>
            <w:shd w:val="clear" w:color="auto" w:fill="auto"/>
            <w:vAlign w:val="center"/>
          </w:tcPr>
          <w:p>
            <w:pPr>
              <w:spacing w:after="0"/>
              <w:rPr>
                <w:rFonts w:ascii="Arial" w:hAnsi="Arial" w:cs="Arial"/>
                <w:color w:val="000000"/>
                <w:szCs w:val="20"/>
              </w:rPr>
            </w:pPr>
          </w:p>
        </w:tc>
        <w:tc>
          <w:tcPr>
            <w:tcW w:w="860" w:type="dxa"/>
            <w:shd w:val="clear" w:color="auto" w:fill="auto"/>
            <w:vAlign w:val="center"/>
          </w:tcPr>
          <w:p>
            <w:pPr>
              <w:spacing w:after="0"/>
              <w:rPr>
                <w:rFonts w:ascii="Arial" w:hAnsi="Arial" w:cs="Arial"/>
                <w:color w:val="000000"/>
                <w:szCs w:val="20"/>
              </w:rPr>
            </w:pPr>
          </w:p>
        </w:tc>
        <w:tc>
          <w:tcPr>
            <w:tcW w:w="6379" w:type="dxa"/>
            <w:shd w:val="clear" w:color="auto" w:fill="auto"/>
            <w:vAlign w:val="center"/>
          </w:tcPr>
          <w:p>
            <w:pPr>
              <w:spacing w:after="0"/>
              <w:rPr>
                <w:rFonts w:ascii="Arial" w:hAnsi="Arial" w:cs="Arial"/>
                <w:color w:val="000000"/>
                <w:szCs w:val="20"/>
              </w:rPr>
            </w:pPr>
          </w:p>
        </w:tc>
      </w:tr>
      <w:tr>
        <w:trPr>
          <w:trHeight w:val="315"/>
        </w:trPr>
        <w:tc>
          <w:tcPr>
            <w:tcW w:w="4105" w:type="dxa"/>
            <w:shd w:val="clear" w:color="auto" w:fill="auto"/>
            <w:vAlign w:val="center"/>
          </w:tcPr>
          <w:p>
            <w:pPr>
              <w:spacing w:after="0"/>
              <w:ind w:firstLineChars="100" w:firstLine="220"/>
              <w:rPr>
                <w:rFonts w:ascii="Arial" w:hAnsi="Arial" w:cs="Arial"/>
                <w:color w:val="000000"/>
                <w:szCs w:val="20"/>
              </w:rPr>
            </w:pPr>
          </w:p>
        </w:tc>
        <w:tc>
          <w:tcPr>
            <w:tcW w:w="913" w:type="dxa"/>
            <w:shd w:val="clear" w:color="auto" w:fill="auto"/>
            <w:vAlign w:val="center"/>
          </w:tcPr>
          <w:p>
            <w:pPr>
              <w:spacing w:after="0"/>
              <w:rPr>
                <w:rFonts w:ascii="Arial" w:hAnsi="Arial" w:cs="Arial"/>
                <w:color w:val="000000"/>
                <w:szCs w:val="20"/>
              </w:rPr>
            </w:pPr>
          </w:p>
        </w:tc>
        <w:tc>
          <w:tcPr>
            <w:tcW w:w="1125" w:type="dxa"/>
            <w:shd w:val="clear" w:color="auto" w:fill="auto"/>
            <w:vAlign w:val="center"/>
          </w:tcPr>
          <w:p>
            <w:pPr>
              <w:spacing w:after="0"/>
              <w:rPr>
                <w:rFonts w:ascii="Arial" w:hAnsi="Arial" w:cs="Arial"/>
                <w:color w:val="000000"/>
                <w:szCs w:val="20"/>
              </w:rPr>
            </w:pPr>
          </w:p>
        </w:tc>
        <w:tc>
          <w:tcPr>
            <w:tcW w:w="860" w:type="dxa"/>
            <w:shd w:val="clear" w:color="auto" w:fill="auto"/>
            <w:vAlign w:val="center"/>
          </w:tcPr>
          <w:p>
            <w:pPr>
              <w:spacing w:after="0"/>
              <w:rPr>
                <w:rFonts w:ascii="Arial" w:hAnsi="Arial" w:cs="Arial"/>
                <w:color w:val="000000"/>
                <w:szCs w:val="20"/>
              </w:rPr>
            </w:pPr>
          </w:p>
        </w:tc>
        <w:tc>
          <w:tcPr>
            <w:tcW w:w="6379" w:type="dxa"/>
            <w:shd w:val="clear" w:color="auto" w:fill="auto"/>
            <w:vAlign w:val="center"/>
          </w:tcPr>
          <w:p>
            <w:pPr>
              <w:spacing w:after="0"/>
              <w:rPr>
                <w:rFonts w:ascii="Arial" w:hAnsi="Arial" w:cs="Arial"/>
                <w:color w:val="000000"/>
                <w:szCs w:val="20"/>
              </w:rPr>
            </w:pPr>
          </w:p>
        </w:tc>
      </w:tr>
    </w:tbl>
    <w:p>
      <w:pPr>
        <w:numPr>
          <w:ilvl w:val="0"/>
          <w:numId w:val="12"/>
        </w:numPr>
        <w:spacing w:after="60" w:line="240" w:lineRule="auto"/>
        <w:jc w:val="both"/>
        <w:rPr>
          <w:rFonts w:ascii="Arial" w:hAnsi="Arial" w:cs="Arial"/>
          <w:sz w:val="18"/>
          <w:szCs w:val="18"/>
        </w:rPr>
      </w:pPr>
      <w:r>
        <w:rPr>
          <w:rFonts w:ascii="Arial" w:hAnsi="Arial" w:cs="Arial"/>
          <w:i/>
          <w:sz w:val="18"/>
          <w:szCs w:val="18"/>
        </w:rPr>
        <w:t>Junior</w:t>
      </w:r>
      <w:r>
        <w:rPr>
          <w:rFonts w:ascii="Arial" w:hAnsi="Arial" w:cs="Arial"/>
          <w:sz w:val="18"/>
          <w:szCs w:val="18"/>
        </w:rPr>
        <w:t xml:space="preserve"> moins de deux ans d’expérience dans le domaine d’expertise, </w:t>
      </w:r>
    </w:p>
    <w:p>
      <w:pPr>
        <w:numPr>
          <w:ilvl w:val="0"/>
          <w:numId w:val="12"/>
        </w:numPr>
        <w:spacing w:after="60" w:line="240" w:lineRule="auto"/>
        <w:jc w:val="both"/>
        <w:rPr>
          <w:rFonts w:ascii="Arial" w:hAnsi="Arial" w:cs="Arial"/>
          <w:sz w:val="18"/>
          <w:szCs w:val="18"/>
        </w:rPr>
      </w:pPr>
      <w:r>
        <w:rPr>
          <w:rFonts w:ascii="Arial" w:hAnsi="Arial" w:cs="Arial"/>
          <w:i/>
          <w:sz w:val="18"/>
          <w:szCs w:val="18"/>
        </w:rPr>
        <w:t>Senior</w:t>
      </w:r>
      <w:r>
        <w:rPr>
          <w:rFonts w:ascii="Arial" w:hAnsi="Arial" w:cs="Arial"/>
          <w:sz w:val="18"/>
          <w:szCs w:val="18"/>
        </w:rPr>
        <w:t xml:space="preserve"> entre 3 et 7 ans d’expérience dans le domaine d’expertise, </w:t>
      </w:r>
    </w:p>
    <w:p>
      <w:pPr>
        <w:numPr>
          <w:ilvl w:val="0"/>
          <w:numId w:val="12"/>
        </w:numPr>
        <w:spacing w:after="60" w:line="240" w:lineRule="auto"/>
        <w:jc w:val="both"/>
        <w:rPr>
          <w:rFonts w:ascii="Arial" w:hAnsi="Arial" w:cs="Arial"/>
          <w:sz w:val="18"/>
          <w:szCs w:val="18"/>
        </w:rPr>
      </w:pPr>
      <w:r>
        <w:rPr>
          <w:rFonts w:ascii="Arial" w:hAnsi="Arial" w:cs="Arial"/>
          <w:i/>
          <w:sz w:val="18"/>
          <w:szCs w:val="18"/>
        </w:rPr>
        <w:t>Expert</w:t>
      </w:r>
      <w:r>
        <w:rPr>
          <w:rFonts w:ascii="Arial" w:hAnsi="Arial" w:cs="Arial"/>
          <w:sz w:val="18"/>
          <w:szCs w:val="18"/>
        </w:rPr>
        <w:t xml:space="preserve"> plus de 7 ans d’expérience dans le domaine d’expertise. </w:t>
      </w:r>
    </w:p>
    <w:p/>
    <w:p/>
    <w:p/>
    <w:p/>
    <w:p/>
    <w:p/>
    <w:p/>
    <w:p/>
    <w:p/>
    <w:p/>
    <w:p/>
    <w:p/>
    <w:p>
      <w:pPr>
        <w:pStyle w:val="Titre1"/>
        <w:numPr>
          <w:ilvl w:val="0"/>
          <w:numId w:val="3"/>
        </w:numPr>
        <w:rPr>
          <w:b/>
          <w:bCs/>
        </w:rPr>
      </w:pPr>
      <w:r>
        <w:rPr>
          <w:b/>
          <w:bCs/>
        </w:rPr>
        <w:t>Analyse critique succincte des enjeux et des contraintes du programme, justifiant sa compréhension par le candidat – Sous-critère pondéré à 30%</w:t>
      </w:r>
    </w:p>
    <w:p/>
    <w:p>
      <w:pPr>
        <w:spacing w:before="100" w:beforeAutospacing="1" w:after="100" w:afterAutospacing="1" w:line="240" w:lineRule="auto"/>
        <w:jc w:val="both"/>
        <w:rPr>
          <w:rFonts w:eastAsia="Times New Roman" w:cs="Calibri"/>
          <w:lang w:eastAsia="fr-FR"/>
        </w:rPr>
      </w:pPr>
      <w:r>
        <w:t>A travers ce présent item, le candidat démontre sa compréhension générale du contexte en pointant les</w:t>
      </w:r>
      <w:r>
        <w:rPr>
          <w:rFonts w:eastAsia="Times New Roman" w:cs="Calibri"/>
          <w:lang w:eastAsia="fr-FR"/>
        </w:rPr>
        <w:t xml:space="preserve"> enjeux de l’opération</w:t>
      </w:r>
    </w:p>
    <w:p>
      <w:pPr>
        <w:spacing w:before="100" w:beforeAutospacing="1" w:after="100" w:afterAutospacing="1" w:line="240" w:lineRule="auto"/>
        <w:jc w:val="both"/>
      </w:pPr>
      <w:r>
        <w:t>Il doit donc définir les grandes lignes du programme : principaux points d’analyse notamment stratégie employée, principaux objectifs des missions, résultats attendus, modalités de mise en œuvre du programme et son périmètre, risques potentiels.</w:t>
      </w:r>
    </w:p>
    <w:p>
      <w:pPr>
        <w:spacing w:before="100" w:beforeAutospacing="1" w:after="100" w:afterAutospacing="1" w:line="240" w:lineRule="auto"/>
        <w:jc w:val="both"/>
      </w:pPr>
      <w:r>
        <w:t>Il peut aussi apporter un résumé de son approche générale et les points forts de son offre</w:t>
      </w:r>
    </w:p>
    <w:p>
      <w:pPr>
        <w:spacing w:before="100" w:beforeAutospacing="1" w:after="100" w:afterAutospacing="1" w:line="240" w:lineRule="auto"/>
        <w:jc w:val="both"/>
        <w:rPr>
          <w:b/>
          <w:bCs/>
        </w:rPr>
      </w:pPr>
      <w:r>
        <w:rPr>
          <w:b/>
          <w:bCs/>
        </w:rPr>
        <w:t>(4 pages)</w:t>
      </w:r>
    </w:p>
    <w:p/>
    <w:p/>
    <w:p/>
    <w:p/>
    <w:p/>
    <w:p/>
    <w:p/>
    <w:p/>
    <w:p/>
    <w:p>
      <w:pPr>
        <w:pStyle w:val="Titre1"/>
        <w:rPr>
          <w:b/>
          <w:bCs/>
        </w:rPr>
      </w:pPr>
      <w:r>
        <w:rPr>
          <w:b/>
          <w:bCs/>
        </w:rPr>
        <w:t>I.3</w:t>
      </w:r>
      <w:r>
        <w:t xml:space="preserve">     </w:t>
      </w:r>
      <w:r>
        <w:rPr>
          <w:b/>
          <w:bCs/>
        </w:rPr>
        <w:t>Méthodes de planification, de suivi, de gestion de projet, de communication, de maîtrise des risques et aléas – Sous-critère pondéré à 30%</w:t>
      </w:r>
    </w:p>
    <w:p/>
    <w:p>
      <w:r>
        <w:t>Le présent item permet au candidat de :</w:t>
      </w:r>
    </w:p>
    <w:p>
      <w:pPr>
        <w:pStyle w:val="Paragraphedeliste"/>
        <w:numPr>
          <w:ilvl w:val="0"/>
          <w:numId w:val="11"/>
        </w:numPr>
        <w:autoSpaceDE w:val="0"/>
        <w:autoSpaceDN w:val="0"/>
        <w:adjustRightInd w:val="0"/>
        <w:spacing w:after="0" w:line="240" w:lineRule="auto"/>
        <w:ind w:right="24"/>
        <w:jc w:val="both"/>
      </w:pPr>
      <w:r>
        <w:t xml:space="preserve">Donner une description des ressources matérielles à mobiliser. </w:t>
      </w:r>
    </w:p>
    <w:p>
      <w:pPr>
        <w:pStyle w:val="Paragraphedeliste"/>
        <w:numPr>
          <w:ilvl w:val="0"/>
          <w:numId w:val="11"/>
        </w:numPr>
        <w:autoSpaceDE w:val="0"/>
        <w:autoSpaceDN w:val="0"/>
        <w:adjustRightInd w:val="0"/>
        <w:spacing w:after="0" w:line="240" w:lineRule="auto"/>
        <w:ind w:right="24"/>
        <w:jc w:val="both"/>
      </w:pPr>
      <w:r>
        <w:t>Décrire les moyens de suivi à adopter</w:t>
      </w:r>
    </w:p>
    <w:p>
      <w:pPr>
        <w:pStyle w:val="Paragraphedeliste"/>
        <w:numPr>
          <w:ilvl w:val="0"/>
          <w:numId w:val="10"/>
        </w:numPr>
        <w:autoSpaceDE w:val="0"/>
        <w:autoSpaceDN w:val="0"/>
        <w:adjustRightInd w:val="0"/>
        <w:spacing w:after="0" w:line="240" w:lineRule="auto"/>
        <w:ind w:right="24"/>
        <w:jc w:val="both"/>
        <w:rPr>
          <w:lang w:eastAsia="fr-FR"/>
        </w:rPr>
      </w:pPr>
      <w:r>
        <w:t xml:space="preserve">Lister </w:t>
      </w:r>
      <w:r>
        <w:rPr>
          <w:lang w:eastAsia="fr-FR"/>
        </w:rPr>
        <w:t>les livrables spécifiques attendus à chaque phase.</w:t>
      </w:r>
    </w:p>
    <w:p>
      <w:pPr>
        <w:pStyle w:val="Paragraphedeliste"/>
        <w:numPr>
          <w:ilvl w:val="0"/>
          <w:numId w:val="10"/>
        </w:numPr>
        <w:autoSpaceDE w:val="0"/>
        <w:autoSpaceDN w:val="0"/>
        <w:adjustRightInd w:val="0"/>
        <w:spacing w:after="0" w:line="240" w:lineRule="auto"/>
        <w:ind w:right="24"/>
        <w:jc w:val="both"/>
        <w:rPr>
          <w:lang w:eastAsia="fr-FR"/>
        </w:rPr>
      </w:pPr>
      <w:r>
        <w:t>Expliquer les outils de communication de l’équipe pour assurer une collaboration et un dialogue avec les différentes parties prenantes (MO, CT, CSPS, organisations professionnels, direction bénéficiaire …)</w:t>
      </w:r>
    </w:p>
    <w:p>
      <w:pPr>
        <w:pStyle w:val="Paragraphedeliste"/>
        <w:numPr>
          <w:ilvl w:val="0"/>
          <w:numId w:val="10"/>
        </w:numPr>
        <w:autoSpaceDE w:val="0"/>
        <w:autoSpaceDN w:val="0"/>
        <w:adjustRightInd w:val="0"/>
        <w:spacing w:after="0" w:line="240" w:lineRule="auto"/>
        <w:ind w:right="24"/>
        <w:jc w:val="both"/>
        <w:rPr>
          <w:lang w:eastAsia="fr-FR"/>
        </w:rPr>
      </w:pPr>
      <w:r>
        <w:t>Décrire les risques anticipés et les principales mesures à mettre en place pour les contrôler.</w:t>
      </w:r>
    </w:p>
    <w:p>
      <w:pPr>
        <w:autoSpaceDE w:val="0"/>
        <w:autoSpaceDN w:val="0"/>
        <w:adjustRightInd w:val="0"/>
        <w:spacing w:after="0" w:line="240" w:lineRule="auto"/>
        <w:ind w:right="24"/>
        <w:jc w:val="both"/>
        <w:rPr>
          <w:b/>
          <w:bCs/>
        </w:rPr>
      </w:pPr>
    </w:p>
    <w:p>
      <w:pPr>
        <w:autoSpaceDE w:val="0"/>
        <w:autoSpaceDN w:val="0"/>
        <w:adjustRightInd w:val="0"/>
        <w:spacing w:after="0" w:line="240" w:lineRule="auto"/>
        <w:ind w:right="24"/>
        <w:jc w:val="both"/>
        <w:rPr>
          <w:b/>
          <w:bCs/>
        </w:rPr>
      </w:pPr>
      <w:r>
        <w:rPr>
          <w:b/>
          <w:bCs/>
        </w:rPr>
        <w:t>(3 pages)</w:t>
      </w:r>
    </w:p>
    <w:p/>
    <w:p/>
    <w:p/>
    <w:p/>
    <w:p/>
    <w:p/>
    <w:p/>
    <w:p/>
    <w:p/>
    <w:p/>
    <w:p/>
    <w:p/>
    <w:p>
      <w:pPr>
        <w:pStyle w:val="Titre1"/>
        <w:numPr>
          <w:ilvl w:val="0"/>
          <w:numId w:val="5"/>
        </w:numPr>
        <w:rPr>
          <w:b/>
          <w:bCs/>
          <w:color w:val="000000" w:themeColor="text1"/>
          <w:u w:val="single"/>
        </w:rPr>
      </w:pPr>
      <w:r>
        <w:rPr>
          <w:b/>
          <w:bCs/>
          <w:color w:val="000000" w:themeColor="text1"/>
          <w:u w:val="single"/>
        </w:rPr>
        <w:t xml:space="preserve">Critère environnemental </w:t>
      </w:r>
    </w:p>
    <w:p>
      <w:pPr>
        <w:spacing w:after="80" w:line="240" w:lineRule="auto"/>
        <w:ind w:right="374"/>
      </w:pPr>
    </w:p>
    <w:p>
      <w:pPr>
        <w:spacing w:after="80" w:line="240" w:lineRule="auto"/>
        <w:ind w:right="374"/>
        <w:rPr>
          <w:rFonts w:cstheme="minorHAnsi"/>
          <w:i/>
          <w:iCs/>
        </w:rPr>
      </w:pPr>
      <w:r>
        <w:rPr>
          <w:rFonts w:cstheme="minorHAnsi"/>
          <w:i/>
          <w:iCs/>
        </w:rPr>
        <w:t>Le candidat décrit les dispositions mises en œuvre pour assurer la traçabilité des actions réalisées pour respecter les engagements environnementaux et énergétiques du projet.</w:t>
      </w:r>
    </w:p>
    <w:p>
      <w:pPr>
        <w:spacing w:after="80" w:line="240" w:lineRule="auto"/>
        <w:ind w:right="374"/>
        <w:rPr>
          <w:rFonts w:cstheme="minorHAnsi"/>
          <w:i/>
          <w:iCs/>
        </w:rPr>
      </w:pPr>
      <w:r>
        <w:rPr>
          <w:rFonts w:cstheme="minorHAnsi"/>
          <w:b/>
          <w:bCs/>
          <w:i/>
          <w:iCs/>
        </w:rPr>
        <w:t>(2 pages)</w:t>
      </w:r>
    </w:p>
    <w:p>
      <w:pPr>
        <w:ind w:right="-52"/>
        <w:rPr>
          <w:rFonts w:cstheme="minorHAnsi"/>
          <w:i/>
          <w:iCs/>
        </w:rPr>
      </w:pPr>
    </w:p>
    <w:p>
      <w:pPr>
        <w:ind w:right="-52"/>
        <w:rPr>
          <w:rFonts w:cstheme="minorHAnsi"/>
          <w:i/>
          <w:iCs/>
        </w:rPr>
      </w:pPr>
    </w:p>
    <w:p>
      <w:pPr>
        <w:ind w:right="-52"/>
        <w:rPr>
          <w:rFonts w:cstheme="minorHAnsi"/>
          <w:i/>
          <w:iCs/>
        </w:rPr>
      </w:pPr>
    </w:p>
    <w:p>
      <w:pPr>
        <w:ind w:right="-52"/>
        <w:rPr>
          <w:rFonts w:cstheme="minorHAnsi"/>
          <w:i/>
          <w:iCs/>
        </w:rPr>
      </w:pPr>
    </w:p>
    <w:p>
      <w:pPr>
        <w:ind w:right="-52"/>
        <w:rPr>
          <w:rFonts w:cstheme="minorHAnsi"/>
          <w:b/>
          <w:bCs/>
          <w:i/>
          <w:iCs/>
        </w:rPr>
      </w:pPr>
      <w:r>
        <w:rPr>
          <w:rFonts w:cstheme="minorHAnsi"/>
          <w:i/>
          <w:iCs/>
        </w:rPr>
        <w:t>Les candidats devront préciser les actions réalisées au sein de leurs structures pour minimiser leur impact sur l’environnement à travers ce présent marché</w:t>
      </w:r>
      <w:r>
        <w:rPr>
          <w:rFonts w:cstheme="minorHAnsi"/>
          <w:b/>
          <w:bCs/>
          <w:i/>
          <w:iCs/>
        </w:rPr>
        <w:t>.</w:t>
      </w:r>
    </w:p>
    <w:p>
      <w:pPr>
        <w:ind w:right="-52"/>
        <w:rPr>
          <w:rFonts w:cstheme="minorHAnsi"/>
          <w:i/>
          <w:iCs/>
        </w:rPr>
      </w:pPr>
      <w:r>
        <w:rPr>
          <w:rFonts w:cstheme="minorHAnsi"/>
          <w:b/>
          <w:bCs/>
          <w:i/>
          <w:iCs/>
        </w:rPr>
        <w:t>(1 page)</w:t>
      </w:r>
      <w:r>
        <w:rPr>
          <w:rFonts w:cstheme="minorHAnsi"/>
          <w:i/>
          <w:iCs/>
        </w:rPr>
        <w:t xml:space="preserve"> </w:t>
      </w:r>
    </w:p>
    <w:p>
      <w:pPr>
        <w:tabs>
          <w:tab w:val="left" w:pos="1305"/>
        </w:tabs>
        <w:rPr>
          <w:rFonts w:cstheme="minorHAnsi"/>
          <w:sz w:val="24"/>
          <w:szCs w:val="24"/>
        </w:rPr>
      </w:pPr>
      <w:r>
        <w:rPr>
          <w:rFonts w:cstheme="minorHAnsi"/>
          <w:sz w:val="24"/>
          <w:szCs w:val="24"/>
        </w:rPr>
        <w:tab/>
      </w:r>
    </w:p>
    <w:sectPr>
      <w:headerReference w:type="default" r:id="rId8"/>
      <w:footerReference w:type="default" r:id="rId9"/>
      <w:head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Theme="majorHAnsi" w:hAnsiTheme="majorHAnsi" w:cstheme="majorHAnsi"/>
      </w:rPr>
    </w:pPr>
    <w:r>
      <w:rPr>
        <w:rFonts w:asciiTheme="majorHAnsi" w:hAnsiTheme="majorHAnsi" w:cstheme="majorHAnsi"/>
      </w:rPr>
      <w:t>AMO_COP_MPGP_SITE_GUICHARD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1"/>
      <w:tblW w:w="1403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76"/>
      <w:gridCol w:w="907"/>
      <w:gridCol w:w="8451"/>
    </w:tblGrid>
    <w:tr>
      <w:trPr>
        <w:trHeight w:hRule="exact" w:val="2411"/>
      </w:trPr>
      <w:tc>
        <w:tcPr>
          <w:tcW w:w="4676" w:type="dxa"/>
        </w:tcPr>
        <w:p>
          <w:pPr>
            <w:ind w:left="-142"/>
            <w:rPr>
              <w:rFonts w:ascii="Arial" w:eastAsia="Calibri" w:hAnsi="Arial" w:cs="Arial"/>
            </w:rPr>
          </w:pPr>
        </w:p>
        <w:p>
          <w:pPr>
            <w:rPr>
              <w:rFonts w:ascii="Arial" w:eastAsia="Calibri" w:hAnsi="Arial" w:cs="Arial"/>
            </w:rPr>
          </w:pPr>
          <w:r>
            <w:rPr>
              <w:rFonts w:ascii="Calibri" w:eastAsia="Calibri" w:hAnsi="Calibri" w:cs="Times New Roman"/>
              <w:noProof/>
            </w:rPr>
            <w:drawing>
              <wp:inline distT="0" distB="0" distL="0" distR="0">
                <wp:extent cx="2232660" cy="1366102"/>
                <wp:effectExtent l="0" t="0" r="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8382" cy="1381840"/>
                        </a:xfrm>
                        <a:prstGeom prst="rect">
                          <a:avLst/>
                        </a:prstGeom>
                        <a:noFill/>
                        <a:ln>
                          <a:noFill/>
                        </a:ln>
                      </pic:spPr>
                    </pic:pic>
                  </a:graphicData>
                </a:graphic>
              </wp:inline>
            </w:drawing>
          </w:r>
        </w:p>
        <w:p>
          <w:pPr>
            <w:tabs>
              <w:tab w:val="left" w:pos="1880"/>
            </w:tabs>
            <w:rPr>
              <w:rFonts w:ascii="Arial" w:eastAsia="Calibri" w:hAnsi="Arial" w:cs="Arial"/>
            </w:rPr>
          </w:pPr>
        </w:p>
      </w:tc>
      <w:tc>
        <w:tcPr>
          <w:tcW w:w="907" w:type="dxa"/>
        </w:tcPr>
        <w:p>
          <w:pPr>
            <w:rPr>
              <w:rFonts w:ascii="Arial" w:eastAsia="Calibri" w:hAnsi="Arial" w:cs="Arial"/>
            </w:rPr>
          </w:pPr>
        </w:p>
      </w:tc>
      <w:tc>
        <w:tcPr>
          <w:tcW w:w="8451" w:type="dxa"/>
        </w:tcPr>
        <w:p>
          <w:pPr>
            <w:spacing w:line="336" w:lineRule="atLeast"/>
            <w:jc w:val="right"/>
            <w:rPr>
              <w:rFonts w:ascii="Arial" w:eastAsia="Calibri" w:hAnsi="Arial" w:cs="Arial"/>
              <w:b/>
              <w:sz w:val="24"/>
            </w:rPr>
          </w:pPr>
        </w:p>
        <w:p>
          <w:pPr>
            <w:spacing w:line="240" w:lineRule="auto"/>
            <w:ind w:right="936"/>
            <w:jc w:val="right"/>
            <w:rPr>
              <w:rFonts w:ascii="Arial" w:eastAsia="Calibri" w:hAnsi="Arial" w:cs="Arial"/>
              <w:b/>
              <w:sz w:val="24"/>
            </w:rPr>
          </w:pPr>
          <w:bookmarkStart w:id="0" w:name="_Hlk197079123"/>
          <w:r>
            <w:rPr>
              <w:rFonts w:ascii="Arial" w:eastAsia="Calibri" w:hAnsi="Arial" w:cs="Arial"/>
              <w:b/>
              <w:sz w:val="24"/>
            </w:rPr>
            <w:t xml:space="preserve">Secrétariat </w:t>
          </w:r>
        </w:p>
        <w:p>
          <w:pPr>
            <w:spacing w:line="240" w:lineRule="auto"/>
            <w:ind w:right="936"/>
            <w:jc w:val="right"/>
            <w:rPr>
              <w:rFonts w:ascii="Arial" w:eastAsia="Calibri" w:hAnsi="Arial" w:cs="Arial"/>
              <w:b/>
              <w:sz w:val="28"/>
            </w:rPr>
          </w:pPr>
          <w:r>
            <w:rPr>
              <w:rFonts w:ascii="Arial" w:eastAsia="Calibri" w:hAnsi="Arial" w:cs="Arial"/>
              <w:b/>
              <w:sz w:val="24"/>
            </w:rPr>
            <w:t>général</w:t>
          </w:r>
          <w:bookmarkEnd w:id="0"/>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968"/>
    <w:multiLevelType w:val="hybridMultilevel"/>
    <w:tmpl w:val="D6307BB2"/>
    <w:lvl w:ilvl="0" w:tplc="71C05FCA">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142B5F"/>
    <w:multiLevelType w:val="hybridMultilevel"/>
    <w:tmpl w:val="0AF6F0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C14168"/>
    <w:multiLevelType w:val="multilevel"/>
    <w:tmpl w:val="D01E9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9832E5"/>
    <w:multiLevelType w:val="hybridMultilevel"/>
    <w:tmpl w:val="B636A660"/>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2F4774"/>
    <w:multiLevelType w:val="hybridMultilevel"/>
    <w:tmpl w:val="E2D6BDF8"/>
    <w:lvl w:ilvl="0" w:tplc="2A60E8B4">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4184472"/>
    <w:multiLevelType w:val="hybridMultilevel"/>
    <w:tmpl w:val="DE108CA0"/>
    <w:lvl w:ilvl="0" w:tplc="629A4336">
      <w:start w:val="1"/>
      <w:numFmt w:val="upperRoman"/>
      <w:lvlText w:val="%1.3"/>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E144034"/>
    <w:multiLevelType w:val="hybridMultilevel"/>
    <w:tmpl w:val="72E63A88"/>
    <w:lvl w:ilvl="0" w:tplc="5ED2157E">
      <w:start w:val="1"/>
      <w:numFmt w:val="upperRoman"/>
      <w:lvlText w:val="%1.2"/>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79008B3"/>
    <w:multiLevelType w:val="hybridMultilevel"/>
    <w:tmpl w:val="B0068168"/>
    <w:lvl w:ilvl="0" w:tplc="71C05FCA">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0AA1A34"/>
    <w:multiLevelType w:val="hybridMultilevel"/>
    <w:tmpl w:val="283AA2CA"/>
    <w:lvl w:ilvl="0" w:tplc="71C05F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DF3DD3"/>
    <w:multiLevelType w:val="hybridMultilevel"/>
    <w:tmpl w:val="31FC2120"/>
    <w:lvl w:ilvl="0" w:tplc="902EB278">
      <w:start w:val="14"/>
      <w:numFmt w:val="bullet"/>
      <w:lvlText w:val="-"/>
      <w:lvlJc w:val="left"/>
      <w:pPr>
        <w:ind w:left="1713" w:hanging="360"/>
      </w:pPr>
      <w:rPr>
        <w:rFonts w:ascii="Arial" w:eastAsia="Times New Roman" w:hAnsi="Arial" w:cs="Aria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0" w15:restartNumberingAfterBreak="0">
    <w:nsid w:val="673F1D3B"/>
    <w:multiLevelType w:val="hybridMultilevel"/>
    <w:tmpl w:val="17AC8A3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8506106"/>
    <w:multiLevelType w:val="hybridMultilevel"/>
    <w:tmpl w:val="483A6210"/>
    <w:lvl w:ilvl="0" w:tplc="1FCEAC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54199B"/>
    <w:multiLevelType w:val="hybridMultilevel"/>
    <w:tmpl w:val="F9E43966"/>
    <w:lvl w:ilvl="0" w:tplc="87589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5"/>
  </w:num>
  <w:num w:numId="5">
    <w:abstractNumId w:val="3"/>
  </w:num>
  <w:num w:numId="6">
    <w:abstractNumId w:val="10"/>
  </w:num>
  <w:num w:numId="7">
    <w:abstractNumId w:val="1"/>
  </w:num>
  <w:num w:numId="8">
    <w:abstractNumId w:val="8"/>
  </w:num>
  <w:num w:numId="9">
    <w:abstractNumId w:val="2"/>
  </w:num>
  <w:num w:numId="10">
    <w:abstractNumId w:val="7"/>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9E751C7F-F6C9-438A-B5B7-29006C33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Citationintense">
    <w:name w:val="Intense Quote"/>
    <w:basedOn w:val="Normal"/>
    <w:next w:val="Normal"/>
    <w:link w:val="CitationintenseCar"/>
    <w:uiPriority w:val="30"/>
    <w:qFormat/>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Pr>
      <w:i/>
      <w:iCs/>
      <w:color w:val="4472C4" w:themeColor="accent1"/>
    </w:rPr>
  </w:style>
  <w:style w:type="paragraph" w:styleId="Paragraphedeliste">
    <w:name w:val="List Paragraph"/>
    <w:aliases w:val="References,List Paragraph1,Bullets,Liste couleur - Accent 11,List Bullet Mary,Puces,- List tir,List Bulet,Numbered List Paragraph,Liste 1,List Paragraph (numbered (a)),ReferencesCxSpLast,Medium Grid 1 - Accent 21,List Paragraph nowy"/>
    <w:basedOn w:val="Normal"/>
    <w:link w:val="ParagraphedelisteCar"/>
    <w:uiPriority w:val="34"/>
    <w:qFormat/>
    <w:pPr>
      <w:spacing w:line="256" w:lineRule="auto"/>
      <w:ind w:left="720"/>
      <w:contextualSpacing/>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paragraph" w:customStyle="1" w:styleId="CarCarCar1Car1">
    <w:name w:val="Car Car Car1 Car1"/>
    <w:basedOn w:val="Normal"/>
    <w:pPr>
      <w:spacing w:line="240" w:lineRule="exact"/>
    </w:pPr>
    <w:rPr>
      <w:rFonts w:ascii="Tahoma" w:eastAsia="Times New Roman" w:hAnsi="Tahoma" w:cs="Times New Roman"/>
      <w:sz w:val="20"/>
      <w:szCs w:val="20"/>
      <w:lang w:val="en-US"/>
    </w:rPr>
  </w:style>
  <w:style w:type="character" w:styleId="Lienhypertexte">
    <w:name w:val="Hyperlink"/>
    <w:uiPriority w:val="99"/>
    <w:rPr>
      <w:color w:val="0000FF"/>
      <w:u w:val="single"/>
    </w:rPr>
  </w:style>
  <w:style w:type="character" w:customStyle="1" w:styleId="ParagraphedelisteCar">
    <w:name w:val="Paragraphe de liste Car"/>
    <w:aliases w:val="References Car,List Paragraph1 Car,Bullets Car,Liste couleur - Accent 11 Car,List Bullet Mary Car,Puces Car,- List tir Car,List Bulet Car,Numbered List Paragraph Car,Liste 1 Car,List Paragraph (numbered (a)) Car"/>
    <w:link w:val="Paragraphedeliste"/>
    <w:uiPriority w:val="34"/>
    <w:qFormat/>
    <w:locked/>
  </w:style>
  <w:style w:type="table" w:customStyle="1" w:styleId="Grilledutableau1">
    <w:name w:val="Grille du tableau1"/>
    <w:basedOn w:val="TableauNormal"/>
    <w:next w:val="Grilledutableau"/>
    <w:uiPriority w:val="59"/>
    <w:pPr>
      <w:spacing w:after="0" w:line="240" w:lineRule="atLeast"/>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F4FB3-6C42-477B-A1AA-EA3FF89C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Pages>
  <Words>675</Words>
  <Characters>3714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DUPONT Khaoula</dc:creator>
  <cp:keywords/>
  <dc:description/>
  <cp:lastModifiedBy>GALLOIS Isabelle</cp:lastModifiedBy>
  <cp:revision>13</cp:revision>
  <dcterms:created xsi:type="dcterms:W3CDTF">2025-05-02T09:57:00Z</dcterms:created>
  <dcterms:modified xsi:type="dcterms:W3CDTF">2025-05-02T15:13:00Z</dcterms:modified>
</cp:coreProperties>
</file>