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60A5DB5B" w:rsidR="0018380D" w:rsidRPr="00264732" w:rsidRDefault="0018380D" w:rsidP="0018380D">
      <w:pPr>
        <w:rPr>
          <w:rFonts w:cs="Arial"/>
          <w:sz w:val="22"/>
        </w:rPr>
      </w:pPr>
    </w:p>
    <w:p w14:paraId="46728313" w14:textId="55DD10B1" w:rsidR="0018380D" w:rsidRPr="00264732" w:rsidRDefault="002B0A0B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4943FC5F" w:rsidR="0018380D" w:rsidRPr="00264732" w:rsidRDefault="00631ED0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F7F63F4" wp14:editId="1B59FE6F">
                <wp:simplePos x="0" y="0"/>
                <wp:positionH relativeFrom="margin">
                  <wp:posOffset>1137935</wp:posOffset>
                </wp:positionH>
                <wp:positionV relativeFrom="paragraph">
                  <wp:posOffset>135492</wp:posOffset>
                </wp:positionV>
                <wp:extent cx="4284980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80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2F0B4D3A" w14:textId="77777777" w:rsidR="00631ED0" w:rsidRDefault="00631ED0" w:rsidP="00631ED0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F9E65DD" w14:textId="77777777" w:rsidR="00631ED0" w:rsidRPr="00CA6931" w:rsidRDefault="00631ED0" w:rsidP="00631ED0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6931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 DE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SERVICE</w:t>
                            </w:r>
                            <w:r w:rsidRPr="00CA6931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5AB6A72D" w14:textId="77777777" w:rsidR="00631ED0" w:rsidRDefault="00631ED0" w:rsidP="00631ED0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C3845A9" w14:textId="77777777" w:rsidR="00631ED0" w:rsidRPr="00674FED" w:rsidRDefault="00631ED0" w:rsidP="00631ED0">
                            <w:pPr>
                              <w:pStyle w:val="NormalWeb"/>
                              <w:overflowPunct w:val="0"/>
                              <w:spacing w:after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4635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Pr="00EE4635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-0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09 </w:t>
                            </w:r>
                            <w:r w:rsidRPr="00EE4635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– </w:t>
                            </w:r>
                            <w:r w:rsidRPr="00CF54F3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Mission d’assistance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à maitrise d’ouvrage pour le renouvellement des marchés de nettoyage et d’accueil pour </w:t>
                            </w:r>
                            <w:r w:rsidRPr="00CF54F3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l’Université de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Paris Nanterre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F63F4" id="Shape 181" o:spid="_x0000_s1028" style="position:absolute;left:0;text-align:left;margin-left:89.6pt;margin-top:10.65pt;width:337.4pt;height:203.7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2F0B4D3A" w14:textId="77777777" w:rsidR="00631ED0" w:rsidRDefault="00631ED0" w:rsidP="00631ED0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F9E65DD" w14:textId="77777777" w:rsidR="00631ED0" w:rsidRPr="00CA6931" w:rsidRDefault="00631ED0" w:rsidP="00631ED0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6931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 DE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SERVICE</w:t>
                      </w:r>
                      <w:r w:rsidRPr="00CA6931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5AB6A72D" w14:textId="77777777" w:rsidR="00631ED0" w:rsidRDefault="00631ED0" w:rsidP="00631ED0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C3845A9" w14:textId="77777777" w:rsidR="00631ED0" w:rsidRPr="00674FED" w:rsidRDefault="00631ED0" w:rsidP="00631ED0">
                      <w:pPr>
                        <w:pStyle w:val="NormalWeb"/>
                        <w:overflowPunct w:val="0"/>
                        <w:spacing w:after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4635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Pr="00EE4635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-0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09 </w:t>
                      </w:r>
                      <w:r w:rsidRPr="00EE4635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– </w:t>
                      </w:r>
                      <w:r w:rsidRPr="00CF54F3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Mission d’assistance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à maitrise d’ouvrage pour le renouvellement des marchés de nettoyage et d’accueil pour </w:t>
                      </w:r>
                      <w:r w:rsidRPr="00CF54F3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l’Université de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Paris Nanterre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1503AE57" w:rsidR="0018380D" w:rsidRPr="00264732" w:rsidRDefault="0018380D" w:rsidP="0018380D">
      <w:pPr>
        <w:rPr>
          <w:rFonts w:cs="Arial"/>
          <w:sz w:val="22"/>
        </w:rPr>
      </w:pP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2FBB4D77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51A07D8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7EE1A65D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2389AB9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9B72142" w:rsidR="0018380D" w:rsidRPr="00264732" w:rsidRDefault="0018380D" w:rsidP="0018380D">
      <w:pPr>
        <w:rPr>
          <w:rFonts w:cs="Arial"/>
          <w:sz w:val="22"/>
        </w:rPr>
      </w:pPr>
    </w:p>
    <w:p w14:paraId="35BF99BE" w14:textId="31B84196" w:rsidR="0018380D" w:rsidRPr="00264732" w:rsidRDefault="00631ED0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D434BC" wp14:editId="04B8DE74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438400" cy="82804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828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56EAB" w14:textId="77777777" w:rsidR="00631ED0" w:rsidRPr="00C52596" w:rsidRDefault="00631ED0" w:rsidP="00631ED0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503A4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Le marché est passé selon une procédure adaptée suivant les articles L2123-1 et R2123-1, R2123-4, et R2123-5 du Code de la Commande Publique (ci-après « le CCP »).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434BC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0;margin-top:1.05pt;width:192pt;height:65.2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" filled="f" stroked="f" strokeweight=".5pt">
                <v:textbox>
                  <w:txbxContent>
                    <w:p w14:paraId="21A56EAB" w14:textId="77777777" w:rsidR="00631ED0" w:rsidRPr="00C52596" w:rsidRDefault="00631ED0" w:rsidP="00631ED0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4503A4">
                        <w:rPr>
                          <w:color w:val="FFFFFF" w:themeColor="background1"/>
                          <w:sz w:val="18"/>
                          <w:szCs w:val="18"/>
                        </w:rPr>
                        <w:t>Le marché est passé selon une procédure adaptée suivant les articles L2123-1 et R2123-1, R2123-4, et R2123-5 du Code de la Commande Publique (ci-après « le CCP »).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79CDA4" w14:textId="77777777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2CEBE5CC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 </w:t>
      </w:r>
      <w:r w:rsidR="009D3FB8">
        <w:rPr>
          <w:rFonts w:cs="Arial"/>
          <w:b/>
          <w:color w:val="FF0000"/>
          <w:sz w:val="22"/>
        </w:rPr>
        <w:t>28</w:t>
      </w:r>
      <w:bookmarkStart w:id="0" w:name="_GoBack"/>
      <w:bookmarkEnd w:id="0"/>
      <w:r w:rsidR="00A9643F">
        <w:rPr>
          <w:rFonts w:cs="Arial"/>
          <w:b/>
          <w:color w:val="FF0000"/>
          <w:sz w:val="22"/>
        </w:rPr>
        <w:t xml:space="preserve"> </w:t>
      </w:r>
      <w:r w:rsidR="00BA0581">
        <w:rPr>
          <w:rFonts w:cs="Arial"/>
          <w:b/>
          <w:color w:val="FF0000"/>
          <w:sz w:val="22"/>
        </w:rPr>
        <w:t>mai</w:t>
      </w:r>
      <w:r w:rsidR="006E1AEA" w:rsidRPr="00C1251B">
        <w:rPr>
          <w:rFonts w:cs="Arial"/>
          <w:b/>
          <w:color w:val="FF0000"/>
          <w:sz w:val="22"/>
        </w:rPr>
        <w:t xml:space="preserve"> </w:t>
      </w:r>
      <w:r w:rsidR="00A21B65">
        <w:rPr>
          <w:rFonts w:cs="Arial"/>
          <w:b/>
          <w:color w:val="FF0000"/>
          <w:sz w:val="22"/>
        </w:rPr>
        <w:t>2025</w:t>
      </w:r>
      <w:r w:rsidRPr="00C1251B">
        <w:rPr>
          <w:rFonts w:cs="Arial"/>
          <w:b/>
          <w:color w:val="FF0000"/>
          <w:sz w:val="22"/>
        </w:rPr>
        <w:t xml:space="preserve"> – 12h00 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6A39110" w14:textId="1CA460BF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9A1D0D">
        <w:rPr>
          <w:rFonts w:eastAsia="Times New Roman" w:cs="Arial"/>
          <w:b/>
          <w:bCs/>
          <w:sz w:val="22"/>
          <w:lang w:eastAsia="zh-CN"/>
        </w:rPr>
        <w:t xml:space="preserve">Les renseignements indiqués dans le </w:t>
      </w:r>
      <w:r>
        <w:rPr>
          <w:rFonts w:eastAsia="Times New Roman" w:cs="Arial"/>
          <w:b/>
          <w:bCs/>
          <w:sz w:val="22"/>
          <w:lang w:eastAsia="zh-CN"/>
        </w:rPr>
        <w:t>cadre de réponse</w:t>
      </w:r>
      <w:r w:rsidRPr="009A1D0D">
        <w:rPr>
          <w:rFonts w:eastAsia="Times New Roman" w:cs="Arial"/>
          <w:b/>
          <w:bCs/>
          <w:sz w:val="22"/>
          <w:lang w:eastAsia="zh-CN"/>
        </w:rPr>
        <w:t xml:space="preserve"> technique doivent être liés directement à l’objet du marché, et ne doivent pas être une simple énumération des moyens généraux de l’entreprise.</w:t>
      </w:r>
    </w:p>
    <w:p w14:paraId="3C00DA85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7CBF3A4" w14:textId="0075DC54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color w:val="FF0000"/>
          <w:sz w:val="22"/>
          <w:lang w:eastAsia="zh-CN"/>
        </w:rPr>
      </w:pPr>
      <w:r w:rsidRPr="009A1D0D">
        <w:rPr>
          <w:rFonts w:eastAsia="Times New Roman" w:cs="Arial"/>
          <w:b/>
          <w:bCs/>
          <w:color w:val="FF0000"/>
          <w:sz w:val="22"/>
          <w:highlight w:val="yellow"/>
          <w:lang w:eastAsia="zh-CN"/>
        </w:rPr>
        <w:t>Le présent cadre de réponse technique doit obligatoirement être complété par le candidat sous peine d’irrégularité de l’offre.</w:t>
      </w:r>
    </w:p>
    <w:p w14:paraId="364E8D75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9581CA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9A1D0D">
        <w:rPr>
          <w:rFonts w:eastAsia="Times New Roman" w:cs="Arial"/>
          <w:b/>
          <w:bCs/>
          <w:sz w:val="22"/>
          <w:lang w:eastAsia="zh-CN"/>
        </w:rPr>
        <w:t xml:space="preserve">Les différents éléments demandés sont à renseigner sur le présent document en le complétant par des documents annexes quand ils sont exigés. </w:t>
      </w:r>
    </w:p>
    <w:p w14:paraId="48A11CBE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D87053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9A1D0D">
        <w:rPr>
          <w:rFonts w:eastAsia="Times New Roman" w:cs="Arial"/>
          <w:b/>
          <w:bCs/>
          <w:sz w:val="22"/>
          <w:lang w:eastAsia="zh-CN"/>
        </w:rPr>
        <w:t>Si le candidat le souhaite, des documents complémentaires peuvent être joints (en rapport direct avec l’objet du marché), en les identifiant clairement au sein du mémoire.</w:t>
      </w:r>
    </w:p>
    <w:p w14:paraId="755A0F0B" w14:textId="7777777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00129B" w14:textId="137656A7" w:rsidR="009A1D0D" w:rsidRPr="009A1D0D" w:rsidRDefault="009A1D0D" w:rsidP="009A1D0D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9A1D0D">
        <w:rPr>
          <w:rFonts w:eastAsia="Times New Roman" w:cs="Arial"/>
          <w:b/>
          <w:bCs/>
          <w:sz w:val="22"/>
          <w:lang w:eastAsia="zh-CN"/>
        </w:rPr>
        <w:t xml:space="preserve">Il est de plus rappelé que le présent </w:t>
      </w:r>
      <w:r>
        <w:rPr>
          <w:rFonts w:eastAsia="Times New Roman" w:cs="Arial"/>
          <w:b/>
          <w:bCs/>
          <w:sz w:val="22"/>
          <w:lang w:eastAsia="zh-CN"/>
        </w:rPr>
        <w:t>cadre de réponse</w:t>
      </w:r>
      <w:r w:rsidRPr="009A1D0D">
        <w:rPr>
          <w:rFonts w:eastAsia="Times New Roman" w:cs="Arial"/>
          <w:b/>
          <w:bCs/>
          <w:sz w:val="22"/>
          <w:lang w:eastAsia="zh-CN"/>
        </w:rPr>
        <w:t xml:space="preserve">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011153E6" w14:textId="4967503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7D4771" w14:textId="77777777" w:rsidR="009A1D0D" w:rsidRDefault="009A1D0D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335E6C8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pouvoir adjudicateur se réserve la possibilité, durant toute la durée de l’accord-cadre, de procéder à des contrôles sur chaque élément déclaré dans le mémoire technique et le cas échéant d’appliquer les pénalités prévues au 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179691B4" w14:textId="77777777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>
          <w:headerReference w:type="default" r:id="rId11"/>
          <w:footerReference w:type="default" r:id="rId12"/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607A5E4F" w14:textId="5E6A08BB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5180E96B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801C62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FC5A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FA5C730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5D742A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801C62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2BA2140A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 w:rsidR="007B28A2"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="007B28A2"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 w:rsidR="007B28A2"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60E6FE4D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9D3FB8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17722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50767CA8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C6BB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7D55D496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0C98AFB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2EE5AF34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74F79038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2810ABD2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29C63DE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……………………</w:t>
            </w:r>
          </w:p>
          <w:p w14:paraId="2CFBB38F" w14:textId="41F58F95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7495BC8B" w:rsidR="00201A7E" w:rsidRPr="00264732" w:rsidRDefault="008A00F3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DE6E7" w14:textId="5F67F200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="00F7032D">
              <w:rPr>
                <w:rFonts w:eastAsia="Times New Roman" w:cs="Arial"/>
                <w:sz w:val="22"/>
                <w:lang w:eastAsia="zh-CN"/>
              </w:rPr>
              <w:t>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27FE176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9D3BF70" w14:textId="2BFF0EFB" w:rsidR="00250064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72EE7DCF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755310" w14:textId="787EBE71" w:rsidR="008A00F3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315CE73C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F4F0DA2" w14:textId="49925A17" w:rsidR="008A00F3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0E96F475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AAB8DAB" w14:textId="63484FE2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</w:t>
            </w:r>
            <w:proofErr w:type="gramStart"/>
            <w:r w:rsidR="00571E44" w:rsidRPr="00DD6812">
              <w:rPr>
                <w:rFonts w:eastAsia="Times New Roman" w:cs="Arial"/>
                <w:sz w:val="22"/>
                <w:lang w:eastAsia="zh-CN"/>
              </w:rPr>
              <w:t xml:space="preserve"> :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</w:t>
            </w:r>
          </w:p>
          <w:p w14:paraId="1CC27438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5F3BC450" w:rsidR="008A00F3" w:rsidRPr="00264732" w:rsidRDefault="008A00F3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5E7300" w:rsidRPr="00264732" w14:paraId="281D4C15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DB13" w14:textId="77777777" w:rsidR="005E7300" w:rsidRPr="00264732" w:rsidRDefault="005E7300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45F3D350" w:rsidR="003272D0" w:rsidRPr="00264732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5348BCC4" w14:textId="77777777" w:rsidR="003272D0" w:rsidRPr="00264732" w:rsidRDefault="003272D0" w:rsidP="003272D0">
      <w:pPr>
        <w:rPr>
          <w:rFonts w:eastAsia="Times New Roman" w:cs="Arial"/>
          <w:sz w:val="22"/>
          <w:lang w:eastAsia="zh-CN"/>
        </w:rPr>
      </w:pPr>
    </w:p>
    <w:p w14:paraId="35FE6E78" w14:textId="632E7B90" w:rsidR="003272D0" w:rsidRPr="00264732" w:rsidRDefault="003272D0" w:rsidP="003272D0">
      <w:pPr>
        <w:rPr>
          <w:rFonts w:eastAsia="Times New Roman" w:cs="Arial"/>
          <w:sz w:val="22"/>
          <w:lang w:eastAsia="zh-CN"/>
        </w:rPr>
      </w:pPr>
    </w:p>
    <w:p w14:paraId="69A0FE9E" w14:textId="5FE53AF2" w:rsidR="00201A7E" w:rsidRPr="00264732" w:rsidRDefault="003272D0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>
          <w:pgSz w:w="11906" w:h="16838"/>
          <w:pgMar w:top="720" w:right="720" w:bottom="765" w:left="720" w:header="720" w:footer="709" w:gutter="0"/>
          <w:cols w:space="720"/>
          <w:docGrid w:linePitch="360"/>
        </w:sectPr>
      </w:pPr>
      <w:r w:rsidRPr="00264732">
        <w:rPr>
          <w:rFonts w:eastAsia="Times New Roman" w:cs="Arial"/>
          <w:sz w:val="22"/>
          <w:lang w:eastAsia="zh-CN"/>
        </w:rPr>
        <w:tab/>
      </w:r>
      <w:r w:rsidRPr="00264732">
        <w:rPr>
          <w:rFonts w:eastAsia="Times New Roman" w:cs="Arial"/>
          <w:sz w:val="22"/>
          <w:lang w:eastAsia="zh-CN"/>
        </w:rPr>
        <w:br w:type="page"/>
      </w:r>
    </w:p>
    <w:tbl>
      <w:tblPr>
        <w:tblpPr w:leftFromText="141" w:rightFromText="141" w:horzAnchor="page" w:tblpX="721" w:tblpY="-465"/>
        <w:tblW w:w="531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4"/>
      </w:tblGrid>
      <w:tr w:rsidR="003403FE" w:rsidRPr="00C9169C" w14:paraId="0B329385" w14:textId="77777777" w:rsidTr="00A21B65">
        <w:trPr>
          <w:trHeight w:val="347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21EAC1" w14:textId="77777777" w:rsidR="003403FE" w:rsidRPr="00A21B65" w:rsidRDefault="003403FE" w:rsidP="003403FE">
            <w:pPr>
              <w:spacing w:after="0" w:line="256" w:lineRule="auto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21B65">
              <w:rPr>
                <w:rFonts w:eastAsia="Calibri" w:cs="Arial"/>
                <w:b/>
                <w:bCs/>
                <w:color w:val="000000" w:themeColor="text1"/>
                <w:sz w:val="22"/>
                <w:lang w:eastAsia="fr-FR"/>
              </w:rPr>
              <w:lastRenderedPageBreak/>
              <w:t> </w:t>
            </w:r>
          </w:p>
          <w:p w14:paraId="3637CAA7" w14:textId="710D8299" w:rsidR="003403FE" w:rsidRPr="00A21B65" w:rsidRDefault="003403FE" w:rsidP="003403FE">
            <w:pPr>
              <w:spacing w:after="0" w:line="256" w:lineRule="auto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Critère n°1: Prix des prestations</w:t>
            </w:r>
            <w:r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 xml:space="preserve"> </w:t>
            </w:r>
            <w:r w:rsidR="00631ED0"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>(60</w:t>
            </w:r>
            <w:r w:rsidR="00ED0837"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>%)</w:t>
            </w:r>
          </w:p>
          <w:p w14:paraId="156628A9" w14:textId="77777777" w:rsidR="003403FE" w:rsidRPr="00A21B65" w:rsidRDefault="003403FE" w:rsidP="003403FE">
            <w:pPr>
              <w:spacing w:after="0" w:line="256" w:lineRule="auto"/>
              <w:jc w:val="center"/>
              <w:rPr>
                <w:rFonts w:eastAsia="Calibri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Calibri" w:cs="Arial"/>
                <w:color w:val="000000" w:themeColor="text1"/>
                <w:sz w:val="22"/>
                <w:lang w:eastAsia="fr-FR"/>
              </w:rPr>
              <w:t> </w:t>
            </w:r>
          </w:p>
        </w:tc>
      </w:tr>
      <w:tr w:rsidR="00631ED0" w:rsidRPr="00C9169C" w14:paraId="1010AA88" w14:textId="77777777" w:rsidTr="00A21B65">
        <w:trPr>
          <w:trHeight w:val="347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700230" w14:textId="63D70EA4" w:rsidR="00631ED0" w:rsidRPr="00A21B65" w:rsidRDefault="00631ED0" w:rsidP="00AA3FE2">
            <w:pPr>
              <w:spacing w:after="0" w:line="256" w:lineRule="auto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21B65">
              <w:rPr>
                <w:rFonts w:eastAsia="Times New Roman" w:cs="Arial"/>
                <w:sz w:val="22"/>
                <w:lang w:eastAsia="fr-FR"/>
              </w:rPr>
              <w:t xml:space="preserve">Réponde à </w:t>
            </w:r>
            <w:r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>partir de l’annexe 1</w:t>
            </w:r>
            <w:r w:rsidR="003E508B">
              <w:rPr>
                <w:rFonts w:eastAsia="Times New Roman" w:cs="Arial"/>
                <w:color w:val="000000" w:themeColor="text1"/>
                <w:sz w:val="22"/>
                <w:lang w:eastAsia="fr-FR"/>
              </w:rPr>
              <w:t xml:space="preserve"> de l’AE</w:t>
            </w:r>
            <w:r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 xml:space="preserve">, Décomposition </w:t>
            </w:r>
            <w:r w:rsidR="00AA3FE2">
              <w:rPr>
                <w:rFonts w:eastAsia="Times New Roman" w:cs="Arial"/>
                <w:color w:val="000000" w:themeColor="text1"/>
                <w:sz w:val="22"/>
                <w:lang w:eastAsia="fr-FR"/>
              </w:rPr>
              <w:t>du</w:t>
            </w:r>
            <w:r w:rsidRPr="00A21B65">
              <w:rPr>
                <w:rFonts w:eastAsia="Times New Roman" w:cs="Arial"/>
                <w:color w:val="000000" w:themeColor="text1"/>
                <w:sz w:val="22"/>
                <w:lang w:eastAsia="fr-FR"/>
              </w:rPr>
              <w:t xml:space="preserve"> prix globale et forfaitaire (DPGF)</w:t>
            </w:r>
          </w:p>
        </w:tc>
      </w:tr>
    </w:tbl>
    <w:p w14:paraId="1123E1F9" w14:textId="77777777" w:rsidR="00591D35" w:rsidRDefault="00591D35">
      <w:r>
        <w:br w:type="page"/>
      </w:r>
    </w:p>
    <w:tbl>
      <w:tblPr>
        <w:tblpPr w:leftFromText="141" w:rightFromText="141" w:horzAnchor="page" w:tblpX="721" w:tblpY="-465"/>
        <w:tblW w:w="531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4"/>
      </w:tblGrid>
      <w:tr w:rsidR="00C71BF0" w:rsidRPr="00C9169C" w14:paraId="235973D4" w14:textId="77777777" w:rsidTr="00A21B65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97940" w14:textId="6392B986" w:rsidR="00C71BF0" w:rsidRPr="00A21B65" w:rsidRDefault="003403FE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lastRenderedPageBreak/>
              <w:t>Critère n°2</w:t>
            </w:r>
            <w:r w:rsidR="00C71BF0" w:rsidRPr="00A21B65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 </w:t>
            </w:r>
            <w:r w:rsidR="00C71BF0" w:rsidRPr="00A21B6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: </w:t>
            </w:r>
            <w:r w:rsidRPr="00A21B6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Valeur technique</w:t>
            </w:r>
            <w:r w:rsidR="00E7783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 (35</w:t>
            </w:r>
            <w:r w:rsidR="00ED0837" w:rsidRPr="00A21B6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%)</w:t>
            </w:r>
          </w:p>
          <w:p w14:paraId="71A3A46F" w14:textId="6FFE2695" w:rsidR="00A21B65" w:rsidRPr="00A21B65" w:rsidRDefault="00A21B65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lang w:eastAsia="fr-FR"/>
              </w:rPr>
            </w:pPr>
          </w:p>
          <w:p w14:paraId="0E971E49" w14:textId="0142F421" w:rsidR="00A21B65" w:rsidRPr="00A21B65" w:rsidRDefault="00A21B65" w:rsidP="00A21B65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Les réponses des candidats ne devront pas dépasser 5 pages pour les critères n°1, 3 et 4 et 15 pages pour le critère n°2. </w:t>
            </w:r>
          </w:p>
          <w:p w14:paraId="009C37C9" w14:textId="420995D2" w:rsidR="00A21B65" w:rsidRPr="00A21B65" w:rsidRDefault="00A21B65" w:rsidP="00A21B65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Tous les éléments supplémentaires ne seront pas pris en compte dans l’évaluation de la réponse du candidat. </w:t>
            </w:r>
          </w:p>
          <w:p w14:paraId="69723CAC" w14:textId="749B4026" w:rsidR="00C71BF0" w:rsidRPr="00A21B65" w:rsidRDefault="00A21B65" w:rsidP="00A21B65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Les réponses devront obligatoirement être inscrites dans le tableau qui suit en respectant le format suivant : </w:t>
            </w:r>
          </w:p>
          <w:p w14:paraId="0F22C19F" w14:textId="77777777" w:rsidR="00A21B65" w:rsidRPr="00A21B65" w:rsidRDefault="00A21B65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ARIAL ou TIMES NEW ROMAN </w:t>
            </w:r>
          </w:p>
          <w:p w14:paraId="667A1C60" w14:textId="1A38232F" w:rsidR="00A21B65" w:rsidRPr="00A21B65" w:rsidRDefault="00A21B65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>Taille 10</w:t>
            </w:r>
          </w:p>
          <w:p w14:paraId="76AA764C" w14:textId="456A842B" w:rsidR="00A21B65" w:rsidRPr="00A21B65" w:rsidRDefault="00A21B65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>Interligne 1.15</w:t>
            </w:r>
          </w:p>
          <w:p w14:paraId="6039EFE1" w14:textId="12693711" w:rsidR="00A21B65" w:rsidRPr="00A21B65" w:rsidRDefault="00A21B65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  <w:tr w:rsidR="00C71BF0" w:rsidRPr="00631ED0" w14:paraId="0C51CB20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2F74A9" w14:textId="28A27E26" w:rsidR="00C71BF0" w:rsidRPr="00A21B65" w:rsidRDefault="003403FE" w:rsidP="00631ED0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 xml:space="preserve">Sous-critère n°1 : Equipe dédiée </w:t>
            </w:r>
            <w:r w:rsidR="00ED0837"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 xml:space="preserve">(composition de l’équipe avec CV, références en matière de recrutement, </w:t>
            </w:r>
            <w:r w:rsidR="00631ED0"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personne dédiée) – 15</w:t>
            </w:r>
            <w:r w:rsidR="00ED0837"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%</w:t>
            </w:r>
          </w:p>
        </w:tc>
      </w:tr>
      <w:tr w:rsidR="00A21B65" w:rsidRPr="00A21B65" w14:paraId="52A608E2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88066A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6ED6C793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7619B0F1" w14:textId="7C2692B3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A21B65" w:rsidRPr="00A21B65" w14:paraId="0D9CE91A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5E0971" w14:textId="05A94424" w:rsidR="00A21B65" w:rsidRPr="00A21B65" w:rsidRDefault="00A21B65" w:rsidP="00E7783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Sous-critère n°2 : Compréhension du contexte de la mission et méthodologie – 1</w:t>
            </w:r>
            <w:r w:rsidR="00E7783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0</w:t>
            </w: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%</w:t>
            </w:r>
          </w:p>
        </w:tc>
      </w:tr>
      <w:tr w:rsidR="00A21B65" w:rsidRPr="00A21B65" w14:paraId="613F4AC8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CFA6D0" w14:textId="1BB1CEC1" w:rsidR="00A21B65" w:rsidRP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Sous-critère n°2.1 : Compréhension du contexte</w:t>
            </w:r>
          </w:p>
        </w:tc>
      </w:tr>
      <w:tr w:rsidR="00A21B65" w:rsidRPr="00A21B65" w14:paraId="1E56CD74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B4944E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35601285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40B5ED20" w14:textId="6EE72AC1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A21B65" w:rsidRPr="00A21B65" w14:paraId="45482023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59E236" w14:textId="418AB185" w:rsidR="00A21B65" w:rsidRP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Sous-critère n°2.2 : Méthodologie générale de la mission (Elément de méthodologie générale pour assurer la mission, présentation de livrables…)</w:t>
            </w:r>
          </w:p>
        </w:tc>
      </w:tr>
      <w:tr w:rsidR="00A21B65" w:rsidRPr="00A21B65" w14:paraId="66C26AC1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E4A580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5C5A373D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2BD007A7" w14:textId="3CE29AD2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A21B65" w:rsidRPr="00A21B65" w14:paraId="733536C2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65E5FF" w14:textId="15F443BD" w:rsidR="00A21B65" w:rsidRP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 xml:space="preserve">Sous-critère n°2.4 : Méthodologie pour la mise en œuvre des objectifs de développements durables </w:t>
            </w:r>
          </w:p>
        </w:tc>
      </w:tr>
      <w:tr w:rsidR="00A21B65" w:rsidRPr="00A21B65" w14:paraId="4D5DA387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29CC20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566DF6C7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3A905019" w14:textId="55270EC1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A21B65" w:rsidRPr="00A21B65" w14:paraId="3CE9E514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9B1E65" w14:textId="0A9893CE" w:rsidR="00A21B65" w:rsidRP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Sous-critère n°3 :   Références dans la mission et référence dans l'enseignement supérieur et la recherche – 5%</w:t>
            </w:r>
          </w:p>
        </w:tc>
      </w:tr>
      <w:tr w:rsidR="00A21B65" w:rsidRPr="00A21B65" w14:paraId="10647F68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8371B2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20BDFFA4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3F573A4D" w14:textId="399192EA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A21B65" w:rsidRPr="00A21B65" w14:paraId="1278A271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C85E0" w14:textId="2C4864B9" w:rsidR="00A21B65" w:rsidRP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lastRenderedPageBreak/>
              <w:t>Sous-critère n°4 :  Méthodologie en terme</w:t>
            </w:r>
            <w:r w:rsidR="00065718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>s</w:t>
            </w: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 xml:space="preserve"> d’organisation de la mission (planning et délais) – 5%</w:t>
            </w:r>
          </w:p>
        </w:tc>
      </w:tr>
      <w:tr w:rsidR="00A21B65" w:rsidRPr="00A21B65" w14:paraId="236A5CA3" w14:textId="77777777" w:rsidTr="00A21B65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B94A48" w14:textId="77777777" w:rsidR="00A21B65" w:rsidRDefault="00A21B65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270C0331" w14:textId="77777777" w:rsidR="00BA0581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7C4CA532" w14:textId="372F2786" w:rsidR="00BA0581" w:rsidRPr="00A21B65" w:rsidRDefault="00BA0581" w:rsidP="00A21B6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</w:tbl>
    <w:p w14:paraId="5CBA8373" w14:textId="77777777" w:rsidR="00E77835" w:rsidRDefault="00E77835">
      <w:r>
        <w:br w:type="page"/>
      </w:r>
    </w:p>
    <w:tbl>
      <w:tblPr>
        <w:tblpPr w:leftFromText="141" w:rightFromText="141" w:horzAnchor="page" w:tblpX="721" w:tblpY="-465"/>
        <w:tblW w:w="531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4"/>
      </w:tblGrid>
      <w:tr w:rsidR="00E77835" w:rsidRPr="00C9169C" w14:paraId="2A9E71E2" w14:textId="77777777" w:rsidTr="00AE577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20BEB" w14:textId="0B0EE739" w:rsidR="00E77835" w:rsidRPr="00A21B65" w:rsidRDefault="00E77835" w:rsidP="00AE577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lastRenderedPageBreak/>
              <w:t>Critère n°</w:t>
            </w:r>
            <w:r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3</w:t>
            </w:r>
            <w:r w:rsidRPr="00A21B65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 </w:t>
            </w:r>
            <w:r w:rsidRPr="00A21B6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: </w:t>
            </w:r>
            <w:r w:rsidRPr="00A21B65">
              <w:rPr>
                <w:rFonts w:eastAsia="Times New Roman" w:cs="Arial"/>
                <w:b/>
                <w:color w:val="000000"/>
                <w:sz w:val="22"/>
                <w:lang w:eastAsia="fr-FR"/>
              </w:rPr>
              <w:t xml:space="preserve"> Méthodologie pour la mise en œuvre des objectifs de développements durables </w:t>
            </w:r>
            <w:r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(5</w:t>
            </w:r>
            <w:r w:rsidRPr="00A21B65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%)</w:t>
            </w:r>
          </w:p>
          <w:p w14:paraId="0D700606" w14:textId="77777777" w:rsidR="00E77835" w:rsidRPr="00A21B65" w:rsidRDefault="00E77835" w:rsidP="00AE577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lang w:eastAsia="fr-FR"/>
              </w:rPr>
            </w:pPr>
          </w:p>
          <w:p w14:paraId="1DA3CAE1" w14:textId="391324E0" w:rsidR="00E77835" w:rsidRPr="00A21B65" w:rsidRDefault="00E77835" w:rsidP="00AE577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Les réponses des candidats ne devront pas dépasser 5 pages pour </w:t>
            </w:r>
            <w:r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>ce critère.</w:t>
            </w: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 </w:t>
            </w:r>
          </w:p>
          <w:p w14:paraId="2FAAE425" w14:textId="77777777" w:rsidR="00E77835" w:rsidRPr="00A21B65" w:rsidRDefault="00E77835" w:rsidP="00AE577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Tous les éléments supplémentaires ne seront pas pris en compte dans l’évaluation de la réponse du candidat. </w:t>
            </w:r>
          </w:p>
          <w:p w14:paraId="49FF2114" w14:textId="77777777" w:rsidR="00E77835" w:rsidRPr="00A21B65" w:rsidRDefault="00E77835" w:rsidP="00AE577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Les réponses devront obligatoirement être inscrites dans le tableau qui suit en respectant le format suivant : </w:t>
            </w:r>
          </w:p>
          <w:p w14:paraId="5BA4DA99" w14:textId="77777777" w:rsidR="00E77835" w:rsidRPr="00A21B65" w:rsidRDefault="00E77835" w:rsidP="00AE577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 xml:space="preserve">ARIAL ou TIMES NEW ROMAN </w:t>
            </w:r>
          </w:p>
          <w:p w14:paraId="5E6313B8" w14:textId="77777777" w:rsidR="00E77835" w:rsidRPr="00A21B65" w:rsidRDefault="00E77835" w:rsidP="00AE577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>Taille 10</w:t>
            </w:r>
          </w:p>
          <w:p w14:paraId="19F86884" w14:textId="77777777" w:rsidR="00E77835" w:rsidRPr="00A21B65" w:rsidRDefault="00E77835" w:rsidP="00AE577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i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b/>
                <w:bCs/>
                <w:i/>
                <w:color w:val="000000"/>
                <w:sz w:val="22"/>
                <w:highlight w:val="yellow"/>
                <w:lang w:eastAsia="fr-FR"/>
              </w:rPr>
              <w:t>Interligne 1.15</w:t>
            </w:r>
          </w:p>
          <w:p w14:paraId="69CE4E4B" w14:textId="77777777" w:rsidR="00E77835" w:rsidRPr="00A21B65" w:rsidRDefault="00E77835" w:rsidP="00AE577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  <w:tr w:rsidR="00E77835" w:rsidRPr="00C9169C" w14:paraId="0FC2021D" w14:textId="77777777" w:rsidTr="00E77835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3045AA" w14:textId="77777777" w:rsidR="00E77835" w:rsidRDefault="00E77835" w:rsidP="00E7783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  <w:r w:rsidRPr="00A21B65">
              <w:rPr>
                <w:rFonts w:eastAsia="Times New Roman" w:cs="Arial"/>
                <w:color w:val="000000"/>
                <w:sz w:val="22"/>
                <w:lang w:eastAsia="fr-FR"/>
              </w:rPr>
              <w:t>Réponse du candidat </w:t>
            </w:r>
          </w:p>
          <w:p w14:paraId="72F991A7" w14:textId="77777777" w:rsidR="00BA0581" w:rsidRDefault="00BA0581" w:rsidP="00E7783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36D92C87" w14:textId="77777777" w:rsidR="00BA0581" w:rsidRDefault="00BA0581" w:rsidP="00E7783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  <w:p w14:paraId="3E0638E8" w14:textId="3BE0B6FF" w:rsidR="00BA0581" w:rsidRPr="00A21B65" w:rsidRDefault="00BA0581" w:rsidP="00E7783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</w:p>
        </w:tc>
      </w:tr>
    </w:tbl>
    <w:p w14:paraId="2486F64A" w14:textId="77777777" w:rsidR="00365406" w:rsidRPr="00C9169C" w:rsidRDefault="00365406" w:rsidP="00201A7E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365406" w:rsidRPr="00C9169C" w:rsidSect="003272D0">
      <w:footerReference w:type="default" r:id="rId13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94B9A" w14:textId="2F123CC9" w:rsidR="00B54C77" w:rsidRDefault="00B54C77">
    <w:pPr>
      <w:pStyle w:val="Pieddepage"/>
      <w:ind w:right="360"/>
      <w:rPr>
        <w:rFonts w:cs="Arial"/>
        <w:sz w:val="16"/>
        <w:szCs w:val="16"/>
      </w:rPr>
    </w:pPr>
  </w:p>
  <w:p w14:paraId="69B2C7EE" w14:textId="77777777" w:rsidR="00B54C77" w:rsidRDefault="00B54C77">
    <w:pPr>
      <w:pStyle w:val="Pieddepage"/>
      <w:ind w:right="360"/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A2E58" w14:textId="0DD14B35" w:rsidR="00BA0581" w:rsidRPr="009514AA" w:rsidRDefault="00BA0581" w:rsidP="00BA0581">
    <w:pPr>
      <w:tabs>
        <w:tab w:val="center" w:pos="4536"/>
        <w:tab w:val="left" w:pos="8364"/>
        <w:tab w:val="right" w:pos="9072"/>
      </w:tabs>
      <w:spacing w:after="0"/>
      <w:jc w:val="center"/>
      <w:rPr>
        <w:rFonts w:cs="Arial"/>
        <w:color w:val="808080"/>
        <w:sz w:val="18"/>
        <w:szCs w:val="18"/>
      </w:rPr>
    </w:pPr>
    <w:r>
      <w:rPr>
        <w:rFonts w:cs="Arial"/>
        <w:color w:val="808080"/>
        <w:sz w:val="18"/>
        <w:szCs w:val="18"/>
      </w:rPr>
      <w:t>CRT</w:t>
    </w:r>
    <w:r w:rsidRPr="009514AA">
      <w:rPr>
        <w:rFonts w:cs="Arial"/>
        <w:color w:val="808080"/>
        <w:sz w:val="18"/>
        <w:szCs w:val="18"/>
      </w:rPr>
      <w:t xml:space="preserve"> 2025-009 – Mission d’AMO </w:t>
    </w:r>
    <w:r>
      <w:rPr>
        <w:rFonts w:cs="Arial"/>
        <w:color w:val="808080"/>
        <w:sz w:val="18"/>
        <w:szCs w:val="18"/>
      </w:rPr>
      <w:t>Propreté</w:t>
    </w:r>
    <w:r w:rsidRPr="009514AA">
      <w:rPr>
        <w:rFonts w:cs="Arial"/>
        <w:color w:val="808080"/>
        <w:sz w:val="18"/>
        <w:szCs w:val="18"/>
      </w:rPr>
      <w:t xml:space="preserve"> et Accueil</w:t>
    </w:r>
    <w:r>
      <w:rPr>
        <w:rFonts w:cs="Arial"/>
        <w:color w:val="808080"/>
        <w:sz w:val="18"/>
        <w:szCs w:val="18"/>
      </w:rPr>
      <w:t xml:space="preserve">-Logistique </w:t>
    </w:r>
    <w:r w:rsidRPr="009514AA">
      <w:rPr>
        <w:rFonts w:cs="Arial"/>
        <w:color w:val="808080"/>
        <w:sz w:val="18"/>
        <w:szCs w:val="18"/>
      </w:rPr>
      <w:t>pour l’Université de Paris Nanterre</w:t>
    </w:r>
    <w:r w:rsidRPr="009514AA" w:rsidDel="004C301C">
      <w:rPr>
        <w:rFonts w:cs="Arial"/>
        <w:color w:val="808080"/>
        <w:sz w:val="18"/>
        <w:szCs w:val="18"/>
      </w:rPr>
      <w:t xml:space="preserve"> </w:t>
    </w:r>
  </w:p>
  <w:p w14:paraId="0AF9C8C8" w14:textId="0943FB68" w:rsidR="00B54C77" w:rsidRPr="00BA0581" w:rsidRDefault="00BA0581" w:rsidP="00BA0581">
    <w:pPr>
      <w:pStyle w:val="Pieddepage"/>
      <w:tabs>
        <w:tab w:val="left" w:pos="8364"/>
      </w:tabs>
      <w:ind w:hanging="567"/>
      <w:jc w:val="center"/>
      <w:rPr>
        <w:rFonts w:cs="Arial"/>
        <w:sz w:val="18"/>
        <w:szCs w:val="18"/>
      </w:rPr>
    </w:pPr>
    <w:r w:rsidRPr="009514AA">
      <w:rPr>
        <w:rFonts w:cs="Arial"/>
        <w:color w:val="808080"/>
        <w:sz w:val="18"/>
        <w:szCs w:val="18"/>
      </w:rPr>
      <w:t>Page</w:t>
    </w:r>
    <w:r w:rsidRPr="009514AA">
      <w:rPr>
        <w:rFonts w:cs="Arial"/>
        <w:sz w:val="18"/>
        <w:szCs w:val="18"/>
      </w:rPr>
      <w:t xml:space="preserve"> </w:t>
    </w:r>
    <w:r w:rsidRPr="009514AA">
      <w:rPr>
        <w:rFonts w:cs="Arial"/>
        <w:color w:val="808080"/>
        <w:sz w:val="18"/>
        <w:szCs w:val="18"/>
      </w:rPr>
      <w:fldChar w:fldCharType="begin"/>
    </w:r>
    <w:r w:rsidRPr="009514AA">
      <w:rPr>
        <w:rFonts w:cs="Arial"/>
        <w:color w:val="808080"/>
        <w:sz w:val="18"/>
        <w:szCs w:val="18"/>
      </w:rPr>
      <w:instrText>PAGE</w:instrText>
    </w:r>
    <w:r w:rsidRPr="009514AA">
      <w:rPr>
        <w:rFonts w:cs="Arial"/>
        <w:color w:val="808080"/>
        <w:sz w:val="18"/>
        <w:szCs w:val="18"/>
      </w:rPr>
      <w:fldChar w:fldCharType="separate"/>
    </w:r>
    <w:r w:rsidR="009D3FB8">
      <w:rPr>
        <w:rFonts w:cs="Arial"/>
        <w:noProof/>
        <w:color w:val="808080"/>
        <w:sz w:val="18"/>
        <w:szCs w:val="18"/>
      </w:rPr>
      <w:t>7</w:t>
    </w:r>
    <w:r w:rsidRPr="009514AA">
      <w:rPr>
        <w:rFonts w:cs="Arial"/>
        <w:color w:val="808080"/>
        <w:sz w:val="18"/>
        <w:szCs w:val="18"/>
      </w:rPr>
      <w:fldChar w:fldCharType="end"/>
    </w:r>
    <w:r w:rsidRPr="009514AA">
      <w:rPr>
        <w:rFonts w:cs="Arial"/>
        <w:color w:val="808080"/>
        <w:sz w:val="18"/>
        <w:szCs w:val="18"/>
      </w:rPr>
      <w:t xml:space="preserve"> sur</w:t>
    </w:r>
    <w:r w:rsidRPr="009514AA">
      <w:rPr>
        <w:rFonts w:cs="Arial"/>
        <w:sz w:val="18"/>
        <w:szCs w:val="18"/>
      </w:rPr>
      <w:t xml:space="preserve"> </w:t>
    </w:r>
    <w:r w:rsidRPr="009514AA">
      <w:rPr>
        <w:rFonts w:cs="Arial"/>
        <w:noProof/>
        <w:color w:val="808080"/>
        <w:sz w:val="18"/>
        <w:szCs w:val="18"/>
      </w:rPr>
      <w:fldChar w:fldCharType="begin"/>
    </w:r>
    <w:r w:rsidRPr="009514AA">
      <w:rPr>
        <w:rFonts w:cs="Arial"/>
        <w:noProof/>
        <w:color w:val="808080"/>
        <w:sz w:val="18"/>
        <w:szCs w:val="18"/>
      </w:rPr>
      <w:instrText>NUMPAGES</w:instrText>
    </w:r>
    <w:r w:rsidRPr="009514AA">
      <w:rPr>
        <w:rFonts w:cs="Arial"/>
        <w:noProof/>
        <w:color w:val="808080"/>
        <w:sz w:val="18"/>
        <w:szCs w:val="18"/>
      </w:rPr>
      <w:fldChar w:fldCharType="separate"/>
    </w:r>
    <w:r w:rsidR="009D3FB8">
      <w:rPr>
        <w:rFonts w:cs="Arial"/>
        <w:noProof/>
        <w:color w:val="808080"/>
        <w:sz w:val="18"/>
        <w:szCs w:val="18"/>
      </w:rPr>
      <w:t>7</w:t>
    </w:r>
    <w:r w:rsidRPr="009514AA">
      <w:rPr>
        <w:rFonts w:cs="Arial"/>
        <w:noProof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B54C77" w:rsidRDefault="00B54C77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81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65718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3D8B"/>
    <w:rsid w:val="00337ED5"/>
    <w:rsid w:val="003403FE"/>
    <w:rsid w:val="00343D21"/>
    <w:rsid w:val="00343FBD"/>
    <w:rsid w:val="00351925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08B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4037"/>
    <w:rsid w:val="005873D1"/>
    <w:rsid w:val="00591D35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1ED0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4B85"/>
    <w:rsid w:val="007221EB"/>
    <w:rsid w:val="007222B6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56580"/>
    <w:rsid w:val="00764189"/>
    <w:rsid w:val="0076520F"/>
    <w:rsid w:val="00767BBC"/>
    <w:rsid w:val="00770D64"/>
    <w:rsid w:val="00772D1A"/>
    <w:rsid w:val="007772E7"/>
    <w:rsid w:val="00777F0E"/>
    <w:rsid w:val="00780FDA"/>
    <w:rsid w:val="00786AB7"/>
    <w:rsid w:val="00787099"/>
    <w:rsid w:val="00791311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92C6D"/>
    <w:rsid w:val="009934B9"/>
    <w:rsid w:val="0099749B"/>
    <w:rsid w:val="009A1D0D"/>
    <w:rsid w:val="009A1E58"/>
    <w:rsid w:val="009A1EEE"/>
    <w:rsid w:val="009A573A"/>
    <w:rsid w:val="009A64CC"/>
    <w:rsid w:val="009A7EF3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3FB8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1B65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3FE2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4C77"/>
    <w:rsid w:val="00B563B8"/>
    <w:rsid w:val="00B57BF9"/>
    <w:rsid w:val="00B65246"/>
    <w:rsid w:val="00B65B7D"/>
    <w:rsid w:val="00B660C3"/>
    <w:rsid w:val="00B67283"/>
    <w:rsid w:val="00B71D71"/>
    <w:rsid w:val="00B72FDA"/>
    <w:rsid w:val="00B72FF8"/>
    <w:rsid w:val="00B73A26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0581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47C14"/>
    <w:rsid w:val="00D50125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77835"/>
    <w:rsid w:val="00E82441"/>
    <w:rsid w:val="00E82956"/>
    <w:rsid w:val="00E83A9E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86CDD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A1D0D"/>
    <w:pPr>
      <w:tabs>
        <w:tab w:val="left" w:pos="708"/>
      </w:tabs>
      <w:suppressAutoHyphens/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BB6A-F001-47FD-8E94-87016258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7</Pages>
  <Words>755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19</cp:revision>
  <cp:lastPrinted>2024-07-08T10:50:00Z</cp:lastPrinted>
  <dcterms:created xsi:type="dcterms:W3CDTF">2024-10-04T10:41:00Z</dcterms:created>
  <dcterms:modified xsi:type="dcterms:W3CDTF">2025-05-06T16:11:00Z</dcterms:modified>
</cp:coreProperties>
</file>