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1942" w14:textId="18367C76" w:rsidR="008A4473" w:rsidRDefault="008A4473" w:rsidP="000E3D5A">
      <w:pPr>
        <w:rPr>
          <w:b/>
          <w:i/>
          <w:iCs/>
        </w:rPr>
      </w:pPr>
    </w:p>
    <w:p w14:paraId="7D5170D0" w14:textId="07513DF3" w:rsidR="00554E63" w:rsidRDefault="00554E63" w:rsidP="00554E63">
      <w:pPr>
        <w:jc w:val="center"/>
        <w:rPr>
          <w:b/>
          <w:sz w:val="24"/>
          <w:szCs w:val="24"/>
          <w:u w:val="single"/>
        </w:rPr>
      </w:pPr>
      <w:r w:rsidRPr="00554E63">
        <w:rPr>
          <w:b/>
          <w:sz w:val="24"/>
          <w:szCs w:val="24"/>
          <w:u w:val="single"/>
        </w:rPr>
        <w:t>SUPPORT DE MÉMOIRE TECHNIQUE</w:t>
      </w:r>
    </w:p>
    <w:p w14:paraId="52C2355E" w14:textId="77777777" w:rsidR="00554E63" w:rsidRDefault="00554E63" w:rsidP="00554E63">
      <w:pPr>
        <w:jc w:val="center"/>
        <w:rPr>
          <w:b/>
          <w:sz w:val="24"/>
          <w:szCs w:val="24"/>
          <w:u w:val="single"/>
        </w:rPr>
      </w:pPr>
    </w:p>
    <w:p w14:paraId="1D33DB88" w14:textId="77777777" w:rsidR="00554E63" w:rsidRPr="00554E63" w:rsidRDefault="00554E63" w:rsidP="00554E6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F36E5E" w14:textId="254BEF3D" w:rsidR="00922307" w:rsidRPr="00F30763" w:rsidRDefault="00554E63" w:rsidP="00554E6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F30763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Accord-Cadre N</w:t>
      </w:r>
      <w:r w:rsidR="001243DB" w:rsidRPr="00F30763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° </w:t>
      </w:r>
      <w:r w:rsidR="00441D15" w:rsidRPr="00F30763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202</w:t>
      </w:r>
      <w:r w:rsidR="000E3D5A" w:rsidRPr="00F30763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5FFTVXENTRE</w:t>
      </w:r>
    </w:p>
    <w:p w14:paraId="09B9430A" w14:textId="15403201" w:rsidR="001243DB" w:rsidRPr="002C2085" w:rsidRDefault="00922307" w:rsidP="00554E6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54E63">
        <w:rPr>
          <w:rFonts w:ascii="Times New Roman" w:hAnsi="Times New Roman" w:cs="Times New Roman"/>
          <w:b/>
          <w:smallCaps/>
        </w:rPr>
        <w:t xml:space="preserve">Travaux annuels d’entretien et de rénovation des différents campus de l’université </w:t>
      </w:r>
      <w:r w:rsidR="00F30763" w:rsidRPr="00554E63">
        <w:rPr>
          <w:rFonts w:ascii="Times New Roman" w:hAnsi="Times New Roman" w:cs="Times New Roman"/>
          <w:b/>
          <w:smallCaps/>
        </w:rPr>
        <w:t>Paris-Est</w:t>
      </w:r>
      <w:r w:rsidRPr="00554E63">
        <w:rPr>
          <w:rFonts w:ascii="Times New Roman" w:hAnsi="Times New Roman" w:cs="Times New Roman"/>
          <w:b/>
          <w:smallCaps/>
        </w:rPr>
        <w:t xml:space="preserve"> Créteil</w:t>
      </w:r>
      <w:r w:rsidR="00F30763" w:rsidRPr="00554E63">
        <w:rPr>
          <w:rFonts w:ascii="Times New Roman" w:hAnsi="Times New Roman" w:cs="Times New Roman"/>
          <w:b/>
          <w:smallCaps/>
        </w:rPr>
        <w:t xml:space="preserve"> Val-de-Marne</w:t>
      </w:r>
      <w:r w:rsidR="00F30763">
        <w:rPr>
          <w:rFonts w:ascii="Times New Roman" w:hAnsi="Times New Roman" w:cs="Times New Roman"/>
          <w:b/>
          <w:smallCaps/>
          <w:sz w:val="24"/>
          <w:szCs w:val="24"/>
        </w:rPr>
        <w:t>.</w:t>
      </w:r>
      <w:r w:rsidR="007E2DAF" w:rsidRPr="002473C2">
        <w:rPr>
          <w:rFonts w:ascii="Times New Roman" w:hAnsi="Times New Roman" w:cs="Times New Roman"/>
          <w:b/>
          <w:sz w:val="24"/>
          <w:szCs w:val="24"/>
        </w:rPr>
        <w:br/>
      </w:r>
    </w:p>
    <w:p w14:paraId="5568C65A" w14:textId="77777777" w:rsidR="00BE436E" w:rsidRPr="002473C2" w:rsidRDefault="00BE436E">
      <w:pPr>
        <w:rPr>
          <w:rFonts w:ascii="Times New Roman" w:hAnsi="Times New Roman" w:cs="Times New Roman"/>
          <w:sz w:val="24"/>
          <w:szCs w:val="24"/>
        </w:rPr>
      </w:pPr>
    </w:p>
    <w:p w14:paraId="2F8E5EFD" w14:textId="77777777" w:rsidR="00441D15" w:rsidRPr="002473C2" w:rsidRDefault="0088769A" w:rsidP="009A65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73C2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1243DB" w:rsidRPr="002473C2">
        <w:rPr>
          <w:rFonts w:ascii="Times New Roman" w:hAnsi="Times New Roman" w:cs="Times New Roman"/>
          <w:b/>
          <w:sz w:val="24"/>
          <w:szCs w:val="24"/>
          <w:u w:val="single"/>
        </w:rPr>
        <w:t>Le présent support de mémoire technique est relatif au</w:t>
      </w:r>
    </w:p>
    <w:p w14:paraId="03DED6CC" w14:textId="5281437D" w:rsidR="00441D15" w:rsidRPr="00F31630" w:rsidRDefault="00554E63" w:rsidP="00441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57109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D15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Lot 1</w:t>
      </w:r>
      <w:r w:rsidR="00441D15" w:rsidRPr="002473C2">
        <w:rPr>
          <w:rFonts w:ascii="Times New Roman" w:hAnsi="Times New Roman" w:cs="Times New Roman"/>
          <w:sz w:val="24"/>
          <w:szCs w:val="24"/>
        </w:rPr>
        <w:t xml:space="preserve"> : </w:t>
      </w:r>
      <w:r w:rsidR="00441D15" w:rsidRPr="00F31630">
        <w:rPr>
          <w:rFonts w:ascii="Times New Roman" w:hAnsi="Times New Roman" w:cs="Times New Roman"/>
          <w:sz w:val="24"/>
          <w:szCs w:val="24"/>
        </w:rPr>
        <w:t xml:space="preserve">Travaux annuels de </w:t>
      </w:r>
      <w:r w:rsidR="00922307">
        <w:rPr>
          <w:rFonts w:ascii="Times New Roman" w:hAnsi="Times New Roman" w:cs="Times New Roman"/>
          <w:sz w:val="24"/>
          <w:szCs w:val="24"/>
        </w:rPr>
        <w:t>gros œuvre : ouvertures et percements, béton et maçonnerie, faïence et sols durs</w:t>
      </w:r>
    </w:p>
    <w:p w14:paraId="16E2FD25" w14:textId="5B19A580" w:rsidR="001243DB" w:rsidRPr="002473C2" w:rsidRDefault="00554E63" w:rsidP="00BE4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32096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D15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Lot 2</w:t>
      </w:r>
      <w:r w:rsidR="001243DB" w:rsidRPr="002473C2">
        <w:rPr>
          <w:rFonts w:ascii="Times New Roman" w:hAnsi="Times New Roman" w:cs="Times New Roman"/>
          <w:sz w:val="24"/>
          <w:szCs w:val="24"/>
        </w:rPr>
        <w:t xml:space="preserve"> : </w:t>
      </w:r>
      <w:r w:rsidR="001243DB" w:rsidRPr="00F31630">
        <w:rPr>
          <w:rFonts w:ascii="Times New Roman" w:hAnsi="Times New Roman" w:cs="Times New Roman"/>
          <w:sz w:val="24"/>
          <w:szCs w:val="24"/>
        </w:rPr>
        <w:t xml:space="preserve">Travaux annuels de </w:t>
      </w:r>
      <w:r w:rsidR="00441D15" w:rsidRPr="00F31630">
        <w:rPr>
          <w:rFonts w:ascii="Times New Roman" w:hAnsi="Times New Roman" w:cs="Times New Roman"/>
          <w:sz w:val="24"/>
          <w:szCs w:val="24"/>
        </w:rPr>
        <w:t xml:space="preserve">plafonnage, </w:t>
      </w:r>
      <w:r w:rsidR="00922307" w:rsidRPr="00F31630">
        <w:rPr>
          <w:rFonts w:ascii="Times New Roman" w:hAnsi="Times New Roman" w:cs="Times New Roman"/>
          <w:sz w:val="24"/>
          <w:szCs w:val="24"/>
        </w:rPr>
        <w:t xml:space="preserve">cloisonnement, </w:t>
      </w:r>
      <w:r w:rsidR="00441D15" w:rsidRPr="00F31630">
        <w:rPr>
          <w:rFonts w:ascii="Times New Roman" w:hAnsi="Times New Roman" w:cs="Times New Roman"/>
          <w:sz w:val="24"/>
          <w:szCs w:val="24"/>
        </w:rPr>
        <w:t>doublage</w:t>
      </w:r>
      <w:r w:rsidR="00922307">
        <w:rPr>
          <w:rFonts w:ascii="Times New Roman" w:hAnsi="Times New Roman" w:cs="Times New Roman"/>
          <w:sz w:val="24"/>
          <w:szCs w:val="24"/>
        </w:rPr>
        <w:t>, coffrage et flocage</w:t>
      </w:r>
    </w:p>
    <w:p w14:paraId="1D162E4A" w14:textId="01EF0F4C" w:rsidR="001243DB" w:rsidRPr="00F31630" w:rsidRDefault="00554E63" w:rsidP="00BE4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293597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0723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Lot 3</w:t>
      </w:r>
      <w:r w:rsidR="001243DB" w:rsidRPr="002473C2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1243DB" w:rsidRPr="00F31630">
        <w:rPr>
          <w:rFonts w:ascii="Times New Roman" w:hAnsi="Times New Roman" w:cs="Times New Roman"/>
          <w:sz w:val="24"/>
          <w:szCs w:val="24"/>
        </w:rPr>
        <w:t xml:space="preserve">Travaux annuels de désamiantage </w:t>
      </w:r>
    </w:p>
    <w:p w14:paraId="76FA890C" w14:textId="4B2A8A62" w:rsidR="001243DB" w:rsidRPr="002473C2" w:rsidRDefault="00554E63" w:rsidP="00BE4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214716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29AE"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Lot 4</w:t>
      </w:r>
      <w:r w:rsidR="001243DB" w:rsidRPr="002473C2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1243DB" w:rsidRPr="00F31630">
        <w:rPr>
          <w:rFonts w:ascii="Times New Roman" w:hAnsi="Times New Roman" w:cs="Times New Roman"/>
          <w:sz w:val="24"/>
          <w:szCs w:val="24"/>
        </w:rPr>
        <w:t xml:space="preserve">Travaux annuels d’ossature et de menuiserie </w:t>
      </w:r>
    </w:p>
    <w:p w14:paraId="04688C19" w14:textId="47565C32" w:rsidR="00441D15" w:rsidRPr="002473C2" w:rsidRDefault="00554E63" w:rsidP="0051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679943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43DB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1243DB" w:rsidRPr="0024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6FA0" w:rsidRPr="0024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D15" w:rsidRPr="002473C2">
        <w:rPr>
          <w:rFonts w:ascii="Times New Roman" w:hAnsi="Times New Roman" w:cs="Times New Roman"/>
          <w:b/>
          <w:sz w:val="24"/>
          <w:szCs w:val="24"/>
        </w:rPr>
        <w:t>Lot 5</w:t>
      </w:r>
      <w:r w:rsidR="001243DB" w:rsidRPr="002473C2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1243DB" w:rsidRPr="00F31630">
        <w:rPr>
          <w:rFonts w:ascii="Times New Roman" w:hAnsi="Times New Roman" w:cs="Times New Roman"/>
          <w:sz w:val="24"/>
          <w:szCs w:val="24"/>
        </w:rPr>
        <w:t>Travaux annuels de voirie et résea</w:t>
      </w:r>
      <w:r w:rsidR="009A65F4" w:rsidRPr="00F31630">
        <w:rPr>
          <w:rFonts w:ascii="Times New Roman" w:hAnsi="Times New Roman" w:cs="Times New Roman"/>
          <w:sz w:val="24"/>
          <w:szCs w:val="24"/>
        </w:rPr>
        <w:t xml:space="preserve">ux divers </w:t>
      </w:r>
      <w:r w:rsidR="00922307">
        <w:rPr>
          <w:rFonts w:ascii="Times New Roman" w:hAnsi="Times New Roman" w:cs="Times New Roman"/>
          <w:sz w:val="24"/>
          <w:szCs w:val="24"/>
        </w:rPr>
        <w:t>(VRD)</w:t>
      </w:r>
    </w:p>
    <w:p w14:paraId="39D33C93" w14:textId="77777777" w:rsidR="00441D15" w:rsidRPr="002473C2" w:rsidRDefault="00441D15" w:rsidP="0051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7B4A8" w14:textId="4BDBB909" w:rsidR="00441D15" w:rsidRPr="00F31630" w:rsidRDefault="00554E63" w:rsidP="00441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1321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D15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 Lot 6 : </w:t>
      </w:r>
      <w:r w:rsidR="00441D15" w:rsidRPr="00F31630">
        <w:rPr>
          <w:rFonts w:ascii="Times New Roman" w:hAnsi="Times New Roman" w:cs="Times New Roman"/>
          <w:sz w:val="24"/>
          <w:szCs w:val="24"/>
        </w:rPr>
        <w:t>Travaux annuels de peinture et sols souples</w:t>
      </w:r>
    </w:p>
    <w:p w14:paraId="436A8864" w14:textId="77777777" w:rsidR="00441D15" w:rsidRPr="002473C2" w:rsidRDefault="00441D15" w:rsidP="00441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FF4BCD" w14:textId="5EB1323E" w:rsidR="00441D15" w:rsidRPr="00F31630" w:rsidRDefault="00554E63" w:rsidP="00441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1898087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D15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 Lot 7 : </w:t>
      </w:r>
      <w:r w:rsidR="00441D15" w:rsidRPr="00F31630">
        <w:rPr>
          <w:rFonts w:ascii="Times New Roman" w:hAnsi="Times New Roman" w:cs="Times New Roman"/>
          <w:sz w:val="24"/>
          <w:szCs w:val="24"/>
        </w:rPr>
        <w:t>Travaux annuels de serrurerie, métallerie et menuiseries métalliques</w:t>
      </w:r>
    </w:p>
    <w:p w14:paraId="250BF1C2" w14:textId="77777777" w:rsidR="00441D15" w:rsidRPr="002473C2" w:rsidRDefault="00441D15" w:rsidP="00441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663BC" w14:textId="002E1C25" w:rsidR="00441D15" w:rsidRPr="00F31630" w:rsidRDefault="00554E63" w:rsidP="00441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554776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D15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 Lot 8 : </w:t>
      </w:r>
      <w:r w:rsidR="00441D15" w:rsidRPr="00F31630">
        <w:rPr>
          <w:rFonts w:ascii="Times New Roman" w:hAnsi="Times New Roman" w:cs="Times New Roman"/>
          <w:sz w:val="24"/>
          <w:szCs w:val="24"/>
        </w:rPr>
        <w:t>Travaux annuels d’</w:t>
      </w:r>
      <w:r w:rsidR="00922307">
        <w:rPr>
          <w:rFonts w:ascii="Times New Roman" w:hAnsi="Times New Roman" w:cs="Times New Roman"/>
          <w:sz w:val="24"/>
          <w:szCs w:val="24"/>
        </w:rPr>
        <w:t>occultation et protection solaire</w:t>
      </w:r>
      <w:r w:rsidR="00441D15" w:rsidRPr="00F316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6D0F57" w14:textId="77777777" w:rsidR="00441D15" w:rsidRPr="00F31630" w:rsidRDefault="00441D15" w:rsidP="00441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F279F6" w14:textId="29D17B18" w:rsidR="00441D15" w:rsidRPr="00F31630" w:rsidRDefault="00554E63" w:rsidP="0051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879128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D15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 Lot </w:t>
      </w:r>
      <w:r w:rsidR="009A65F4" w:rsidRPr="002473C2">
        <w:rPr>
          <w:rFonts w:ascii="Times New Roman" w:hAnsi="Times New Roman" w:cs="Times New Roman"/>
          <w:b/>
          <w:sz w:val="24"/>
          <w:szCs w:val="24"/>
        </w:rPr>
        <w:t>9</w:t>
      </w:r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441D15" w:rsidRPr="00F31630">
        <w:rPr>
          <w:rFonts w:ascii="Times New Roman" w:hAnsi="Times New Roman" w:cs="Times New Roman"/>
          <w:sz w:val="24"/>
          <w:szCs w:val="24"/>
        </w:rPr>
        <w:t xml:space="preserve">Travaux annuels de </w:t>
      </w:r>
      <w:r w:rsidR="009A65F4" w:rsidRPr="00F31630">
        <w:rPr>
          <w:rFonts w:ascii="Times New Roman" w:hAnsi="Times New Roman" w:cs="Times New Roman"/>
          <w:sz w:val="24"/>
          <w:szCs w:val="24"/>
        </w:rPr>
        <w:t xml:space="preserve">vitrerie </w:t>
      </w:r>
    </w:p>
    <w:p w14:paraId="283DA7CA" w14:textId="77777777" w:rsidR="00441D15" w:rsidRPr="002473C2" w:rsidRDefault="00441D15" w:rsidP="0051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5AA68E" w14:textId="6128AB02" w:rsidR="00001E44" w:rsidRDefault="00554E63" w:rsidP="0051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165975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D15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441D15" w:rsidRPr="002473C2">
        <w:rPr>
          <w:rFonts w:ascii="Times New Roman" w:hAnsi="Times New Roman" w:cs="Times New Roman"/>
          <w:b/>
          <w:sz w:val="24"/>
          <w:szCs w:val="24"/>
        </w:rPr>
        <w:t xml:space="preserve">  Lot 10 : </w:t>
      </w:r>
      <w:r w:rsidR="00441D15" w:rsidRPr="00F31630">
        <w:rPr>
          <w:rFonts w:ascii="Times New Roman" w:hAnsi="Times New Roman" w:cs="Times New Roman"/>
          <w:sz w:val="24"/>
          <w:szCs w:val="24"/>
        </w:rPr>
        <w:t xml:space="preserve">Travaux annuels </w:t>
      </w:r>
      <w:r w:rsidR="00922307">
        <w:rPr>
          <w:rFonts w:ascii="Times New Roman" w:hAnsi="Times New Roman" w:cs="Times New Roman"/>
          <w:sz w:val="24"/>
          <w:szCs w:val="24"/>
        </w:rPr>
        <w:t>de</w:t>
      </w:r>
      <w:r w:rsidR="00441D15" w:rsidRPr="00F31630">
        <w:rPr>
          <w:rFonts w:ascii="Times New Roman" w:hAnsi="Times New Roman" w:cs="Times New Roman"/>
          <w:sz w:val="24"/>
          <w:szCs w:val="24"/>
        </w:rPr>
        <w:t xml:space="preserve"> mobiliers fixes</w:t>
      </w:r>
      <w:r w:rsidR="009A65F4" w:rsidRPr="00F316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47BF1" w14:textId="77777777" w:rsidR="00001E44" w:rsidRDefault="00001E44" w:rsidP="0051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0384AB" w14:textId="703560D6" w:rsidR="00001E44" w:rsidRPr="00001E44" w:rsidRDefault="00554E63" w:rsidP="00001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2139479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1E44" w:rsidRPr="002473C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001E44" w:rsidRPr="00001E44">
        <w:rPr>
          <w:rFonts w:ascii="Times New Roman" w:hAnsi="Times New Roman" w:cs="Times New Roman"/>
          <w:b/>
          <w:sz w:val="24"/>
          <w:szCs w:val="24"/>
        </w:rPr>
        <w:t xml:space="preserve"> Lot 11 : </w:t>
      </w:r>
      <w:r w:rsidR="00001E44" w:rsidRPr="00001E44">
        <w:rPr>
          <w:rFonts w:ascii="Times New Roman" w:hAnsi="Times New Roman" w:cs="Times New Roman"/>
          <w:sz w:val="24"/>
          <w:szCs w:val="24"/>
        </w:rPr>
        <w:t xml:space="preserve">Travaux annuels d’isolation, étanchéité et bardage extérieurs </w:t>
      </w:r>
    </w:p>
    <w:p w14:paraId="3A5FE297" w14:textId="77777777" w:rsidR="00BE436E" w:rsidRPr="002473C2" w:rsidRDefault="00BE436E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B84A050" w14:textId="77777777" w:rsidR="00BE436E" w:rsidRPr="0065769A" w:rsidRDefault="00BE436E" w:rsidP="0065769A">
      <w:pPr>
        <w:jc w:val="center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7A06CE4A" w14:textId="476BAB58" w:rsidR="001243DB" w:rsidRPr="0065769A" w:rsidRDefault="001243DB" w:rsidP="0065769A">
      <w:pPr>
        <w:jc w:val="center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65769A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Les soumissionnaires ont la faculté de compléter le présent support de mémoire technique par tout autre document qu’ils jugent utiles à la parfaite compréhension de leur offre par le pouvoir adjudicateur (notamment CV des intervenants pour l’exécution des prestations). Les soumissionnaires sont informés que l’analyse de leur </w:t>
      </w:r>
      <w:r w:rsidR="00BE436E" w:rsidRPr="0065769A">
        <w:rPr>
          <w:rFonts w:ascii="Times New Roman" w:hAnsi="Times New Roman" w:cs="Times New Roman"/>
          <w:i/>
          <w:color w:val="FF0000"/>
          <w:sz w:val="20"/>
          <w:szCs w:val="20"/>
        </w:rPr>
        <w:t>offre se fera en priorité sur la</w:t>
      </w:r>
      <w:r w:rsidRPr="0065769A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base du présent support de mémoire technique.</w:t>
      </w:r>
    </w:p>
    <w:p w14:paraId="7224D3AF" w14:textId="77777777" w:rsidR="00BE436E" w:rsidRPr="002473C2" w:rsidRDefault="00BE436E">
      <w:pPr>
        <w:rPr>
          <w:rFonts w:ascii="Times New Roman" w:hAnsi="Times New Roman" w:cs="Times New Roman"/>
          <w:sz w:val="24"/>
          <w:szCs w:val="24"/>
        </w:rPr>
      </w:pPr>
      <w:r w:rsidRPr="002473C2">
        <w:rPr>
          <w:rFonts w:ascii="Times New Roman" w:hAnsi="Times New Roman" w:cs="Times New Roman"/>
          <w:sz w:val="24"/>
          <w:szCs w:val="24"/>
        </w:rPr>
        <w:br w:type="page"/>
      </w:r>
    </w:p>
    <w:p w14:paraId="09D9C282" w14:textId="6C5BBD28" w:rsidR="001243DB" w:rsidRPr="00554E63" w:rsidRDefault="00BE436E" w:rsidP="0022625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-992" w:right="-992"/>
        <w:jc w:val="center"/>
        <w:rPr>
          <w:rFonts w:ascii="Times New Roman" w:hAnsi="Times New Roman" w:cs="Times New Roman"/>
          <w:b/>
        </w:rPr>
      </w:pPr>
      <w:r w:rsidRPr="00554E63">
        <w:rPr>
          <w:rFonts w:ascii="Times New Roman" w:hAnsi="Times New Roman" w:cs="Times New Roman"/>
          <w:b/>
        </w:rPr>
        <w:lastRenderedPageBreak/>
        <w:t>LA VALEUR TECHNIQUE</w:t>
      </w:r>
      <w:r w:rsidR="002473C2" w:rsidRPr="00554E63">
        <w:rPr>
          <w:rFonts w:ascii="Times New Roman" w:hAnsi="Times New Roman" w:cs="Times New Roman"/>
          <w:b/>
        </w:rPr>
        <w:t xml:space="preserve"> DE L’OFFRE, CRITÈRE PONDÉRÉ À </w:t>
      </w:r>
      <w:r w:rsidR="00887E18" w:rsidRPr="00554E63">
        <w:rPr>
          <w:rFonts w:ascii="Times New Roman" w:hAnsi="Times New Roman" w:cs="Times New Roman"/>
          <w:b/>
        </w:rPr>
        <w:t>45</w:t>
      </w:r>
      <w:r w:rsidRPr="00554E63">
        <w:rPr>
          <w:rFonts w:ascii="Times New Roman" w:hAnsi="Times New Roman" w:cs="Times New Roman"/>
          <w:b/>
        </w:rPr>
        <w:t xml:space="preserve"> % EST APPRÉCIÉE EN FONCTION DES SOUS-CRITÈRES SUIVANTS</w:t>
      </w:r>
      <w:r w:rsidR="004D4261" w:rsidRPr="00554E63">
        <w:rPr>
          <w:rFonts w:ascii="Times New Roman" w:hAnsi="Times New Roman" w:cs="Times New Roman"/>
          <w:b/>
        </w:rPr>
        <w:t> :</w:t>
      </w: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1550"/>
        <w:gridCol w:w="1776"/>
        <w:gridCol w:w="8014"/>
      </w:tblGrid>
      <w:tr w:rsidR="004F4180" w:rsidRPr="00554E63" w14:paraId="7D35B829" w14:textId="77777777" w:rsidTr="00BE436E">
        <w:trPr>
          <w:trHeight w:val="589"/>
        </w:trPr>
        <w:tc>
          <w:tcPr>
            <w:tcW w:w="11340" w:type="dxa"/>
            <w:gridSpan w:val="3"/>
            <w:shd w:val="clear" w:color="auto" w:fill="BFBFBF" w:themeFill="background1" w:themeFillShade="BF"/>
            <w:vAlign w:val="center"/>
          </w:tcPr>
          <w:p w14:paraId="0207B84B" w14:textId="742319E6" w:rsidR="004F4180" w:rsidRPr="00554E63" w:rsidRDefault="0093454F" w:rsidP="0093454F">
            <w:pPr>
              <w:tabs>
                <w:tab w:val="left" w:pos="39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4E63">
              <w:rPr>
                <w:rFonts w:ascii="Times New Roman" w:hAnsi="Times New Roman" w:cs="Times New Roman"/>
                <w:b/>
              </w:rPr>
              <w:t>MOYENS HUMAINS AFFECTES POUR L’EXECUTION DE L’ACCORD CADRE</w:t>
            </w:r>
            <w:r w:rsidR="00887E18" w:rsidRPr="00554E63">
              <w:rPr>
                <w:rFonts w:ascii="Times New Roman" w:hAnsi="Times New Roman" w:cs="Times New Roman"/>
                <w:b/>
              </w:rPr>
              <w:t xml:space="preserve"> (</w:t>
            </w:r>
            <w:r w:rsidR="00D46704" w:rsidRPr="00554E63">
              <w:rPr>
                <w:rFonts w:ascii="Times New Roman" w:hAnsi="Times New Roman" w:cs="Times New Roman"/>
                <w:b/>
              </w:rPr>
              <w:t xml:space="preserve">sous critère pondéré à </w:t>
            </w:r>
            <w:r w:rsidR="00887E18" w:rsidRPr="00554E63">
              <w:rPr>
                <w:rFonts w:ascii="Times New Roman" w:hAnsi="Times New Roman" w:cs="Times New Roman"/>
                <w:b/>
              </w:rPr>
              <w:t>2</w:t>
            </w:r>
            <w:r w:rsidR="0005037A" w:rsidRPr="00554E63">
              <w:rPr>
                <w:rFonts w:ascii="Times New Roman" w:hAnsi="Times New Roman" w:cs="Times New Roman"/>
                <w:b/>
              </w:rPr>
              <w:t>5</w:t>
            </w:r>
            <w:r w:rsidR="00887E18" w:rsidRPr="00554E63">
              <w:rPr>
                <w:rFonts w:ascii="Times New Roman" w:hAnsi="Times New Roman" w:cs="Times New Roman"/>
                <w:b/>
              </w:rPr>
              <w:t>%)</w:t>
            </w:r>
          </w:p>
        </w:tc>
      </w:tr>
      <w:tr w:rsidR="004F4180" w:rsidRPr="002473C2" w14:paraId="4E36AC9E" w14:textId="77777777" w:rsidTr="002473C2">
        <w:trPr>
          <w:trHeight w:val="430"/>
        </w:trPr>
        <w:tc>
          <w:tcPr>
            <w:tcW w:w="1550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10E6EF77" w14:textId="77777777" w:rsidR="004F4180" w:rsidRPr="002473C2" w:rsidRDefault="00BE436E" w:rsidP="0093454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PERSONNES DÉDIÉES À LA RÉALISATION DES PRESTATIONS</w:t>
            </w:r>
          </w:p>
        </w:tc>
        <w:tc>
          <w:tcPr>
            <w:tcW w:w="1776" w:type="dxa"/>
            <w:vMerge w:val="restart"/>
            <w:vAlign w:val="center"/>
          </w:tcPr>
          <w:p w14:paraId="067D684C" w14:textId="77777777" w:rsidR="004F4180" w:rsidRPr="002473C2" w:rsidRDefault="004F4180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>Pour les métrés</w:t>
            </w:r>
          </w:p>
        </w:tc>
        <w:tc>
          <w:tcPr>
            <w:tcW w:w="8014" w:type="dxa"/>
          </w:tcPr>
          <w:p w14:paraId="1416EAB4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Nombre : </w:t>
            </w:r>
          </w:p>
        </w:tc>
      </w:tr>
      <w:tr w:rsidR="004F4180" w:rsidRPr="002473C2" w14:paraId="3D02D004" w14:textId="77777777" w:rsidTr="002473C2">
        <w:trPr>
          <w:trHeight w:val="1697"/>
        </w:trPr>
        <w:tc>
          <w:tcPr>
            <w:tcW w:w="1550" w:type="dxa"/>
            <w:vMerge/>
            <w:shd w:val="clear" w:color="auto" w:fill="F7CAAC" w:themeFill="accent2" w:themeFillTint="66"/>
          </w:tcPr>
          <w:p w14:paraId="22891034" w14:textId="77777777" w:rsidR="004F4180" w:rsidRPr="002473C2" w:rsidRDefault="004F4180" w:rsidP="004F4180">
            <w:pPr>
              <w:rPr>
                <w:rFonts w:ascii="Times New Roman" w:eastAsia="Lucida Sans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vAlign w:val="center"/>
          </w:tcPr>
          <w:p w14:paraId="7F3F5675" w14:textId="77777777" w:rsidR="004F4180" w:rsidRPr="002473C2" w:rsidRDefault="004F4180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3BE4AFDB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Qualifications :</w:t>
            </w:r>
          </w:p>
          <w:p w14:paraId="4F3B2705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B54C914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EB2CB12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C256454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186CED9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BBA16A0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180" w:rsidRPr="002473C2" w14:paraId="53D62430" w14:textId="77777777" w:rsidTr="002473C2">
        <w:trPr>
          <w:trHeight w:val="1654"/>
        </w:trPr>
        <w:tc>
          <w:tcPr>
            <w:tcW w:w="1550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FF305C4" w14:textId="77777777" w:rsidR="004F4180" w:rsidRPr="002473C2" w:rsidRDefault="004F4180" w:rsidP="004F4180">
            <w:pPr>
              <w:rPr>
                <w:rFonts w:ascii="Times New Roman" w:eastAsia="Lucida Sans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tcBorders>
              <w:bottom w:val="single" w:sz="4" w:space="0" w:color="auto"/>
            </w:tcBorders>
            <w:vAlign w:val="center"/>
          </w:tcPr>
          <w:p w14:paraId="193101A7" w14:textId="77777777" w:rsidR="004F4180" w:rsidRPr="002473C2" w:rsidRDefault="004F4180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  <w:tcBorders>
              <w:bottom w:val="single" w:sz="4" w:space="0" w:color="auto"/>
            </w:tcBorders>
          </w:tcPr>
          <w:p w14:paraId="08192828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Expériences : </w:t>
            </w:r>
          </w:p>
          <w:p w14:paraId="48263AC2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DA8EF1A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4E9B55A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4DF0FBE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C6BC1E5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CFA27CF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180" w:rsidRPr="002473C2" w14:paraId="6FA222A4" w14:textId="77777777" w:rsidTr="002473C2">
        <w:trPr>
          <w:trHeight w:val="532"/>
        </w:trPr>
        <w:tc>
          <w:tcPr>
            <w:tcW w:w="1550" w:type="dxa"/>
            <w:vMerge/>
            <w:shd w:val="clear" w:color="auto" w:fill="F7CAAC" w:themeFill="accent2" w:themeFillTint="66"/>
          </w:tcPr>
          <w:p w14:paraId="5937262B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shd w:val="clear" w:color="auto" w:fill="F2F2F2" w:themeFill="background1" w:themeFillShade="F2"/>
            <w:vAlign w:val="center"/>
          </w:tcPr>
          <w:p w14:paraId="33C02C91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Pour l’établissement des devis</w:t>
            </w:r>
          </w:p>
        </w:tc>
        <w:tc>
          <w:tcPr>
            <w:tcW w:w="8014" w:type="dxa"/>
            <w:shd w:val="clear" w:color="auto" w:fill="F2F2F2" w:themeFill="background1" w:themeFillShade="F2"/>
          </w:tcPr>
          <w:p w14:paraId="6E7A948F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Nombre </w:t>
            </w:r>
          </w:p>
        </w:tc>
      </w:tr>
      <w:tr w:rsidR="004F4180" w:rsidRPr="002473C2" w14:paraId="3E60100C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3A17CE9C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2F2F2" w:themeFill="background1" w:themeFillShade="F2"/>
            <w:vAlign w:val="center"/>
          </w:tcPr>
          <w:p w14:paraId="3E5E1934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  <w:shd w:val="clear" w:color="auto" w:fill="F2F2F2" w:themeFill="background1" w:themeFillShade="F2"/>
          </w:tcPr>
          <w:p w14:paraId="3AF9B443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Qualifications : </w:t>
            </w:r>
          </w:p>
          <w:p w14:paraId="1885360D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9773DAE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E861572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8F1C36D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DE3271A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4180" w:rsidRPr="002473C2" w14:paraId="62C48FC7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06548317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2F2F2" w:themeFill="background1" w:themeFillShade="F2"/>
            <w:vAlign w:val="center"/>
          </w:tcPr>
          <w:p w14:paraId="7335BDF4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  <w:shd w:val="clear" w:color="auto" w:fill="F2F2F2" w:themeFill="background1" w:themeFillShade="F2"/>
          </w:tcPr>
          <w:p w14:paraId="6FC5271C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Expériences : </w:t>
            </w:r>
          </w:p>
          <w:p w14:paraId="797A458B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2CAE6BF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D0313F7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A21B7C2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A935CD4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25CF235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180" w:rsidRPr="002473C2" w14:paraId="6B466AAB" w14:textId="77777777" w:rsidTr="002473C2">
        <w:trPr>
          <w:trHeight w:val="448"/>
        </w:trPr>
        <w:tc>
          <w:tcPr>
            <w:tcW w:w="1550" w:type="dxa"/>
            <w:vMerge/>
            <w:shd w:val="clear" w:color="auto" w:fill="F7CAAC" w:themeFill="accent2" w:themeFillTint="66"/>
          </w:tcPr>
          <w:p w14:paraId="29CCABCC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vAlign w:val="center"/>
          </w:tcPr>
          <w:p w14:paraId="2BE7772B" w14:textId="54CBACE9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 xml:space="preserve">Pour </w:t>
            </w:r>
            <w:r w:rsidR="00C13C69"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les études</w:t>
            </w: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 xml:space="preserve"> d’exécution</w:t>
            </w:r>
          </w:p>
          <w:p w14:paraId="69D38017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  <w:p w14:paraId="71E5D987" w14:textId="77777777" w:rsidR="004F4180" w:rsidRPr="002473C2" w:rsidRDefault="004F4180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19D714D2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Nombre : </w:t>
            </w:r>
          </w:p>
        </w:tc>
      </w:tr>
      <w:tr w:rsidR="004F4180" w:rsidRPr="002473C2" w14:paraId="718A25FD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07770CAC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vAlign w:val="center"/>
          </w:tcPr>
          <w:p w14:paraId="7D2DE159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642AFC61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Qualifications : </w:t>
            </w:r>
          </w:p>
          <w:p w14:paraId="6021088D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E51F7F7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9A2AA67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0700C01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589735A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51B409A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180" w:rsidRPr="002473C2" w14:paraId="39FE601B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5BE05724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vAlign w:val="center"/>
          </w:tcPr>
          <w:p w14:paraId="487BE036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5355532E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Expériences : </w:t>
            </w:r>
          </w:p>
          <w:p w14:paraId="0B64E434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8936639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9C56F8D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6553BB4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EE04D2B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DFD504D" w14:textId="77777777" w:rsidR="0093454F" w:rsidRPr="002473C2" w:rsidRDefault="0093454F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4180" w:rsidRPr="002473C2" w14:paraId="6C720934" w14:textId="77777777" w:rsidTr="002473C2">
        <w:trPr>
          <w:trHeight w:val="425"/>
        </w:trPr>
        <w:tc>
          <w:tcPr>
            <w:tcW w:w="1550" w:type="dxa"/>
            <w:vMerge/>
            <w:shd w:val="clear" w:color="auto" w:fill="F7CAAC" w:themeFill="accent2" w:themeFillTint="66"/>
          </w:tcPr>
          <w:p w14:paraId="6EB9C63F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shd w:val="clear" w:color="auto" w:fill="F7CAAC" w:themeFill="accent2" w:themeFillTint="66"/>
            <w:vAlign w:val="center"/>
          </w:tcPr>
          <w:p w14:paraId="67F741F1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Pour l’exécution des travaux</w:t>
            </w:r>
          </w:p>
        </w:tc>
        <w:tc>
          <w:tcPr>
            <w:tcW w:w="8014" w:type="dxa"/>
            <w:shd w:val="clear" w:color="auto" w:fill="F2F2F2" w:themeFill="background1" w:themeFillShade="F2"/>
          </w:tcPr>
          <w:p w14:paraId="13A9997D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Nombre : </w:t>
            </w:r>
          </w:p>
        </w:tc>
      </w:tr>
      <w:tr w:rsidR="004F4180" w:rsidRPr="002473C2" w14:paraId="2C370538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6DD803F4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  <w:vAlign w:val="center"/>
          </w:tcPr>
          <w:p w14:paraId="131C8F6B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  <w:shd w:val="clear" w:color="auto" w:fill="F2F2F2" w:themeFill="background1" w:themeFillShade="F2"/>
          </w:tcPr>
          <w:p w14:paraId="49B6C560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Qualifications : </w:t>
            </w:r>
          </w:p>
          <w:p w14:paraId="03BED4FC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AFD8A9B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BBB4BF3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A1B8A9F" w14:textId="77777777" w:rsidR="004F4180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1307CF8" w14:textId="7D47E4A5" w:rsidR="00887E18" w:rsidRPr="002473C2" w:rsidRDefault="00887E18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180" w:rsidRPr="002473C2" w14:paraId="4834CC64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55D007FD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  <w:vAlign w:val="center"/>
          </w:tcPr>
          <w:p w14:paraId="28CF5C2A" w14:textId="77777777" w:rsidR="004F4180" w:rsidRPr="002473C2" w:rsidRDefault="004F4180" w:rsidP="0093454F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  <w:shd w:val="clear" w:color="auto" w:fill="F2F2F2" w:themeFill="background1" w:themeFillShade="F2"/>
          </w:tcPr>
          <w:p w14:paraId="360F7646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Expériences : </w:t>
            </w:r>
          </w:p>
          <w:p w14:paraId="0A392C0E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E5BD9A5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4B97080" w14:textId="77777777" w:rsidR="004F4180" w:rsidRPr="002473C2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5160810" w14:textId="77777777" w:rsidR="004F4180" w:rsidRDefault="004F4180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15014A6" w14:textId="1DA1D932" w:rsidR="00887E18" w:rsidRPr="002473C2" w:rsidRDefault="00887E18" w:rsidP="004F4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8A" w:rsidRPr="002473C2" w14:paraId="4502B48A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438D73E9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shd w:val="clear" w:color="auto" w:fill="F7CAAC" w:themeFill="accent2" w:themeFillTint="66"/>
            <w:vAlign w:val="center"/>
          </w:tcPr>
          <w:p w14:paraId="24A480FF" w14:textId="2A081D20" w:rsidR="00524D8A" w:rsidRPr="002473C2" w:rsidRDefault="00524D8A" w:rsidP="00524D8A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Pour l’exécution des travaux</w:t>
            </w:r>
            <w:r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 xml:space="preserve"> </w:t>
            </w:r>
            <w:r w:rsidR="00F30763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sous-section</w:t>
            </w:r>
            <w:r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14" w:type="dxa"/>
          </w:tcPr>
          <w:p w14:paraId="55F577D3" w14:textId="3452120F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Nombre : </w:t>
            </w:r>
          </w:p>
        </w:tc>
      </w:tr>
      <w:tr w:rsidR="00524D8A" w:rsidRPr="002473C2" w14:paraId="694C51E1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13D4F8A3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  <w:vAlign w:val="center"/>
          </w:tcPr>
          <w:p w14:paraId="6C534B45" w14:textId="77777777" w:rsidR="00524D8A" w:rsidRPr="002473C2" w:rsidRDefault="00524D8A" w:rsidP="00524D8A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39D3F2EF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Qualifications : </w:t>
            </w:r>
          </w:p>
          <w:p w14:paraId="131B7C2A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07719B9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422861B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E9CB390" w14:textId="77777777" w:rsidR="00524D8A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27B8FE6" w14:textId="194030CC" w:rsidR="00887E18" w:rsidRPr="002473C2" w:rsidRDefault="00887E18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8A" w:rsidRPr="002473C2" w14:paraId="13B0FF61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5E432B86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  <w:vAlign w:val="center"/>
          </w:tcPr>
          <w:p w14:paraId="51E98C18" w14:textId="77777777" w:rsidR="00524D8A" w:rsidRPr="002473C2" w:rsidRDefault="00524D8A" w:rsidP="00524D8A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05563997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Expériences : </w:t>
            </w:r>
          </w:p>
          <w:p w14:paraId="57EBFA45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2ED190C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CE68BC5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86BB29A" w14:textId="77777777" w:rsidR="00524D8A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7B05B73" w14:textId="6CA170A7" w:rsidR="00887E18" w:rsidRPr="002473C2" w:rsidRDefault="00887E18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8A" w:rsidRPr="002473C2" w14:paraId="03CA10E5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2C91F8FD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shd w:val="clear" w:color="auto" w:fill="F7CAAC" w:themeFill="accent2" w:themeFillTint="66"/>
            <w:vAlign w:val="center"/>
          </w:tcPr>
          <w:p w14:paraId="7709C185" w14:textId="77777777" w:rsidR="00524D8A" w:rsidRPr="002473C2" w:rsidRDefault="00524D8A" w:rsidP="00524D8A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Pour les autocontrôles</w:t>
            </w:r>
          </w:p>
        </w:tc>
        <w:tc>
          <w:tcPr>
            <w:tcW w:w="8014" w:type="dxa"/>
          </w:tcPr>
          <w:p w14:paraId="4C5213AF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Nombre : </w:t>
            </w:r>
          </w:p>
        </w:tc>
      </w:tr>
      <w:tr w:rsidR="00524D8A" w:rsidRPr="002473C2" w14:paraId="41A002F8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79F6DF61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  <w:vAlign w:val="center"/>
          </w:tcPr>
          <w:p w14:paraId="0EE4834D" w14:textId="77777777" w:rsidR="00524D8A" w:rsidRPr="002473C2" w:rsidRDefault="00524D8A" w:rsidP="00524D8A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6F8DEC93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Qualifications :</w:t>
            </w:r>
          </w:p>
          <w:p w14:paraId="32B9A7CF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76772F7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622F0F0" w14:textId="77777777" w:rsidR="00524D8A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125C916" w14:textId="26AF8235" w:rsidR="00887E18" w:rsidRPr="002473C2" w:rsidRDefault="00887E18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8A" w:rsidRPr="002473C2" w14:paraId="7C52CE06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329EC3DA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  <w:vAlign w:val="center"/>
          </w:tcPr>
          <w:p w14:paraId="0FCC6148" w14:textId="77777777" w:rsidR="00524D8A" w:rsidRPr="002473C2" w:rsidRDefault="00524D8A" w:rsidP="00524D8A">
            <w:pPr>
              <w:jc w:val="center"/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4" w:type="dxa"/>
          </w:tcPr>
          <w:p w14:paraId="2EBCCDE4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Expériences : </w:t>
            </w:r>
          </w:p>
          <w:p w14:paraId="1C33694A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B5AFDF7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7010022" w14:textId="77777777" w:rsidR="00524D8A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02D1386" w14:textId="7581FE2D" w:rsidR="00887E18" w:rsidRPr="002473C2" w:rsidRDefault="00887E18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8A" w:rsidRPr="002473C2" w14:paraId="24B5D650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0FB6ADED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shd w:val="clear" w:color="auto" w:fill="F7CAAC" w:themeFill="accent2" w:themeFillTint="66"/>
            <w:vAlign w:val="center"/>
          </w:tcPr>
          <w:p w14:paraId="6E3B0661" w14:textId="77777777" w:rsidR="00524D8A" w:rsidRPr="002473C2" w:rsidRDefault="00524D8A" w:rsidP="00524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Pour les travaux exécutés dans le cadre des garanties</w:t>
            </w:r>
          </w:p>
        </w:tc>
        <w:tc>
          <w:tcPr>
            <w:tcW w:w="8014" w:type="dxa"/>
            <w:shd w:val="clear" w:color="auto" w:fill="F2F2F2" w:themeFill="background1" w:themeFillShade="F2"/>
          </w:tcPr>
          <w:p w14:paraId="6970BAA9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Nombre :</w:t>
            </w:r>
          </w:p>
        </w:tc>
      </w:tr>
      <w:tr w:rsidR="00524D8A" w:rsidRPr="002473C2" w14:paraId="542B8843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6EEB8AA2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</w:tcPr>
          <w:p w14:paraId="5D32654E" w14:textId="77777777" w:rsidR="00524D8A" w:rsidRPr="002473C2" w:rsidRDefault="00524D8A" w:rsidP="00524D8A">
            <w:pPr>
              <w:rPr>
                <w:rFonts w:ascii="Times New Roman" w:eastAsia="Lucida Sans" w:hAnsi="Times New Roman" w:cs="Times New Roman"/>
                <w:sz w:val="24"/>
                <w:szCs w:val="24"/>
              </w:rPr>
            </w:pPr>
          </w:p>
        </w:tc>
        <w:tc>
          <w:tcPr>
            <w:tcW w:w="8014" w:type="dxa"/>
            <w:shd w:val="clear" w:color="auto" w:fill="F2F2F2" w:themeFill="background1" w:themeFillShade="F2"/>
          </w:tcPr>
          <w:p w14:paraId="7165564C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Qualifications : </w:t>
            </w:r>
          </w:p>
          <w:p w14:paraId="57AC9034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224F8A1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1F5D108" w14:textId="77777777" w:rsidR="00524D8A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483178F" w14:textId="1C6ECE87" w:rsidR="00887E18" w:rsidRPr="002473C2" w:rsidRDefault="00887E18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8A" w:rsidRPr="002473C2" w14:paraId="26FDB984" w14:textId="77777777" w:rsidTr="002473C2">
        <w:tc>
          <w:tcPr>
            <w:tcW w:w="1550" w:type="dxa"/>
            <w:vMerge/>
            <w:shd w:val="clear" w:color="auto" w:fill="F7CAAC" w:themeFill="accent2" w:themeFillTint="66"/>
          </w:tcPr>
          <w:p w14:paraId="25175ED7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shd w:val="clear" w:color="auto" w:fill="F7CAAC" w:themeFill="accent2" w:themeFillTint="66"/>
          </w:tcPr>
          <w:p w14:paraId="0C9E122F" w14:textId="77777777" w:rsidR="00524D8A" w:rsidRPr="002473C2" w:rsidRDefault="00524D8A" w:rsidP="00524D8A">
            <w:pPr>
              <w:rPr>
                <w:rFonts w:ascii="Times New Roman" w:eastAsia="Lucida Sans" w:hAnsi="Times New Roman" w:cs="Times New Roman"/>
                <w:sz w:val="24"/>
                <w:szCs w:val="24"/>
              </w:rPr>
            </w:pPr>
          </w:p>
        </w:tc>
        <w:tc>
          <w:tcPr>
            <w:tcW w:w="8014" w:type="dxa"/>
            <w:shd w:val="clear" w:color="auto" w:fill="F2F2F2" w:themeFill="background1" w:themeFillShade="F2"/>
          </w:tcPr>
          <w:p w14:paraId="272C51C5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 xml:space="preserve">Expériences : </w:t>
            </w:r>
          </w:p>
          <w:p w14:paraId="6A49AAFC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317D22" w14:textId="77777777" w:rsidR="00524D8A" w:rsidRPr="002473C2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A0C1E0A" w14:textId="77777777" w:rsidR="00524D8A" w:rsidRDefault="00524D8A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A520104" w14:textId="2E60FE64" w:rsidR="00887E18" w:rsidRPr="002473C2" w:rsidRDefault="00887E18" w:rsidP="00524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8A" w:rsidRPr="002473C2" w14:paraId="413BB800" w14:textId="77777777" w:rsidTr="0022625A">
        <w:trPr>
          <w:trHeight w:val="525"/>
        </w:trPr>
        <w:tc>
          <w:tcPr>
            <w:tcW w:w="11340" w:type="dxa"/>
            <w:gridSpan w:val="3"/>
          </w:tcPr>
          <w:p w14:paraId="6EC2C63B" w14:textId="77777777" w:rsidR="00524D8A" w:rsidRPr="002473C2" w:rsidRDefault="00524D8A" w:rsidP="00524D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>JOINDRE LES CV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NOTAMMENT CEUX DES ENCADRANTS</w:t>
            </w:r>
          </w:p>
        </w:tc>
      </w:tr>
    </w:tbl>
    <w:p w14:paraId="0CE319DB" w14:textId="77777777" w:rsidR="00C92DB0" w:rsidRPr="002473C2" w:rsidRDefault="00BE436E">
      <w:pPr>
        <w:rPr>
          <w:rFonts w:ascii="Times New Roman" w:hAnsi="Times New Roman" w:cs="Times New Roman"/>
          <w:sz w:val="24"/>
          <w:szCs w:val="24"/>
        </w:rPr>
      </w:pPr>
      <w:r w:rsidRPr="002473C2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2265"/>
        <w:gridCol w:w="9075"/>
      </w:tblGrid>
      <w:tr w:rsidR="00C92DB0" w:rsidRPr="002473C2" w14:paraId="6DA570F8" w14:textId="77777777" w:rsidTr="002C73C2">
        <w:trPr>
          <w:trHeight w:val="676"/>
        </w:trPr>
        <w:tc>
          <w:tcPr>
            <w:tcW w:w="11340" w:type="dxa"/>
            <w:gridSpan w:val="2"/>
            <w:shd w:val="clear" w:color="auto" w:fill="BFBFBF" w:themeFill="background1" w:themeFillShade="BF"/>
            <w:vAlign w:val="center"/>
          </w:tcPr>
          <w:p w14:paraId="7F639CCE" w14:textId="0B56EC8E" w:rsidR="00C92DB0" w:rsidRPr="002473C2" w:rsidRDefault="00C92DB0" w:rsidP="002C73C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METHODOLOGIE </w:t>
            </w:r>
            <w:r w:rsidR="00D46704" w:rsidRPr="00F30763">
              <w:rPr>
                <w:rFonts w:ascii="Times New Roman" w:hAnsi="Times New Roman" w:cs="Times New Roman"/>
                <w:b/>
                <w:sz w:val="24"/>
                <w:szCs w:val="24"/>
              </w:rPr>
              <w:t>(sous critère pondéré à 20%)</w:t>
            </w:r>
          </w:p>
          <w:p w14:paraId="2B837828" w14:textId="2A476B88" w:rsidR="00C92DB0" w:rsidRPr="002473C2" w:rsidRDefault="00C92DB0" w:rsidP="002C73C2">
            <w:pPr>
              <w:tabs>
                <w:tab w:val="left" w:pos="392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(</w:t>
            </w:r>
            <w:r w:rsidR="00554E63" w:rsidRPr="002473C2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À</w:t>
            </w:r>
            <w:r w:rsidRPr="002473C2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 compléter en tenant compte du nombre de 5 pages maximum prescrits</w:t>
            </w:r>
            <w:r w:rsidRPr="002473C2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)</w:t>
            </w:r>
          </w:p>
        </w:tc>
      </w:tr>
      <w:tr w:rsidR="00C92DB0" w:rsidRPr="002473C2" w14:paraId="15ADE281" w14:textId="77777777" w:rsidTr="002C73C2">
        <w:trPr>
          <w:trHeight w:val="2267"/>
        </w:trPr>
        <w:tc>
          <w:tcPr>
            <w:tcW w:w="2265" w:type="dxa"/>
            <w:shd w:val="clear" w:color="auto" w:fill="F7CAAC" w:themeFill="accent2" w:themeFillTint="66"/>
            <w:vAlign w:val="center"/>
          </w:tcPr>
          <w:p w14:paraId="7EEBBD25" w14:textId="3EC41292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>Modalités d’affectation du personnel pour l’exécution des travaux</w:t>
            </w:r>
          </w:p>
          <w:p w14:paraId="34C439BD" w14:textId="1CB4457E" w:rsidR="00C92DB0" w:rsidRPr="004D4261" w:rsidRDefault="004D4261" w:rsidP="002C73C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D42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="00F30763" w:rsidRPr="004D42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Notamment</w:t>
            </w:r>
            <w:r w:rsidRPr="004D42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ceux à réaliser </w:t>
            </w:r>
            <w:r w:rsidR="00F30763" w:rsidRPr="004D42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sous-section</w:t>
            </w:r>
            <w:r w:rsidRPr="004D42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4)</w:t>
            </w:r>
          </w:p>
          <w:p w14:paraId="66E7E6E4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14:paraId="6991B3DC" w14:textId="77777777" w:rsidR="00C92DB0" w:rsidRPr="002473C2" w:rsidRDefault="00C92DB0" w:rsidP="002C7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B0" w:rsidRPr="002473C2" w14:paraId="0BC4375F" w14:textId="77777777" w:rsidTr="002C73C2">
        <w:trPr>
          <w:trHeight w:val="2256"/>
        </w:trPr>
        <w:tc>
          <w:tcPr>
            <w:tcW w:w="2265" w:type="dxa"/>
            <w:shd w:val="clear" w:color="auto" w:fill="F7CAAC" w:themeFill="accent2" w:themeFillTint="66"/>
            <w:vAlign w:val="center"/>
          </w:tcPr>
          <w:p w14:paraId="4AD731B3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>Modalités de prise en compte du site occupé</w:t>
            </w:r>
          </w:p>
          <w:p w14:paraId="3C9A7AC4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i/>
                <w:sz w:val="24"/>
                <w:szCs w:val="24"/>
              </w:rPr>
              <w:t>(Calendrier universitaire, heures ouvrées et hygiène et sécurité)</w:t>
            </w:r>
          </w:p>
          <w:p w14:paraId="0D6489C6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50618DD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  <w:shd w:val="clear" w:color="auto" w:fill="F2F2F2" w:themeFill="background1" w:themeFillShade="F2"/>
          </w:tcPr>
          <w:p w14:paraId="35F4CF5F" w14:textId="77777777" w:rsidR="00C92DB0" w:rsidRPr="002473C2" w:rsidRDefault="00C92DB0" w:rsidP="002C7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B0" w:rsidRPr="002473C2" w14:paraId="5D21FAFC" w14:textId="77777777" w:rsidTr="002C73C2">
        <w:trPr>
          <w:trHeight w:val="2178"/>
        </w:trPr>
        <w:tc>
          <w:tcPr>
            <w:tcW w:w="2265" w:type="dxa"/>
            <w:shd w:val="clear" w:color="auto" w:fill="F7CAAC" w:themeFill="accent2" w:themeFillTint="66"/>
            <w:vAlign w:val="center"/>
          </w:tcPr>
          <w:p w14:paraId="018CF269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>Modalités d’exécution des travaux</w:t>
            </w:r>
          </w:p>
          <w:p w14:paraId="173C50C8" w14:textId="2968CC46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i/>
                <w:sz w:val="24"/>
                <w:szCs w:val="24"/>
              </w:rPr>
              <w:t>(Notamment le phasage</w:t>
            </w:r>
            <w:r w:rsidR="00D4670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7FF3C9B1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68D8A1E" w14:textId="77777777" w:rsidR="00C92DB0" w:rsidRPr="002473C2" w:rsidRDefault="00C92DB0" w:rsidP="002C7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14:paraId="3EF8780A" w14:textId="77777777" w:rsidR="00C92DB0" w:rsidRPr="002473C2" w:rsidRDefault="00C92DB0" w:rsidP="002C7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54F" w:rsidRPr="002473C2" w14:paraId="76867568" w14:textId="77777777" w:rsidTr="00C92DB0">
        <w:trPr>
          <w:trHeight w:val="2178"/>
        </w:trPr>
        <w:tc>
          <w:tcPr>
            <w:tcW w:w="2265" w:type="dxa"/>
            <w:shd w:val="clear" w:color="auto" w:fill="F7CAAC" w:themeFill="accent2" w:themeFillTint="66"/>
            <w:vAlign w:val="center"/>
          </w:tcPr>
          <w:p w14:paraId="54866875" w14:textId="017E1A9D" w:rsidR="0093454F" w:rsidRPr="002473C2" w:rsidRDefault="0093454F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95297977"/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Modalités </w:t>
            </w:r>
          </w:p>
          <w:p w14:paraId="287ADE15" w14:textId="65749CD2" w:rsidR="0093454F" w:rsidRPr="00524D8A" w:rsidRDefault="00F30763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Spécifiques</w:t>
            </w:r>
            <w:r w:rsidR="00524D8A" w:rsidRPr="00524D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 cas d’exécution </w:t>
            </w:r>
            <w:r w:rsidR="00524D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 travaux </w:t>
            </w:r>
            <w:r w:rsidRPr="00524D8A">
              <w:rPr>
                <w:rFonts w:ascii="Times New Roman" w:hAnsi="Times New Roman" w:cs="Times New Roman"/>
                <w:b/>
                <w:sz w:val="24"/>
                <w:szCs w:val="24"/>
              </w:rPr>
              <w:t>sous-section</w:t>
            </w:r>
            <w:r w:rsidR="00524D8A" w:rsidRPr="00524D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14:paraId="0CA68D45" w14:textId="77777777" w:rsidR="0093454F" w:rsidRPr="002473C2" w:rsidRDefault="0093454F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14:paraId="6C864809" w14:textId="77777777" w:rsidR="0093454F" w:rsidRPr="002473C2" w:rsidRDefault="0093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F53059A" w14:textId="77777777" w:rsidR="00BE436E" w:rsidRPr="002473C2" w:rsidRDefault="00BE436E">
      <w:pPr>
        <w:rPr>
          <w:rFonts w:ascii="Times New Roman" w:hAnsi="Times New Roman" w:cs="Times New Roman"/>
          <w:sz w:val="24"/>
          <w:szCs w:val="24"/>
        </w:rPr>
      </w:pPr>
    </w:p>
    <w:p w14:paraId="4F0AB14C" w14:textId="77777777" w:rsidR="00BE436E" w:rsidRPr="002473C2" w:rsidRDefault="00F45805" w:rsidP="00993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E63">
        <w:rPr>
          <w:rFonts w:ascii="Times New Roman" w:hAnsi="Times New Roman" w:cs="Times New Roman"/>
          <w:b/>
          <w:i/>
          <w:color w:val="C00000"/>
          <w:sz w:val="20"/>
          <w:szCs w:val="20"/>
        </w:rPr>
        <w:t>(Le candidat en complétant la partie « méthodologie » peut y ajouter des page</w:t>
      </w:r>
      <w:r w:rsidR="009933BB" w:rsidRPr="00554E63">
        <w:rPr>
          <w:rFonts w:ascii="Times New Roman" w:hAnsi="Times New Roman" w:cs="Times New Roman"/>
          <w:b/>
          <w:i/>
          <w:color w:val="C00000"/>
          <w:sz w:val="20"/>
          <w:szCs w:val="20"/>
        </w:rPr>
        <w:t xml:space="preserve">s mais </w:t>
      </w:r>
      <w:r w:rsidR="007C0723" w:rsidRPr="00554E63">
        <w:rPr>
          <w:rFonts w:ascii="Times New Roman" w:hAnsi="Times New Roman" w:cs="Times New Roman"/>
          <w:b/>
          <w:i/>
          <w:color w:val="C00000"/>
          <w:sz w:val="20"/>
          <w:szCs w:val="20"/>
        </w:rPr>
        <w:t>l’ensemble de cette partie ne doit pas dépasser 5 pages).</w:t>
      </w:r>
      <w:r w:rsidRPr="00554E63">
        <w:rPr>
          <w:rFonts w:ascii="Times New Roman" w:hAnsi="Times New Roman" w:cs="Times New Roman"/>
          <w:b/>
          <w:i/>
          <w:color w:val="C00000"/>
          <w:sz w:val="20"/>
          <w:szCs w:val="20"/>
        </w:rPr>
        <w:t xml:space="preserve"> </w:t>
      </w:r>
      <w:r w:rsidR="00BE436E" w:rsidRPr="002473C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8408DF8" w14:textId="556ABBA7" w:rsidR="00BE436E" w:rsidRPr="002473C2" w:rsidRDefault="00BE436E" w:rsidP="0022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-992" w:right="-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3C2">
        <w:rPr>
          <w:rFonts w:ascii="Times New Roman" w:hAnsi="Times New Roman" w:cs="Times New Roman"/>
          <w:b/>
          <w:sz w:val="24"/>
          <w:szCs w:val="24"/>
        </w:rPr>
        <w:lastRenderedPageBreak/>
        <w:t>LA VALEUR ENVIRONNEMENTALE</w:t>
      </w:r>
      <w:r w:rsidR="002473C2">
        <w:rPr>
          <w:rFonts w:ascii="Times New Roman" w:hAnsi="Times New Roman" w:cs="Times New Roman"/>
          <w:b/>
          <w:sz w:val="24"/>
          <w:szCs w:val="24"/>
        </w:rPr>
        <w:t xml:space="preserve"> DE L’OFFRE, CRITÈRE PONDÉRÉ À </w:t>
      </w:r>
      <w:r w:rsidR="002473C2" w:rsidRPr="00F30763">
        <w:rPr>
          <w:rFonts w:ascii="Times New Roman" w:hAnsi="Times New Roman" w:cs="Times New Roman"/>
          <w:b/>
          <w:sz w:val="24"/>
          <w:szCs w:val="24"/>
        </w:rPr>
        <w:t>1</w:t>
      </w:r>
      <w:r w:rsidRPr="00F30763">
        <w:rPr>
          <w:rFonts w:ascii="Times New Roman" w:hAnsi="Times New Roman" w:cs="Times New Roman"/>
          <w:b/>
          <w:sz w:val="24"/>
          <w:szCs w:val="24"/>
        </w:rPr>
        <w:t>0</w:t>
      </w:r>
      <w:r w:rsidRPr="002473C2">
        <w:rPr>
          <w:rFonts w:ascii="Times New Roman" w:hAnsi="Times New Roman" w:cs="Times New Roman"/>
          <w:b/>
          <w:sz w:val="24"/>
          <w:szCs w:val="24"/>
        </w:rPr>
        <w:t xml:space="preserve"> % EST APPRÉCIÉE EN FONCTION DES SOUS-CRITÈRES SUIVANTS</w:t>
      </w:r>
      <w:r w:rsidR="004D4261">
        <w:rPr>
          <w:rFonts w:ascii="Times New Roman" w:hAnsi="Times New Roman" w:cs="Times New Roman"/>
          <w:b/>
          <w:sz w:val="24"/>
          <w:szCs w:val="24"/>
        </w:rPr>
        <w:t> :</w:t>
      </w: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2268"/>
        <w:gridCol w:w="9072"/>
      </w:tblGrid>
      <w:tr w:rsidR="00BE436E" w:rsidRPr="002473C2" w14:paraId="67658160" w14:textId="77777777" w:rsidTr="002473C2">
        <w:trPr>
          <w:trHeight w:val="3748"/>
        </w:trPr>
        <w:tc>
          <w:tcPr>
            <w:tcW w:w="2268" w:type="dxa"/>
            <w:shd w:val="clear" w:color="auto" w:fill="F7CAAC" w:themeFill="accent2" w:themeFillTint="66"/>
            <w:vAlign w:val="center"/>
          </w:tcPr>
          <w:p w14:paraId="0F934960" w14:textId="77777777" w:rsidR="00BE436E" w:rsidRPr="002473C2" w:rsidRDefault="00BE436E" w:rsidP="00BE4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hAnsi="Times New Roman" w:cs="Times New Roman"/>
                <w:b/>
                <w:sz w:val="24"/>
                <w:szCs w:val="24"/>
              </w:rPr>
              <w:t>Spécifications environnementales des produits et matériaux utilisés lors de l’exécution des prestations</w:t>
            </w:r>
          </w:p>
        </w:tc>
        <w:tc>
          <w:tcPr>
            <w:tcW w:w="9072" w:type="dxa"/>
          </w:tcPr>
          <w:p w14:paraId="20729908" w14:textId="77777777" w:rsidR="00BE436E" w:rsidRPr="002473C2" w:rsidRDefault="00BE4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36E" w:rsidRPr="002473C2" w14:paraId="752C44BC" w14:textId="77777777" w:rsidTr="002473C2">
        <w:trPr>
          <w:trHeight w:val="4113"/>
        </w:trPr>
        <w:tc>
          <w:tcPr>
            <w:tcW w:w="2268" w:type="dxa"/>
            <w:shd w:val="clear" w:color="auto" w:fill="F7CAAC" w:themeFill="accent2" w:themeFillTint="66"/>
            <w:vAlign w:val="center"/>
          </w:tcPr>
          <w:p w14:paraId="3C2125EE" w14:textId="77777777" w:rsidR="00BE436E" w:rsidRPr="002473C2" w:rsidRDefault="00BE436E" w:rsidP="00BE436E">
            <w:pPr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 xml:space="preserve">Organisation des chantiers </w:t>
            </w:r>
            <w:r w:rsidRPr="002473C2">
              <w:rPr>
                <w:rFonts w:ascii="Times New Roman" w:eastAsia="Lucida Sans" w:hAnsi="Times New Roman" w:cs="Times New Roman"/>
                <w:b/>
                <w:i/>
                <w:sz w:val="24"/>
                <w:szCs w:val="24"/>
              </w:rPr>
              <w:t>(méthodologie de lutte contre tout type de nuisance : sonore, olfactive, vibrations etc.)</w:t>
            </w:r>
          </w:p>
        </w:tc>
        <w:tc>
          <w:tcPr>
            <w:tcW w:w="9072" w:type="dxa"/>
          </w:tcPr>
          <w:p w14:paraId="5EB8DE12" w14:textId="77777777" w:rsidR="00BE436E" w:rsidRPr="002473C2" w:rsidRDefault="00BE4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36E" w:rsidRPr="002473C2" w14:paraId="6164A10B" w14:textId="77777777" w:rsidTr="002473C2">
        <w:trPr>
          <w:trHeight w:val="3246"/>
        </w:trPr>
        <w:tc>
          <w:tcPr>
            <w:tcW w:w="2268" w:type="dxa"/>
            <w:shd w:val="clear" w:color="auto" w:fill="F7CAAC" w:themeFill="accent2" w:themeFillTint="66"/>
            <w:vAlign w:val="center"/>
          </w:tcPr>
          <w:p w14:paraId="3E55C53A" w14:textId="77777777" w:rsidR="00BE436E" w:rsidRPr="002473C2" w:rsidRDefault="00BE436E" w:rsidP="00BE4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3C2">
              <w:rPr>
                <w:rFonts w:ascii="Times New Roman" w:eastAsia="Lucida Sans" w:hAnsi="Times New Roman" w:cs="Times New Roman"/>
                <w:b/>
                <w:sz w:val="24"/>
                <w:szCs w:val="24"/>
              </w:rPr>
              <w:t>Méthodologie de traitement des déchets</w:t>
            </w:r>
          </w:p>
        </w:tc>
        <w:tc>
          <w:tcPr>
            <w:tcW w:w="9072" w:type="dxa"/>
          </w:tcPr>
          <w:p w14:paraId="7B7C0F51" w14:textId="77777777" w:rsidR="00BE436E" w:rsidRPr="002473C2" w:rsidRDefault="00BE4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82FE55" w14:textId="77777777" w:rsidR="00BE436E" w:rsidRPr="002473C2" w:rsidRDefault="00BE436E">
      <w:pPr>
        <w:rPr>
          <w:rFonts w:ascii="Times New Roman" w:hAnsi="Times New Roman" w:cs="Times New Roman"/>
          <w:sz w:val="24"/>
          <w:szCs w:val="24"/>
        </w:rPr>
      </w:pPr>
    </w:p>
    <w:sectPr w:rsidR="00BE436E" w:rsidRPr="002473C2" w:rsidSect="0022625A">
      <w:footerReference w:type="default" r:id="rId6"/>
      <w:headerReference w:type="first" r:id="rId7"/>
      <w:foot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D73B2" w14:textId="77777777" w:rsidR="007C0723" w:rsidRDefault="007C0723" w:rsidP="008A4473">
      <w:pPr>
        <w:spacing w:after="0" w:line="240" w:lineRule="auto"/>
      </w:pPr>
      <w:r>
        <w:separator/>
      </w:r>
    </w:p>
  </w:endnote>
  <w:endnote w:type="continuationSeparator" w:id="0">
    <w:p w14:paraId="2EE8A863" w14:textId="77777777" w:rsidR="007C0723" w:rsidRDefault="007C0723" w:rsidP="008A4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7076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51310" w14:textId="2DA2A68F" w:rsidR="007C0723" w:rsidRDefault="00CD6BEC">
            <w:pPr>
              <w:pStyle w:val="Pieddepage"/>
            </w:pPr>
            <w:r w:rsidRPr="00CD6BEC">
              <w:t>Support de mémoire technique – 2025PFTVXENTRE</w:t>
            </w:r>
            <w:r>
              <w:tab/>
            </w:r>
            <w:r w:rsidR="007C0723">
              <w:t xml:space="preserve">Page </w:t>
            </w:r>
            <w:r w:rsidR="007C0723">
              <w:rPr>
                <w:b/>
                <w:bCs/>
                <w:sz w:val="24"/>
                <w:szCs w:val="24"/>
              </w:rPr>
              <w:fldChar w:fldCharType="begin"/>
            </w:r>
            <w:r w:rsidR="007C0723">
              <w:rPr>
                <w:b/>
                <w:bCs/>
              </w:rPr>
              <w:instrText>PAGE</w:instrText>
            </w:r>
            <w:r w:rsidR="007C0723">
              <w:rPr>
                <w:b/>
                <w:bCs/>
                <w:sz w:val="24"/>
                <w:szCs w:val="24"/>
              </w:rPr>
              <w:fldChar w:fldCharType="separate"/>
            </w:r>
            <w:r w:rsidR="00B03DA8">
              <w:rPr>
                <w:b/>
                <w:bCs/>
                <w:noProof/>
              </w:rPr>
              <w:t>6</w:t>
            </w:r>
            <w:r w:rsidR="007C0723">
              <w:rPr>
                <w:b/>
                <w:bCs/>
                <w:sz w:val="24"/>
                <w:szCs w:val="24"/>
              </w:rPr>
              <w:fldChar w:fldCharType="end"/>
            </w:r>
            <w:r w:rsidR="007C0723">
              <w:t xml:space="preserve"> sur </w:t>
            </w:r>
            <w:r w:rsidR="007C0723">
              <w:rPr>
                <w:b/>
                <w:bCs/>
                <w:sz w:val="24"/>
                <w:szCs w:val="24"/>
              </w:rPr>
              <w:fldChar w:fldCharType="begin"/>
            </w:r>
            <w:r w:rsidR="007C0723">
              <w:rPr>
                <w:b/>
                <w:bCs/>
              </w:rPr>
              <w:instrText>NUMPAGES</w:instrText>
            </w:r>
            <w:r w:rsidR="007C0723">
              <w:rPr>
                <w:b/>
                <w:bCs/>
                <w:sz w:val="24"/>
                <w:szCs w:val="24"/>
              </w:rPr>
              <w:fldChar w:fldCharType="separate"/>
            </w:r>
            <w:r w:rsidR="00B03DA8">
              <w:rPr>
                <w:b/>
                <w:bCs/>
                <w:noProof/>
              </w:rPr>
              <w:t>6</w:t>
            </w:r>
            <w:r w:rsidR="007C07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6D94" w14:textId="33AADD18" w:rsidR="00CD6BEC" w:rsidRDefault="00CD6BEC">
    <w:pPr>
      <w:pStyle w:val="Pieddepage"/>
    </w:pPr>
    <w:r>
      <w:t>Support de mémoire technique – 2025PFTVXENTRE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3ECD3" w14:textId="77777777" w:rsidR="007C0723" w:rsidRDefault="007C0723" w:rsidP="008A4473">
      <w:pPr>
        <w:spacing w:after="0" w:line="240" w:lineRule="auto"/>
      </w:pPr>
      <w:r>
        <w:separator/>
      </w:r>
    </w:p>
  </w:footnote>
  <w:footnote w:type="continuationSeparator" w:id="0">
    <w:p w14:paraId="78A15FA6" w14:textId="77777777" w:rsidR="007C0723" w:rsidRDefault="007C0723" w:rsidP="008A4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C853B" w14:textId="77777777" w:rsidR="007C0723" w:rsidRDefault="007C0723" w:rsidP="008A4473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6416C80" wp14:editId="43454B4B">
          <wp:extent cx="1485900" cy="580884"/>
          <wp:effectExtent l="0" t="0" r="0" b="0"/>
          <wp:docPr id="86" name="Image 86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UPEC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39" cy="63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3DB"/>
    <w:rsid w:val="00001E44"/>
    <w:rsid w:val="0005037A"/>
    <w:rsid w:val="000E3D5A"/>
    <w:rsid w:val="00107729"/>
    <w:rsid w:val="001243DB"/>
    <w:rsid w:val="00165864"/>
    <w:rsid w:val="0022625A"/>
    <w:rsid w:val="002473C2"/>
    <w:rsid w:val="002C2085"/>
    <w:rsid w:val="00430D8B"/>
    <w:rsid w:val="00441D15"/>
    <w:rsid w:val="004D4261"/>
    <w:rsid w:val="004F4180"/>
    <w:rsid w:val="00512AF8"/>
    <w:rsid w:val="005218A8"/>
    <w:rsid w:val="00524D8A"/>
    <w:rsid w:val="00554E63"/>
    <w:rsid w:val="00571AA3"/>
    <w:rsid w:val="005B11A6"/>
    <w:rsid w:val="00656874"/>
    <w:rsid w:val="0065769A"/>
    <w:rsid w:val="007C0723"/>
    <w:rsid w:val="007C1DA6"/>
    <w:rsid w:val="007E2DAF"/>
    <w:rsid w:val="00811066"/>
    <w:rsid w:val="0088769A"/>
    <w:rsid w:val="00887E18"/>
    <w:rsid w:val="008A4473"/>
    <w:rsid w:val="008F4784"/>
    <w:rsid w:val="00922307"/>
    <w:rsid w:val="00924F91"/>
    <w:rsid w:val="0093454F"/>
    <w:rsid w:val="009933BB"/>
    <w:rsid w:val="009A65F4"/>
    <w:rsid w:val="00A633D1"/>
    <w:rsid w:val="00AB4ABA"/>
    <w:rsid w:val="00B03DA8"/>
    <w:rsid w:val="00BE436E"/>
    <w:rsid w:val="00C13C69"/>
    <w:rsid w:val="00C229AE"/>
    <w:rsid w:val="00C25A5F"/>
    <w:rsid w:val="00C56FA0"/>
    <w:rsid w:val="00C92DB0"/>
    <w:rsid w:val="00CD4F8A"/>
    <w:rsid w:val="00CD6BEC"/>
    <w:rsid w:val="00D1134C"/>
    <w:rsid w:val="00D46704"/>
    <w:rsid w:val="00E03CA2"/>
    <w:rsid w:val="00E0719B"/>
    <w:rsid w:val="00F30763"/>
    <w:rsid w:val="00F31630"/>
    <w:rsid w:val="00F4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ACE6B"/>
  <w15:chartTrackingRefBased/>
  <w15:docId w15:val="{9CADE9DC-80E6-44AC-8D8B-310A9E51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24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4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4180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E436E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8A4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4473"/>
  </w:style>
  <w:style w:type="paragraph" w:styleId="Pieddepage">
    <w:name w:val="footer"/>
    <w:basedOn w:val="Normal"/>
    <w:link w:val="PieddepageCar"/>
    <w:uiPriority w:val="99"/>
    <w:unhideWhenUsed/>
    <w:rsid w:val="008A4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4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4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523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UPEC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Rowarch</dc:creator>
  <cp:keywords/>
  <dc:description/>
  <cp:lastModifiedBy>Mohamadou Samassa Kouta</cp:lastModifiedBy>
  <cp:revision>20</cp:revision>
  <cp:lastPrinted>2020-12-04T17:38:00Z</cp:lastPrinted>
  <dcterms:created xsi:type="dcterms:W3CDTF">2020-12-04T17:37:00Z</dcterms:created>
  <dcterms:modified xsi:type="dcterms:W3CDTF">2025-04-24T14:42:00Z</dcterms:modified>
</cp:coreProperties>
</file>