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left="0"/>
        <w:rPr>
          <w:b/>
          <w:sz w:val="28"/>
        </w:rPr>
      </w:pPr>
      <w:r>
        <w:rPr>
          <w:rFonts w:asciiTheme="minorHAnsi" w:hAnsiTheme="minorHAnsi" w:cs="Calibri"/>
          <w:noProof/>
          <w:szCs w:val="22"/>
        </w:rPr>
        <w:drawing>
          <wp:anchor distT="0" distB="0" distL="114300" distR="114300" simplePos="0" relativeHeight="251663360" behindDoc="0" locked="0" layoutInCell="1" allowOverlap="1">
            <wp:simplePos x="0" y="0"/>
            <wp:positionH relativeFrom="margin">
              <wp:posOffset>-24130</wp:posOffset>
            </wp:positionH>
            <wp:positionV relativeFrom="margin">
              <wp:posOffset>7620</wp:posOffset>
            </wp:positionV>
            <wp:extent cx="1590040" cy="43561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20871" t="26361" r="21432" b="39659"/>
                    <a:stretch/>
                  </pic:blipFill>
                  <pic:spPr bwMode="auto">
                    <a:xfrm>
                      <a:off x="0" y="0"/>
                      <a:ext cx="1590040" cy="435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4712970</wp:posOffset>
            </wp:positionH>
            <wp:positionV relativeFrom="paragraph">
              <wp:posOffset>28575</wp:posOffset>
            </wp:positionV>
            <wp:extent cx="1363980" cy="501015"/>
            <wp:effectExtent l="0" t="0" r="7620" b="0"/>
            <wp:wrapThrough wrapText="bothSides">
              <wp:wrapPolygon edited="0">
                <wp:start x="0" y="0"/>
                <wp:lineTo x="0" y="20532"/>
                <wp:lineTo x="21419" y="20532"/>
                <wp:lineTo x="21419" y="0"/>
                <wp:lineTo x="0" y="0"/>
              </wp:wrapPolygon>
            </wp:wrapThrough>
            <wp:docPr id="2" name="Image 2"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C:\Users\JCORBERAND\AppData\Local\Microsoft\Windows\INetCache\Content.MSO\E3DFF825.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1814830</wp:posOffset>
            </wp:positionH>
            <wp:positionV relativeFrom="margin">
              <wp:posOffset>-135890</wp:posOffset>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rPr>
          <w:b/>
          <w:sz w:val="24"/>
        </w:rPr>
      </w:pPr>
    </w:p>
    <w:tbl>
      <w:tblPr>
        <w:tblStyle w:val="Grilledutableau"/>
        <w:tblW w:w="0" w:type="auto"/>
        <w:tblInd w:w="279" w:type="dxa"/>
        <w:shd w:val="clear" w:color="auto" w:fill="CCB6D9"/>
        <w:tblLook w:val="04A0" w:firstRow="1" w:lastRow="0" w:firstColumn="1" w:lastColumn="0" w:noHBand="0" w:noVBand="1"/>
      </w:tblPr>
      <w:tblGrid>
        <w:gridCol w:w="9214"/>
      </w:tblGrid>
      <w:tr>
        <w:tc>
          <w:tcPr>
            <w:tcW w:w="9214" w:type="dxa"/>
            <w:shd w:val="clear" w:color="auto" w:fill="CCB6D9"/>
          </w:tcPr>
          <w:p>
            <w:pPr>
              <w:jc w:val="center"/>
              <w:rPr>
                <w:b/>
                <w:sz w:val="28"/>
              </w:rPr>
            </w:pPr>
            <w:r>
              <w:rPr>
                <w:b/>
                <w:sz w:val="28"/>
              </w:rPr>
              <w:t>A.E</w:t>
            </w:r>
          </w:p>
          <w:p>
            <w:pPr>
              <w:jc w:val="center"/>
              <w:rPr>
                <w:b/>
                <w:sz w:val="28"/>
              </w:rPr>
            </w:pPr>
            <w:r>
              <w:rPr>
                <w:b/>
                <w:sz w:val="28"/>
              </w:rPr>
              <w:t>ACTE D’ENGAGEMENT</w:t>
            </w:r>
          </w:p>
        </w:tc>
      </w:tr>
    </w:tbl>
    <w:p>
      <w:pPr>
        <w:ind w:left="0"/>
        <w:rPr>
          <w:b/>
          <w:sz w:val="28"/>
        </w:rPr>
      </w:pPr>
    </w:p>
    <w:tbl>
      <w:tblPr>
        <w:tblStyle w:val="Grilledutableau"/>
        <w:tblW w:w="0" w:type="auto"/>
        <w:jc w:val="center"/>
        <w:shd w:val="clear" w:color="auto" w:fill="CCB6D9"/>
        <w:tblLook w:val="04A0" w:firstRow="1" w:lastRow="0" w:firstColumn="1" w:lastColumn="0" w:noHBand="0" w:noVBand="1"/>
      </w:tblPr>
      <w:tblGrid>
        <w:gridCol w:w="9214"/>
      </w:tblGrid>
      <w:tr>
        <w:trPr>
          <w:jc w:val="center"/>
        </w:trPr>
        <w:tc>
          <w:tcPr>
            <w:tcW w:w="9214" w:type="dxa"/>
            <w:shd w:val="clear" w:color="auto" w:fill="CCB6D9"/>
          </w:tcPr>
          <w:p>
            <w:pPr>
              <w:spacing w:line="242" w:lineRule="auto"/>
              <w:ind w:left="439"/>
              <w:jc w:val="center"/>
              <w:rPr>
                <w:b/>
                <w:color w:val="000000"/>
                <w:sz w:val="28"/>
              </w:rPr>
            </w:pPr>
            <w:r>
              <w:rPr>
                <w:b/>
                <w:color w:val="000000"/>
                <w:sz w:val="28"/>
              </w:rPr>
              <w:t>ASSISTANCE A MAITRISE D’OUVRAGE POUR LE SUIVI ET LE CONTROLE DU MARCHE D’EXPLOITATION DES INSTALLATIONS DE GENIE CLIMATIQUE</w:t>
            </w:r>
          </w:p>
        </w:tc>
      </w:tr>
    </w:tbl>
    <w:p>
      <w:pPr>
        <w:rPr>
          <w:b/>
          <w:sz w:val="28"/>
        </w:rPr>
      </w:pPr>
    </w:p>
    <w:p>
      <w:pPr>
        <w:jc w:val="center"/>
        <w:rPr>
          <w:b/>
        </w:rPr>
      </w:pPr>
    </w:p>
    <w:p>
      <w:pPr>
        <w:jc w:val="center"/>
        <w:rPr>
          <w:b/>
        </w:rPr>
      </w:pPr>
      <w:r>
        <w:rPr>
          <w:b/>
        </w:rPr>
        <w:t>La procédure est passée en application des dispositions du Code la commande publique (ci-après « le Code ») :</w:t>
      </w:r>
    </w:p>
    <w:p>
      <w:pPr>
        <w:jc w:val="center"/>
        <w:rPr>
          <w:b/>
        </w:rPr>
      </w:pPr>
    </w:p>
    <w:p>
      <w:pPr>
        <w:jc w:val="center"/>
      </w:pPr>
      <w:r>
        <w:t xml:space="preserve">Procédure adaptée : </w:t>
      </w:r>
    </w:p>
    <w:p>
      <w:pPr>
        <w:jc w:val="center"/>
      </w:pPr>
      <w:r>
        <w:t>Articles L.2123-1 &amp; R.2123-1 à R.2123-5 du Code ;</w:t>
      </w:r>
    </w:p>
    <w:p>
      <w:pPr>
        <w:jc w:val="center"/>
      </w:pPr>
      <w:r>
        <w:t>&amp;</w:t>
      </w:r>
    </w:p>
    <w:p>
      <w:pPr>
        <w:jc w:val="center"/>
      </w:pPr>
      <w:r>
        <w:t>Accord-cadre Mono-attributaire : articles –L.2125-1</w:t>
      </w:r>
      <w:r>
        <w:rPr>
          <w:bCs/>
        </w:rPr>
        <w:t xml:space="preserve"> </w:t>
      </w:r>
      <w:r>
        <w:t>et R.2162-2-2°- du Code ;</w:t>
      </w:r>
    </w:p>
    <w:p>
      <w:pPr>
        <w:jc w:val="center"/>
      </w:pPr>
      <w:r>
        <w:t>&amp;</w:t>
      </w:r>
    </w:p>
    <w:p>
      <w:pPr>
        <w:jc w:val="center"/>
      </w:pPr>
    </w:p>
    <w:p>
      <w:pPr>
        <w:jc w:val="center"/>
      </w:pPr>
    </w:p>
    <w:p>
      <w:pPr>
        <w:jc w:val="center"/>
        <w:rPr>
          <w:b/>
        </w:rPr>
      </w:pPr>
      <w:r>
        <w:rPr>
          <w:b/>
        </w:rPr>
        <w:t>Acheteur</w:t>
      </w:r>
    </w:p>
    <w:p>
      <w:pPr>
        <w:jc w:val="center"/>
        <w:rPr>
          <w:b/>
        </w:rPr>
      </w:pPr>
    </w:p>
    <w:p>
      <w:pPr>
        <w:ind w:left="1418" w:right="411"/>
        <w:jc w:val="center"/>
        <w:rPr>
          <w:rFonts w:asciiTheme="minorHAnsi" w:hAnsiTheme="minorHAnsi" w:cstheme="minorHAnsi"/>
          <w:b/>
          <w:sz w:val="24"/>
        </w:rPr>
      </w:pPr>
      <w:r>
        <w:rPr>
          <w:rFonts w:asciiTheme="minorHAnsi" w:hAnsiTheme="minorHAnsi" w:cstheme="minorHAnsi"/>
          <w:b/>
          <w:sz w:val="24"/>
        </w:rPr>
        <w:t>CENTRE HOSPITALIER DE SAINT-DENIS</w:t>
      </w:r>
    </w:p>
    <w:p>
      <w:pPr>
        <w:ind w:left="1418" w:right="411"/>
        <w:jc w:val="center"/>
        <w:rPr>
          <w:rFonts w:asciiTheme="minorHAnsi" w:hAnsiTheme="minorHAnsi" w:cstheme="minorHAnsi"/>
          <w:bCs/>
        </w:rPr>
      </w:pPr>
      <w:r>
        <w:rPr>
          <w:rFonts w:asciiTheme="minorHAnsi" w:hAnsiTheme="minorHAnsi" w:cstheme="minorHAnsi"/>
          <w:bCs/>
        </w:rPr>
        <w:t xml:space="preserve">ETABLISSEMENT SUPPORT DU GHT PLAINE DE </w:t>
      </w:r>
      <w:r>
        <w:rPr>
          <w:bCs/>
        </w:rPr>
        <w:t>FRANCE</w:t>
      </w:r>
    </w:p>
    <w:p>
      <w:pPr>
        <w:ind w:left="1418" w:right="411"/>
        <w:jc w:val="center"/>
        <w:rPr>
          <w:rFonts w:asciiTheme="minorHAnsi" w:hAnsiTheme="minorHAnsi" w:cstheme="minorHAnsi"/>
          <w:sz w:val="24"/>
        </w:rPr>
      </w:pPr>
      <w:r>
        <w:rPr>
          <w:rFonts w:asciiTheme="minorHAnsi" w:hAnsiTheme="minorHAnsi" w:cstheme="minorHAnsi"/>
          <w:bCs/>
          <w:sz w:val="24"/>
        </w:rPr>
        <w:t>Direction des Achats</w:t>
      </w:r>
    </w:p>
    <w:p>
      <w:pPr>
        <w:ind w:left="1418" w:right="411"/>
        <w:jc w:val="center"/>
        <w:rPr>
          <w:rFonts w:asciiTheme="minorHAnsi" w:hAnsiTheme="minorHAnsi" w:cstheme="minorHAnsi"/>
          <w:sz w:val="24"/>
        </w:rPr>
      </w:pPr>
      <w:r>
        <w:rPr>
          <w:rFonts w:asciiTheme="minorHAnsi" w:hAnsiTheme="minorHAnsi" w:cstheme="minorHAnsi"/>
          <w:sz w:val="24"/>
        </w:rPr>
        <w:t>2, rue du Docteur Delafontaine</w:t>
      </w:r>
    </w:p>
    <w:p>
      <w:pPr>
        <w:ind w:left="1418" w:right="411"/>
        <w:jc w:val="center"/>
        <w:rPr>
          <w:rFonts w:asciiTheme="minorHAnsi" w:hAnsiTheme="minorHAnsi" w:cstheme="minorHAnsi"/>
          <w:sz w:val="24"/>
        </w:rPr>
      </w:pPr>
      <w:r>
        <w:rPr>
          <w:rFonts w:asciiTheme="minorHAnsi" w:hAnsiTheme="minorHAnsi" w:cstheme="minorHAnsi"/>
          <w:sz w:val="24"/>
        </w:rPr>
        <w:t>BP 279</w:t>
      </w:r>
    </w:p>
    <w:p>
      <w:pPr>
        <w:ind w:left="1418" w:right="411"/>
        <w:jc w:val="center"/>
        <w:rPr>
          <w:rFonts w:asciiTheme="minorHAnsi" w:hAnsiTheme="minorHAnsi" w:cstheme="minorHAnsi"/>
          <w:sz w:val="24"/>
        </w:rPr>
      </w:pPr>
      <w:r>
        <w:rPr>
          <w:rFonts w:asciiTheme="minorHAnsi" w:hAnsiTheme="minorHAnsi" w:cstheme="minorHAnsi"/>
          <w:sz w:val="24"/>
        </w:rPr>
        <w:t>93205 SAINT-DENIS CEDEX</w:t>
      </w:r>
    </w:p>
    <w:p>
      <w:pPr>
        <w:jc w:val="center"/>
      </w:pPr>
    </w:p>
    <w:p/>
    <w:p/>
    <w:p/>
    <w:p/>
    <w:p/>
    <w:p/>
    <w:p/>
    <w:p/>
    <w:p/>
    <w:p>
      <w:pPr>
        <w:spacing w:after="200" w:line="276" w:lineRule="auto"/>
      </w:pPr>
    </w:p>
    <w:p>
      <w:pPr>
        <w:spacing w:after="200" w:line="276" w:lineRule="auto"/>
      </w:pPr>
    </w:p>
    <w:p>
      <w:pPr>
        <w:spacing w:after="200" w:line="276" w:lineRule="auto"/>
      </w:pPr>
      <w:r>
        <w:br w:type="page"/>
      </w:r>
    </w:p>
    <w:p>
      <w:pPr>
        <w:pStyle w:val="Titre1"/>
        <w:ind w:left="357" w:hanging="357"/>
        <w:rPr>
          <w:rFonts w:cs="Calibri"/>
          <w:szCs w:val="22"/>
        </w:rPr>
      </w:pPr>
      <w:r>
        <w:rPr>
          <w:rFonts w:cs="Calibri"/>
          <w:szCs w:val="22"/>
        </w:rPr>
        <w:lastRenderedPageBreak/>
        <w:t>Objet dU MARCHE PUBLIC</w:t>
      </w:r>
    </w:p>
    <w:p>
      <w:pPr>
        <w:rPr>
          <w:rFonts w:eastAsia="Calibri"/>
        </w:rPr>
      </w:pPr>
      <w:r>
        <w:rPr>
          <w:rFonts w:eastAsia="Calibri"/>
        </w:rPr>
        <w:t>Assistance à maîtrise d’ouvrage pour le suivi et le contrôle du marché d’exploitation des installations de génie climatique.</w:t>
      </w:r>
    </w:p>
    <w:p>
      <w:pPr>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A l’offre de base</w:t>
      </w:r>
    </w:p>
    <w:p>
      <w:pPr>
        <w:rPr>
          <w:rFonts w:cs="Calibri"/>
          <w:color w:val="000000"/>
          <w:szCs w:val="22"/>
        </w:rPr>
      </w:pPr>
    </w:p>
    <w:p>
      <w:pPr>
        <w:rPr>
          <w:rFonts w:cs="Calibri"/>
          <w:color w:val="000000"/>
          <w:szCs w:val="22"/>
        </w:rPr>
      </w:pPr>
      <w:r>
        <w:rPr>
          <w:rFonts w:cs="Calibri"/>
          <w:color w:val="000000"/>
          <w:szCs w:val="22"/>
        </w:rPr>
        <w:t xml:space="preserve">Le contenu de la prestation est détaillé dans les articles du CCP </w:t>
      </w:r>
    </w:p>
    <w:p>
      <w:pPr>
        <w:rPr>
          <w:rFonts w:cs="Calibri"/>
          <w:color w:val="000000"/>
          <w:szCs w:val="22"/>
        </w:rPr>
      </w:pPr>
    </w:p>
    <w:p>
      <w:r>
        <w:t xml:space="preserve"> Engagement du titulaire ou du groupement titulaire</w:t>
      </w:r>
      <w:r>
        <w:br/>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CCAG-Travaux 2021 – Cahier des Clauses Administratives Générales applicables aux marchés publics de travaux.</w:t>
      </w:r>
    </w:p>
    <w:p>
      <w:pPr>
        <w:spacing w:before="100" w:beforeAutospacing="1" w:after="100" w:afterAutospacing="1"/>
        <w:rPr>
          <w:rFonts w:cs="Calibri"/>
          <w:color w:val="000000"/>
          <w:szCs w:val="22"/>
        </w:rPr>
      </w:pPr>
      <w:r>
        <w:rPr>
          <w:rFonts w:cs="Calibri"/>
          <w:color w:val="000000"/>
          <w:szCs w:val="22"/>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 w:val="16"/>
          <w:szCs w:val="22"/>
        </w:rPr>
      </w:pP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L’ensemble des membres du groupement s’engagent, sur la base de l’offre du groupement ;</w:t>
      </w:r>
    </w:p>
    <w:p>
      <w:pPr>
        <w:ind w:left="1418"/>
        <w:rPr>
          <w:rFonts w:cs="Calibri"/>
          <w:color w:val="000000"/>
          <w:sz w:val="16"/>
          <w:szCs w:val="22"/>
        </w:rPr>
      </w:pPr>
      <w:r>
        <w:rPr>
          <w:rFonts w:cs="Calibri"/>
          <w:color w:val="000000"/>
          <w:sz w:val="16"/>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À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r>
        <w:t xml:space="preserve">Le contrat est conclu pour une première période du 1 Juillet 2025 (ou à défaut à compter de la date de notification) et jusqu’au </w:t>
      </w:r>
      <w:r>
        <w:t>1</w:t>
      </w:r>
      <w:r>
        <w:t>er</w:t>
      </w:r>
      <w:r>
        <w:t xml:space="preserve"> Juillet 202</w:t>
      </w:r>
      <w:r>
        <w:t>6.</w:t>
      </w:r>
    </w:p>
    <w:p/>
    <w:p>
      <w:r>
        <w:t xml:space="preserve">Il pourra être reconduit tacitement 3 fois par période d’un an, soit à partir du </w:t>
      </w:r>
      <w:r>
        <w:t>1</w:t>
      </w:r>
      <w:r>
        <w:t>er</w:t>
      </w:r>
      <w:r>
        <w:t xml:space="preserve"> Juillet 2026</w:t>
      </w:r>
      <w:r>
        <w:t>.</w:t>
      </w:r>
    </w:p>
    <w:p/>
    <w:p>
      <w:r>
        <w:t>Le titulaire du marché ne peut refuser la reconduction du marché.</w:t>
      </w:r>
    </w:p>
    <w:p/>
    <w:p/>
    <w:p/>
    <w:p/>
    <w:p/>
    <w:p/>
    <w:p/>
    <w:p/>
    <w:p/>
    <w:p/>
    <w:p>
      <w:pPr>
        <w:pStyle w:val="Titre1"/>
        <w:spacing w:after="0"/>
        <w:ind w:left="357" w:hanging="357"/>
      </w:pPr>
      <w:r>
        <w:lastRenderedPageBreak/>
        <w:t>Signature du marché public par le titulaire individuel ou, en cas groupement, le mandataire dûment habilité ou chaque membre du groupement</w:t>
      </w:r>
    </w:p>
    <w:p>
      <w:pPr>
        <w:rPr>
          <w:rFonts w:cs="Calibri"/>
          <w:color w:val="000000"/>
          <w:sz w:val="18"/>
          <w:szCs w:val="22"/>
          <w:highlight w:val="yellow"/>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p>
      <w:pPr>
        <w:spacing w:after="100" w:afterAutospacing="1"/>
        <w:ind w:firstLine="709"/>
        <w:rPr>
          <w:rFonts w:cs="Calibri"/>
          <w:color w:val="000000"/>
          <w:sz w:val="18"/>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lastRenderedPageBreak/>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 xml:space="preserve">Directrice des Achats </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pStyle w:val="Paragraphedeliste"/>
        <w:ind w:left="4254"/>
        <w:rPr>
          <w:rFonts w:cs="Calibri"/>
          <w:color w:val="000000"/>
          <w:szCs w:val="22"/>
          <w:highlight w:val="yellow"/>
        </w:rPr>
      </w:pPr>
      <w:r>
        <w:rPr>
          <w:rFonts w:cs="Calibri"/>
          <w:color w:val="000000"/>
          <w:szCs w:val="22"/>
        </w:rPr>
        <w:t xml:space="preserve">    GUY TARAMELLI</w:t>
      </w:r>
    </w:p>
    <w:p>
      <w:pPr>
        <w:jc w:val="center"/>
        <w:rPr>
          <w:rFonts w:cs="Calibri"/>
          <w:color w:val="000000"/>
          <w:szCs w:val="22"/>
        </w:rPr>
      </w:pPr>
      <w:r>
        <w:rPr>
          <w:rFonts w:cs="Calibri"/>
          <w:color w:val="000000"/>
          <w:szCs w:val="22"/>
        </w:rPr>
        <w:t xml:space="preserve">Responsable des Achats </w:t>
      </w:r>
    </w:p>
    <w:p>
      <w:pPr>
        <w:jc w:val="center"/>
        <w:rPr>
          <w:rFonts w:cs="Calibri"/>
          <w:color w:val="000000"/>
          <w:sz w:val="20"/>
          <w:szCs w:val="22"/>
        </w:rPr>
      </w:pPr>
      <w:r>
        <w:rPr>
          <w:rFonts w:cs="Calibri"/>
          <w:color w:val="000000"/>
          <w:sz w:val="20"/>
          <w:szCs w:val="22"/>
        </w:rPr>
        <w:t>GHT PLAINE DE FRANCE</w:t>
      </w:r>
      <w:bookmarkStart w:id="0" w:name="_GoBack"/>
      <w:bookmarkEnd w:id="0"/>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ind w:left="1418"/>
        <w:rPr>
          <w:rFonts w:cs="Calibri"/>
          <w:color w:val="000000"/>
          <w:szCs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Calibri"/>
          <w:color w:val="000000"/>
          <w:szCs w:val="22"/>
        </w:rPr>
        <w:t xml:space="preserve"> Le comptable assignataire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3" w:history="1">
        <w:r>
          <w:rPr>
            <w:rFonts w:cs="Calibri"/>
            <w:color w:val="000000"/>
            <w:szCs w:val="22"/>
          </w:rPr>
          <w:t>Téléphone</w:t>
        </w:r>
      </w:hyperlink>
      <w:r>
        <w:rPr>
          <w:rFonts w:cs="Calibri"/>
          <w:color w:val="000000"/>
          <w:szCs w:val="22"/>
        </w:rPr>
        <w:t> : 01 42 35 61 40</w:t>
      </w:r>
    </w:p>
    <w:p>
      <w:pPr>
        <w:spacing w:before="100" w:beforeAutospacing="1"/>
        <w:ind w:left="1418"/>
        <w:rPr>
          <w:rFonts w:cs="Calibri"/>
          <w:color w:val="000000"/>
          <w:szCs w:val="22"/>
        </w:rPr>
      </w:pPr>
      <w:r>
        <w:rPr>
          <w:sz w:val="28"/>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Calibri"/>
          <w:color w:val="000000"/>
          <w:szCs w:val="22"/>
        </w:rPr>
        <w:t xml:space="preserve"> </w:t>
      </w:r>
      <w:r>
        <w:rPr>
          <w:sz w:val="28"/>
        </w:rPr>
        <w:t xml:space="preserve"> </w:t>
      </w:r>
      <w:r>
        <w:rPr>
          <w:rFonts w:cs="Calibri"/>
          <w:b/>
          <w:color w:val="000000"/>
          <w:szCs w:val="22"/>
        </w:rPr>
        <w:t>Le comptable assignataire du Centre Hospitalier de Gonesse</w:t>
      </w:r>
    </w:p>
    <w:p>
      <w:pPr>
        <w:shd w:val="clear" w:color="auto" w:fill="FFFFFF"/>
        <w:ind w:left="2127"/>
        <w:rPr>
          <w:rFonts w:cs="Calibri"/>
          <w:color w:val="000000"/>
          <w:szCs w:val="22"/>
        </w:rPr>
      </w:pPr>
      <w:r>
        <w:rPr>
          <w:rFonts w:cs="Calibri"/>
          <w:color w:val="000000"/>
          <w:szCs w:val="22"/>
        </w:rPr>
        <w:t>2 rue Louis Marteau, 95140 GARGES LES GONESSE</w:t>
      </w:r>
    </w:p>
    <w:p>
      <w:pPr>
        <w:shd w:val="clear" w:color="auto" w:fill="FFFFFF"/>
        <w:ind w:left="2127"/>
        <w:rPr>
          <w:rFonts w:cs="Calibri"/>
          <w:color w:val="000000"/>
          <w:szCs w:val="22"/>
        </w:rPr>
      </w:pPr>
      <w:hyperlink r:id="rId14" w:history="1">
        <w:r>
          <w:rPr>
            <w:rFonts w:cs="Calibri"/>
            <w:color w:val="000000"/>
            <w:szCs w:val="22"/>
          </w:rPr>
          <w:t>Téléphone</w:t>
        </w:r>
      </w:hyperlink>
      <w:r>
        <w:rPr>
          <w:rFonts w:cs="Calibri"/>
          <w:color w:val="000000"/>
          <w:szCs w:val="22"/>
        </w:rPr>
        <w:t> : 01 34 53 38 00</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présente offre est attribuée à la société </w:t>
      </w:r>
    </w:p>
    <w:p>
      <w:pPr>
        <w:spacing w:before="100" w:beforeAutospacing="1" w:after="100" w:afterAutospacing="1"/>
        <w:rPr>
          <w:rFonts w:cs="Calibri"/>
          <w:color w:val="000000"/>
          <w:szCs w:val="22"/>
        </w:rPr>
      </w:pPr>
    </w:p>
    <w:p>
      <w:pPr>
        <w:spacing w:before="100" w:beforeAutospacing="1" w:after="100" w:afterAutospacing="1"/>
        <w:rPr>
          <w:rFonts w:cs="Calibri"/>
          <w:color w:val="000000"/>
          <w:szCs w:val="22"/>
        </w:rPr>
      </w:pPr>
      <w:r>
        <w:rPr>
          <w:rFonts w:cs="Calibri"/>
          <w:color w:val="000000"/>
          <w:szCs w:val="22"/>
        </w:rPr>
        <w:t>A Saint Denis, le …/…/2025</w:t>
      </w:r>
    </w:p>
    <w:p>
      <w:pPr>
        <w:jc w:val="right"/>
        <w:rPr>
          <w:rFonts w:cs="Calibri"/>
          <w:color w:val="000000"/>
          <w:szCs w:val="22"/>
        </w:rPr>
      </w:pPr>
      <w:r>
        <w:rPr>
          <w:rFonts w:cs="Calibri"/>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sectPr>
      <w:footerReference w:type="default" r:id="rId15"/>
      <w:headerReference w:type="first" r:id="rId16"/>
      <w:footerReference w:type="first" r:id="rId17"/>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6"/>
        <w:szCs w:val="16"/>
      </w:rPr>
    </w:pPr>
    <w:r>
      <w:rPr>
        <w:rFonts w:asciiTheme="minorHAnsi" w:hAnsiTheme="minorHAnsi" w:cstheme="minorHAnsi"/>
        <w:color w:val="0D0D0D" w:themeColor="text1" w:themeTint="F2"/>
        <w:sz w:val="18"/>
      </w:rPr>
      <w:t>AE N°223227 : Prestations de support et de maintenance corrective et évolutive pour les licences et interfaces DIANE du service d’anesthésie acquises par le Centre hospitalier de Saint Denis.</w:t>
    </w:r>
    <w:sdt>
      <w:sdtPr>
        <w:rPr>
          <w:rFonts w:asciiTheme="minorHAnsi" w:hAnsiTheme="minorHAnsi" w:cstheme="minorHAnsi"/>
          <w:sz w:val="16"/>
          <w:szCs w:val="16"/>
        </w:rPr>
        <w:id w:val="-994563573"/>
        <w:docPartObj>
          <w:docPartGallery w:val="Page Numbers (Bottom of Page)"/>
          <w:docPartUnique/>
        </w:docPartObj>
      </w:sdtPr>
      <w:sdtContent>
        <w:sdt>
          <w:sdtPr>
            <w:rPr>
              <w:rFonts w:asciiTheme="minorHAnsi" w:hAnsiTheme="minorHAnsi" w:cstheme="minorHAnsi"/>
              <w:sz w:val="16"/>
              <w:szCs w:val="16"/>
            </w:rPr>
            <w:id w:val="916440288"/>
            <w:docPartObj>
              <w:docPartGallery w:val="Page Numbers (Top of Page)"/>
              <w:docPartUnique/>
            </w:docPartObj>
          </w:sdtPr>
          <w:sdtContent>
            <w:r>
              <w:rPr>
                <w:rFonts w:asciiTheme="minorHAnsi" w:hAnsiTheme="minorHAnsi" w:cstheme="minorHAnsi"/>
                <w:sz w:val="16"/>
                <w:szCs w:val="16"/>
              </w:rPr>
              <w:tab/>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1.45pt;height:128.2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pStyle w:val="Titre1"/>
      <w:lvlText w:val="Article %1"/>
      <w:lvlJc w:val="left"/>
      <w:pPr>
        <w:ind w:left="1495"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numPr>
        <w:numId w:val="5"/>
      </w:numPr>
      <w:spacing w:before="240" w:after="240"/>
      <w:ind w:left="360"/>
      <w:outlineLvl w:val="0"/>
    </w:pPr>
    <w:rPr>
      <w:rFonts w:eastAsiaTheme="minorHAnsi"/>
      <w:b/>
      <w:bCs/>
      <w:caps/>
      <w:kern w:val="32"/>
      <w:szCs w:val="32"/>
    </w:rPr>
  </w:style>
  <w:style w:type="paragraph" w:styleId="Titre2">
    <w:name w:val="heading 2"/>
    <w:basedOn w:val="Mtexte1"/>
    <w:next w:val="Titre3"/>
    <w:link w:val="Titre2Car"/>
    <w:uiPriority w:val="9"/>
    <w:qFormat/>
    <w:locked/>
    <w:pPr>
      <w:numPr>
        <w:ilvl w:val="1"/>
        <w:numId w:val="5"/>
      </w:numPr>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5"/>
      </w:numPr>
      <w:spacing w:before="240" w:after="6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20469552">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ogle.com/search?rlz=1C1GCEU_frFR913FR913&amp;q=centre+des+finances+publiques+gonesse+t%C3%A9l%C3%A9phone&amp;ludocid=2126392866947812950&amp;sa=X&amp;ved=2ahUKEwjZ2tfhhNnrAhWyD2MBHV52D0YQ6BMwEnoECBcQD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1" ma:contentTypeDescription="Crée un document." ma:contentTypeScope="" ma:versionID="e86ed143bc16a3c28739f68b80d28a26">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d7566666e4dc667e1dee4fae19fca202"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467C-D05B-42A7-BB41-4A90BD733F53}">
  <ds:schemaRefs>
    <ds:schemaRef ds:uri="http://schemas.microsoft.com/sharepoint/v3/contenttype/forms"/>
  </ds:schemaRefs>
</ds:datastoreItem>
</file>

<file path=customXml/itemProps2.xml><?xml version="1.0" encoding="utf-8"?>
<ds:datastoreItem xmlns:ds="http://schemas.openxmlformats.org/officeDocument/2006/customXml" ds:itemID="{71ABB6B9-92CC-4FB3-BD65-3DC2FE238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1999f-73c6-4a1f-ab89-51cb4fd3c239"/>
    <ds:schemaRef ds:uri="f15aae98-6294-4f96-bdcc-7b167cda7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6C7866-8C30-4A66-BBED-949B5F67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1441</Words>
  <Characters>7929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LUNTADILA Jeremie</cp:lastModifiedBy>
  <cp:revision>8</cp:revision>
  <cp:lastPrinted>2022-05-13T09:26:00Z</cp:lastPrinted>
  <dcterms:created xsi:type="dcterms:W3CDTF">2025-04-18T13:42:00Z</dcterms:created>
  <dcterms:modified xsi:type="dcterms:W3CDTF">2025-04-22T10:02:00Z</dcterms:modified>
</cp:coreProperties>
</file>