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77BA4" w14:textId="77777777" w:rsidR="008E6486" w:rsidRDefault="00E4364B">
      <w:pPr>
        <w:rPr>
          <w:sz w:val="24"/>
          <w:u w:val="single"/>
        </w:rPr>
      </w:pPr>
      <w:r w:rsidRPr="00E4364B">
        <w:rPr>
          <w:sz w:val="24"/>
          <w:u w:val="single"/>
        </w:rPr>
        <w:t xml:space="preserve">Cadre de mémoire technique : </w:t>
      </w:r>
    </w:p>
    <w:p w14:paraId="7DCF14D9" w14:textId="599D8486" w:rsidR="00E4364B" w:rsidRDefault="00E4364B" w:rsidP="00E4364B">
      <w:pPr>
        <w:jc w:val="both"/>
        <w:rPr>
          <w:sz w:val="24"/>
        </w:rPr>
      </w:pPr>
      <w:r>
        <w:rPr>
          <w:sz w:val="24"/>
        </w:rPr>
        <w:t>Le présent cadre de</w:t>
      </w:r>
      <w:r w:rsidR="002015CA">
        <w:rPr>
          <w:sz w:val="24"/>
        </w:rPr>
        <w:t xml:space="preserve"> réponse valant</w:t>
      </w:r>
      <w:r>
        <w:rPr>
          <w:sz w:val="24"/>
        </w:rPr>
        <w:t xml:space="preserve"> mémoire technique devra obligatoirement être intégralement complété par le candidat. Les informations données par le candidat permettront d’établir la notation des critères</w:t>
      </w:r>
      <w:r w:rsidR="00851245">
        <w:rPr>
          <w:sz w:val="24"/>
        </w:rPr>
        <w:t xml:space="preserve"> et sous-critères</w:t>
      </w:r>
      <w:r>
        <w:rPr>
          <w:sz w:val="24"/>
        </w:rPr>
        <w:t xml:space="preserve"> techniques définis dans le règlement </w:t>
      </w:r>
      <w:r w:rsidR="00784FA2">
        <w:rPr>
          <w:sz w:val="24"/>
        </w:rPr>
        <w:t xml:space="preserve">de consultation. Le </w:t>
      </w:r>
      <w:r>
        <w:rPr>
          <w:sz w:val="24"/>
        </w:rPr>
        <w:t xml:space="preserve">candidat </w:t>
      </w:r>
      <w:r w:rsidR="00784FA2">
        <w:rPr>
          <w:sz w:val="24"/>
        </w:rPr>
        <w:t xml:space="preserve">conserve </w:t>
      </w:r>
      <w:r>
        <w:rPr>
          <w:sz w:val="24"/>
        </w:rPr>
        <w:t xml:space="preserve">la possibilité de compléter ce cadre de mémoire par la fourniture d’un mémoire technique plus détaillé. Le cas échéant, le candidat indiquera </w:t>
      </w:r>
      <w:r w:rsidR="002015CA">
        <w:rPr>
          <w:sz w:val="24"/>
        </w:rPr>
        <w:t xml:space="preserve">dans le cadre de réponse </w:t>
      </w:r>
      <w:r>
        <w:rPr>
          <w:sz w:val="24"/>
        </w:rPr>
        <w:t>la numérotation de page associée dans son mémoire en complément du présent document.</w:t>
      </w:r>
    </w:p>
    <w:tbl>
      <w:tblPr>
        <w:tblStyle w:val="Grilledutableau"/>
        <w:tblW w:w="13571" w:type="dxa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84"/>
        <w:gridCol w:w="7294"/>
        <w:gridCol w:w="2693"/>
      </w:tblGrid>
      <w:tr w:rsidR="006C3454" w14:paraId="5DA5C2B7" w14:textId="77777777" w:rsidTr="00D409E2">
        <w:trPr>
          <w:trHeight w:val="923"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FB39C" w14:textId="73154F2B" w:rsidR="006C3454" w:rsidRPr="00433FB3" w:rsidRDefault="00851245" w:rsidP="00433FB3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Eléments du mémoire technique</w:t>
            </w:r>
          </w:p>
        </w:tc>
        <w:tc>
          <w:tcPr>
            <w:tcW w:w="7294" w:type="dxa"/>
            <w:shd w:val="clear" w:color="auto" w:fill="D9D9D9" w:themeFill="background1" w:themeFillShade="D9"/>
            <w:vAlign w:val="center"/>
          </w:tcPr>
          <w:p w14:paraId="3C849D15" w14:textId="77777777" w:rsidR="006C3454" w:rsidRPr="00433FB3" w:rsidRDefault="006C3454" w:rsidP="00433FB3">
            <w:pPr>
              <w:jc w:val="center"/>
              <w:rPr>
                <w:i/>
                <w:sz w:val="24"/>
              </w:rPr>
            </w:pPr>
            <w:r w:rsidRPr="00433FB3">
              <w:rPr>
                <w:i/>
                <w:sz w:val="24"/>
              </w:rPr>
              <w:t>Réponse du candidat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8B00AD" w14:textId="77777777" w:rsidR="006C3454" w:rsidRPr="00433FB3" w:rsidRDefault="006C3454" w:rsidP="00433FB3">
            <w:pPr>
              <w:jc w:val="center"/>
              <w:rPr>
                <w:i/>
                <w:sz w:val="24"/>
              </w:rPr>
            </w:pPr>
            <w:r w:rsidRPr="00433FB3">
              <w:rPr>
                <w:i/>
                <w:sz w:val="24"/>
              </w:rPr>
              <w:t>Page</w:t>
            </w:r>
            <w:r>
              <w:rPr>
                <w:i/>
                <w:sz w:val="24"/>
              </w:rPr>
              <w:t>s</w:t>
            </w:r>
            <w:r w:rsidRPr="00433FB3">
              <w:rPr>
                <w:i/>
                <w:sz w:val="24"/>
              </w:rPr>
              <w:t xml:space="preserve"> correspondante</w:t>
            </w:r>
            <w:r>
              <w:rPr>
                <w:i/>
                <w:sz w:val="24"/>
              </w:rPr>
              <w:t>s</w:t>
            </w:r>
            <w:r w:rsidRPr="00433FB3">
              <w:rPr>
                <w:i/>
                <w:sz w:val="24"/>
              </w:rPr>
              <w:t xml:space="preserve"> en cas de mémoire complémentaire</w:t>
            </w:r>
          </w:p>
        </w:tc>
      </w:tr>
      <w:tr w:rsidR="0031736B" w:rsidRPr="00433FB3" w14:paraId="4A7ADEC8" w14:textId="77777777" w:rsidTr="00D409E2">
        <w:trPr>
          <w:trHeight w:val="5102"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8C57" w14:textId="7DB53115" w:rsidR="00E4411D" w:rsidRDefault="00D62A8C" w:rsidP="00E4411D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1 </w:t>
            </w:r>
            <w:r w:rsidR="00E4411D">
              <w:rPr>
                <w:b/>
                <w:sz w:val="24"/>
                <w:u w:val="single"/>
              </w:rPr>
              <w:t>–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E4411D">
              <w:rPr>
                <w:b/>
                <w:sz w:val="24"/>
                <w:u w:val="single"/>
              </w:rPr>
              <w:t>Les modalités de réception et de traitement d’une demande d’achat</w:t>
            </w:r>
          </w:p>
          <w:p w14:paraId="026A28C2" w14:textId="2B28F169" w:rsidR="00D62A8C" w:rsidRDefault="00D62A8C" w:rsidP="00D409E2">
            <w:pPr>
              <w:jc w:val="center"/>
              <w:rPr>
                <w:b/>
                <w:sz w:val="24"/>
                <w:u w:val="single"/>
              </w:rPr>
            </w:pPr>
          </w:p>
          <w:p w14:paraId="64B82360" w14:textId="37D89495" w:rsidR="00D62A8C" w:rsidRPr="00DE67A3" w:rsidRDefault="00E4411D" w:rsidP="00DE67A3">
            <w:pPr>
              <w:pStyle w:val="Paragraphedeliste"/>
              <w:numPr>
                <w:ilvl w:val="0"/>
                <w:numId w:val="14"/>
              </w:numPr>
              <w:jc w:val="center"/>
              <w:rPr>
                <w:b/>
                <w:sz w:val="24"/>
                <w:u w:val="single"/>
              </w:rPr>
            </w:pPr>
            <w:r w:rsidRPr="00DE67A3">
              <w:rPr>
                <w:sz w:val="24"/>
              </w:rPr>
              <w:t xml:space="preserve">La procédure associée à une demande d’achat de l’établissement, de </w:t>
            </w:r>
            <w:r w:rsidR="00DE67A3">
              <w:rPr>
                <w:sz w:val="24"/>
              </w:rPr>
              <w:t xml:space="preserve">son </w:t>
            </w:r>
            <w:r w:rsidR="00DE67A3" w:rsidRPr="00DE67A3">
              <w:rPr>
                <w:sz w:val="24"/>
              </w:rPr>
              <w:t>initiation, en passant par la mise en service, jusqu’à la formation du matériel.</w:t>
            </w:r>
          </w:p>
          <w:p w14:paraId="0AC8E9A8" w14:textId="77777777" w:rsidR="00DE67A3" w:rsidRPr="00DE67A3" w:rsidRDefault="00DE67A3" w:rsidP="00DE67A3">
            <w:pPr>
              <w:pStyle w:val="Paragraphedeliste"/>
              <w:rPr>
                <w:b/>
                <w:sz w:val="24"/>
                <w:u w:val="single"/>
              </w:rPr>
            </w:pPr>
          </w:p>
          <w:p w14:paraId="6E3E5D06" w14:textId="7D363A35" w:rsidR="0031736B" w:rsidRPr="0031736B" w:rsidRDefault="0031736B" w:rsidP="00DE67A3">
            <w:pPr>
              <w:rPr>
                <w:b/>
                <w:sz w:val="24"/>
                <w:u w:val="single"/>
              </w:rPr>
            </w:pPr>
          </w:p>
        </w:tc>
        <w:tc>
          <w:tcPr>
            <w:tcW w:w="7294" w:type="dxa"/>
          </w:tcPr>
          <w:p w14:paraId="6983A9D6" w14:textId="77777777" w:rsidR="0031736B" w:rsidRPr="00433FB3" w:rsidRDefault="0031736B" w:rsidP="00433FB3">
            <w:pPr>
              <w:rPr>
                <w:sz w:val="24"/>
              </w:rPr>
            </w:pPr>
          </w:p>
        </w:tc>
        <w:tc>
          <w:tcPr>
            <w:tcW w:w="2693" w:type="dxa"/>
          </w:tcPr>
          <w:p w14:paraId="7B175DEA" w14:textId="77777777" w:rsidR="0031736B" w:rsidRPr="00433FB3" w:rsidRDefault="0031736B" w:rsidP="00433FB3">
            <w:pPr>
              <w:rPr>
                <w:sz w:val="24"/>
              </w:rPr>
            </w:pPr>
          </w:p>
        </w:tc>
      </w:tr>
      <w:tr w:rsidR="00DE67A3" w:rsidRPr="00433FB3" w14:paraId="571170F5" w14:textId="77777777" w:rsidTr="00D409E2">
        <w:trPr>
          <w:trHeight w:val="5102"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F765" w14:textId="77777777" w:rsidR="00DE67A3" w:rsidRDefault="00DE67A3" w:rsidP="00DE67A3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lastRenderedPageBreak/>
              <w:t>2 – Les moyens humains spécifiquement dédiés à la réalisation des fournitures et prestations</w:t>
            </w:r>
          </w:p>
          <w:p w14:paraId="2A16A626" w14:textId="77777777" w:rsidR="00DE67A3" w:rsidRDefault="00DE67A3" w:rsidP="00DE67A3">
            <w:pPr>
              <w:jc w:val="center"/>
              <w:rPr>
                <w:b/>
                <w:sz w:val="24"/>
                <w:u w:val="single"/>
              </w:rPr>
            </w:pPr>
          </w:p>
          <w:p w14:paraId="41F0CC15" w14:textId="77777777" w:rsidR="00DE67A3" w:rsidRDefault="00DE67A3" w:rsidP="00DE67A3">
            <w:pPr>
              <w:ind w:right="80"/>
              <w:jc w:val="center"/>
              <w:rPr>
                <w:rFonts w:eastAsia="Arial" w:cs="Arial"/>
              </w:rPr>
            </w:pPr>
            <w:r w:rsidRPr="00DE67A3">
              <w:rPr>
                <w:rFonts w:eastAsia="Arial" w:cs="Arial"/>
              </w:rPr>
              <w:t xml:space="preserve">- </w:t>
            </w:r>
            <w:r>
              <w:rPr>
                <w:rFonts w:eastAsia="Arial" w:cs="Arial"/>
              </w:rPr>
              <w:t>L</w:t>
            </w:r>
            <w:r w:rsidRPr="00DE67A3">
              <w:rPr>
                <w:rFonts w:eastAsia="Arial" w:cs="Arial"/>
              </w:rPr>
              <w:t>’interlocuteur dédié (nom et coordonnées)</w:t>
            </w:r>
          </w:p>
          <w:p w14:paraId="4DD21805" w14:textId="77777777" w:rsidR="00DE67A3" w:rsidRPr="0054640A" w:rsidRDefault="00DE67A3" w:rsidP="00DE67A3">
            <w:pPr>
              <w:ind w:right="80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- </w:t>
            </w:r>
            <w:r w:rsidRPr="0054640A">
              <w:rPr>
                <w:rFonts w:eastAsia="Arial" w:cs="Arial"/>
              </w:rPr>
              <w:t>Le nombre et la composition nominative de l’équipe dédiée (techniciens …) à la prestation accompagnée des CV présentant les compétences et expériences des techniciens.</w:t>
            </w:r>
          </w:p>
          <w:p w14:paraId="0FF06238" w14:textId="77777777" w:rsidR="00DE67A3" w:rsidRPr="00BB673B" w:rsidRDefault="00DE67A3" w:rsidP="00DE67A3">
            <w:pPr>
              <w:ind w:left="80" w:right="80"/>
              <w:jc w:val="center"/>
              <w:rPr>
                <w:rFonts w:eastAsia="Arial" w:cs="Arial"/>
              </w:rPr>
            </w:pPr>
          </w:p>
          <w:p w14:paraId="26DD7F2D" w14:textId="13F4AF20" w:rsidR="00DE67A3" w:rsidRDefault="00DE67A3" w:rsidP="00DE67A3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rFonts w:eastAsia="Arial" w:cs="Arial"/>
              </w:rPr>
              <w:t>- Le nom et les coordonnées de l’interlocuteur dédié</w:t>
            </w:r>
          </w:p>
        </w:tc>
        <w:tc>
          <w:tcPr>
            <w:tcW w:w="7294" w:type="dxa"/>
          </w:tcPr>
          <w:p w14:paraId="1A64AB28" w14:textId="77777777" w:rsidR="00DE67A3" w:rsidRPr="00433FB3" w:rsidRDefault="00DE67A3" w:rsidP="00433FB3">
            <w:pPr>
              <w:rPr>
                <w:sz w:val="24"/>
              </w:rPr>
            </w:pPr>
          </w:p>
        </w:tc>
        <w:tc>
          <w:tcPr>
            <w:tcW w:w="2693" w:type="dxa"/>
          </w:tcPr>
          <w:p w14:paraId="2306CDCA" w14:textId="77777777" w:rsidR="00DE67A3" w:rsidRPr="00433FB3" w:rsidRDefault="00DE67A3" w:rsidP="00433FB3">
            <w:pPr>
              <w:rPr>
                <w:sz w:val="24"/>
              </w:rPr>
            </w:pPr>
          </w:p>
        </w:tc>
      </w:tr>
      <w:tr w:rsidR="008B0812" w:rsidRPr="00433FB3" w14:paraId="2C091406" w14:textId="77777777" w:rsidTr="00D409E2">
        <w:trPr>
          <w:trHeight w:val="8438"/>
          <w:jc w:val="center"/>
        </w:trPr>
        <w:tc>
          <w:tcPr>
            <w:tcW w:w="3584" w:type="dxa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308FA607" w14:textId="77777777" w:rsidR="00B91853" w:rsidRDefault="00DE67A3" w:rsidP="00DE67A3">
            <w:pPr>
              <w:ind w:right="8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lastRenderedPageBreak/>
              <w:t xml:space="preserve">3 - </w:t>
            </w:r>
            <w:r w:rsidRPr="00DE67A3">
              <w:rPr>
                <w:b/>
                <w:sz w:val="24"/>
                <w:u w:val="single"/>
              </w:rPr>
              <w:t>Les fiches techniques des auto-laveuses décrites au C.C.T.P.</w:t>
            </w:r>
          </w:p>
          <w:p w14:paraId="07500907" w14:textId="77777777" w:rsidR="00DE67A3" w:rsidRDefault="00DE67A3" w:rsidP="00DE67A3">
            <w:pPr>
              <w:ind w:right="80"/>
              <w:jc w:val="center"/>
              <w:rPr>
                <w:b/>
                <w:sz w:val="24"/>
                <w:u w:val="single"/>
              </w:rPr>
            </w:pPr>
          </w:p>
          <w:p w14:paraId="17511E94" w14:textId="59FE448E" w:rsidR="00DE67A3" w:rsidRPr="00DE67A3" w:rsidRDefault="00DE67A3" w:rsidP="00DE67A3">
            <w:pPr>
              <w:ind w:right="80"/>
              <w:jc w:val="center"/>
              <w:rPr>
                <w:b/>
                <w:i/>
                <w:sz w:val="24"/>
                <w:u w:val="single"/>
              </w:rPr>
            </w:pPr>
            <w:r w:rsidRPr="00DE67A3">
              <w:rPr>
                <w:rFonts w:eastAsia="Arial" w:cs="Arial"/>
                <w:i/>
              </w:rPr>
              <w:t>A intégrer dans le présent document ou à joindre en annexes.</w:t>
            </w:r>
          </w:p>
        </w:tc>
        <w:tc>
          <w:tcPr>
            <w:tcW w:w="7294" w:type="dxa"/>
          </w:tcPr>
          <w:p w14:paraId="1E0EC37F" w14:textId="77777777" w:rsidR="008B0812" w:rsidRPr="00433FB3" w:rsidRDefault="008B0812" w:rsidP="008B0812">
            <w:pPr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14:paraId="376EADAA" w14:textId="77777777" w:rsidR="008B0812" w:rsidRPr="00433FB3" w:rsidRDefault="008B0812" w:rsidP="008B0812">
            <w:pPr>
              <w:rPr>
                <w:sz w:val="24"/>
              </w:rPr>
            </w:pPr>
          </w:p>
        </w:tc>
      </w:tr>
    </w:tbl>
    <w:p w14:paraId="1C447D3C" w14:textId="77777777" w:rsidR="00E4364B" w:rsidRPr="00433FB3" w:rsidRDefault="00E4364B" w:rsidP="0031736B"/>
    <w:sectPr w:rsidR="00E4364B" w:rsidRPr="00433FB3" w:rsidSect="00F25944">
      <w:headerReference w:type="default" r:id="rId7"/>
      <w:footerReference w:type="default" r:id="rId8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C0CEB" w14:textId="77777777" w:rsidR="004D1486" w:rsidRDefault="004D1486" w:rsidP="00E4364B">
      <w:pPr>
        <w:spacing w:after="0" w:line="240" w:lineRule="auto"/>
      </w:pPr>
      <w:r>
        <w:separator/>
      </w:r>
    </w:p>
  </w:endnote>
  <w:endnote w:type="continuationSeparator" w:id="0">
    <w:p w14:paraId="3A3FC387" w14:textId="77777777" w:rsidR="004D1486" w:rsidRDefault="004D1486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1EC10" w14:textId="1FC0AF79" w:rsidR="00784FA2" w:rsidRDefault="002015CA" w:rsidP="002015CA">
    <w:pPr>
      <w:pStyle w:val="Pieddepage"/>
      <w:jc w:val="center"/>
    </w:pPr>
    <w:r w:rsidRPr="002968B5">
      <w:rPr>
        <w:noProof/>
        <w:lang w:eastAsia="fr-FR"/>
      </w:rPr>
      <w:drawing>
        <wp:inline distT="0" distB="0" distL="0" distR="0" wp14:anchorId="11227CF0" wp14:editId="731FC472">
          <wp:extent cx="2438400" cy="542925"/>
          <wp:effectExtent l="0" t="0" r="0" b="952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EA94E" w14:textId="77777777" w:rsidR="004D1486" w:rsidRDefault="004D1486" w:rsidP="00E4364B">
      <w:pPr>
        <w:spacing w:after="0" w:line="240" w:lineRule="auto"/>
      </w:pPr>
      <w:r>
        <w:separator/>
      </w:r>
    </w:p>
  </w:footnote>
  <w:footnote w:type="continuationSeparator" w:id="0">
    <w:p w14:paraId="55794C16" w14:textId="77777777" w:rsidR="004D1486" w:rsidRDefault="004D1486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B96CB" w14:textId="2E54BD65" w:rsidR="004D4DEE" w:rsidRDefault="00D62A8C" w:rsidP="008B0812">
    <w:pPr>
      <w:pStyle w:val="En-tte"/>
      <w:jc w:val="center"/>
      <w:rPr>
        <w:rFonts w:eastAsia="Trebuchet MS" w:cs="Calibri"/>
        <w:b/>
        <w:color w:val="000000"/>
        <w:u w:val="single"/>
      </w:rPr>
    </w:pPr>
    <w:r>
      <w:rPr>
        <w:rFonts w:eastAsia="Trebuchet MS" w:cs="Calibri"/>
        <w:b/>
        <w:color w:val="000000"/>
        <w:u w:val="single"/>
      </w:rPr>
      <w:t>Acquisition d’auto</w:t>
    </w:r>
    <w:r w:rsidR="002015CA">
      <w:rPr>
        <w:rFonts w:eastAsia="Trebuchet MS" w:cs="Calibri"/>
        <w:b/>
        <w:color w:val="000000"/>
        <w:u w:val="single"/>
      </w:rPr>
      <w:t>-</w:t>
    </w:r>
    <w:r>
      <w:rPr>
        <w:rFonts w:eastAsia="Trebuchet MS" w:cs="Calibri"/>
        <w:b/>
        <w:color w:val="000000"/>
        <w:u w:val="single"/>
      </w:rPr>
      <w:t>laveuse</w:t>
    </w:r>
    <w:r w:rsidR="002015CA">
      <w:rPr>
        <w:rFonts w:eastAsia="Trebuchet MS" w:cs="Calibri"/>
        <w:b/>
        <w:color w:val="000000"/>
        <w:u w:val="single"/>
      </w:rPr>
      <w:t>s</w:t>
    </w:r>
    <w:r>
      <w:rPr>
        <w:rFonts w:eastAsia="Trebuchet MS" w:cs="Calibri"/>
        <w:b/>
        <w:color w:val="000000"/>
        <w:u w:val="single"/>
      </w:rPr>
      <w:t xml:space="preserve"> pour le CHAM</w:t>
    </w:r>
  </w:p>
  <w:p w14:paraId="359B6732" w14:textId="2059C87F" w:rsidR="00784FA2" w:rsidRPr="00E4364B" w:rsidRDefault="00784FA2" w:rsidP="008B0812">
    <w:pPr>
      <w:pStyle w:val="En-tte"/>
      <w:jc w:val="center"/>
      <w:rPr>
        <w:b/>
      </w:rPr>
    </w:pPr>
    <w:r>
      <w:rPr>
        <w:b/>
      </w:rPr>
      <w:t xml:space="preserve">Dossier N° </w:t>
    </w:r>
    <w:r w:rsidR="00D62A8C">
      <w:rPr>
        <w:b/>
      </w:rPr>
      <w:t>24TE0194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27A1"/>
    <w:multiLevelType w:val="hybridMultilevel"/>
    <w:tmpl w:val="2EBA0C96"/>
    <w:lvl w:ilvl="0" w:tplc="EEB88CC0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60" w:hanging="360"/>
      </w:pPr>
    </w:lvl>
    <w:lvl w:ilvl="2" w:tplc="040C001B" w:tentative="1">
      <w:start w:val="1"/>
      <w:numFmt w:val="lowerRoman"/>
      <w:lvlText w:val="%3."/>
      <w:lvlJc w:val="right"/>
      <w:pPr>
        <w:ind w:left="1880" w:hanging="180"/>
      </w:pPr>
    </w:lvl>
    <w:lvl w:ilvl="3" w:tplc="040C000F" w:tentative="1">
      <w:start w:val="1"/>
      <w:numFmt w:val="decimal"/>
      <w:lvlText w:val="%4."/>
      <w:lvlJc w:val="left"/>
      <w:pPr>
        <w:ind w:left="2600" w:hanging="360"/>
      </w:pPr>
    </w:lvl>
    <w:lvl w:ilvl="4" w:tplc="040C0019" w:tentative="1">
      <w:start w:val="1"/>
      <w:numFmt w:val="lowerLetter"/>
      <w:lvlText w:val="%5."/>
      <w:lvlJc w:val="left"/>
      <w:pPr>
        <w:ind w:left="3320" w:hanging="360"/>
      </w:pPr>
    </w:lvl>
    <w:lvl w:ilvl="5" w:tplc="040C001B" w:tentative="1">
      <w:start w:val="1"/>
      <w:numFmt w:val="lowerRoman"/>
      <w:lvlText w:val="%6."/>
      <w:lvlJc w:val="right"/>
      <w:pPr>
        <w:ind w:left="4040" w:hanging="180"/>
      </w:pPr>
    </w:lvl>
    <w:lvl w:ilvl="6" w:tplc="040C000F" w:tentative="1">
      <w:start w:val="1"/>
      <w:numFmt w:val="decimal"/>
      <w:lvlText w:val="%7."/>
      <w:lvlJc w:val="left"/>
      <w:pPr>
        <w:ind w:left="4760" w:hanging="360"/>
      </w:pPr>
    </w:lvl>
    <w:lvl w:ilvl="7" w:tplc="040C0019" w:tentative="1">
      <w:start w:val="1"/>
      <w:numFmt w:val="lowerLetter"/>
      <w:lvlText w:val="%8."/>
      <w:lvlJc w:val="left"/>
      <w:pPr>
        <w:ind w:left="5480" w:hanging="360"/>
      </w:pPr>
    </w:lvl>
    <w:lvl w:ilvl="8" w:tplc="040C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0CA553BF"/>
    <w:multiLevelType w:val="hybridMultilevel"/>
    <w:tmpl w:val="4D681634"/>
    <w:lvl w:ilvl="0" w:tplc="8C2CE9DC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9E4459"/>
    <w:multiLevelType w:val="hybridMultilevel"/>
    <w:tmpl w:val="FB52180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76A3D"/>
    <w:multiLevelType w:val="hybridMultilevel"/>
    <w:tmpl w:val="11CC25CA"/>
    <w:lvl w:ilvl="0" w:tplc="C7C2EF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C076B2E"/>
    <w:multiLevelType w:val="hybridMultilevel"/>
    <w:tmpl w:val="0F72CD2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749E7"/>
    <w:multiLevelType w:val="hybridMultilevel"/>
    <w:tmpl w:val="B17A34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11"/>
  </w:num>
  <w:num w:numId="10">
    <w:abstractNumId w:val="5"/>
  </w:num>
  <w:num w:numId="11">
    <w:abstractNumId w:val="1"/>
  </w:num>
  <w:num w:numId="12">
    <w:abstractNumId w:val="2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51EE4"/>
    <w:rsid w:val="001C138E"/>
    <w:rsid w:val="002015CA"/>
    <w:rsid w:val="00251017"/>
    <w:rsid w:val="002945CA"/>
    <w:rsid w:val="002F61A5"/>
    <w:rsid w:val="0031736B"/>
    <w:rsid w:val="00430402"/>
    <w:rsid w:val="00433FB3"/>
    <w:rsid w:val="004D1486"/>
    <w:rsid w:val="004D4DEE"/>
    <w:rsid w:val="004F271C"/>
    <w:rsid w:val="0054640A"/>
    <w:rsid w:val="005C7F83"/>
    <w:rsid w:val="0067634D"/>
    <w:rsid w:val="006C3454"/>
    <w:rsid w:val="00784FA2"/>
    <w:rsid w:val="007D2FBE"/>
    <w:rsid w:val="007F601C"/>
    <w:rsid w:val="00851245"/>
    <w:rsid w:val="008639BE"/>
    <w:rsid w:val="008B0812"/>
    <w:rsid w:val="008E6486"/>
    <w:rsid w:val="00926A98"/>
    <w:rsid w:val="00975DDF"/>
    <w:rsid w:val="00987A86"/>
    <w:rsid w:val="009D0F66"/>
    <w:rsid w:val="00A261F0"/>
    <w:rsid w:val="00B34224"/>
    <w:rsid w:val="00B91853"/>
    <w:rsid w:val="00B922CC"/>
    <w:rsid w:val="00C13446"/>
    <w:rsid w:val="00C41665"/>
    <w:rsid w:val="00C940D1"/>
    <w:rsid w:val="00CB7246"/>
    <w:rsid w:val="00D354A0"/>
    <w:rsid w:val="00D409E2"/>
    <w:rsid w:val="00D574FF"/>
    <w:rsid w:val="00D62A8C"/>
    <w:rsid w:val="00D863D3"/>
    <w:rsid w:val="00DA6E52"/>
    <w:rsid w:val="00DE67A3"/>
    <w:rsid w:val="00E31F07"/>
    <w:rsid w:val="00E4364B"/>
    <w:rsid w:val="00E4411D"/>
    <w:rsid w:val="00ED52B1"/>
    <w:rsid w:val="00F2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Delacomptee Pauline</cp:lastModifiedBy>
  <cp:revision>12</cp:revision>
  <dcterms:created xsi:type="dcterms:W3CDTF">2024-06-12T14:56:00Z</dcterms:created>
  <dcterms:modified xsi:type="dcterms:W3CDTF">2025-04-11T14:24:00Z</dcterms:modified>
</cp:coreProperties>
</file>