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1206" w:rsidRDefault="00321206" w:rsidP="00321206">
      <w:pPr>
        <w:pStyle w:val="Standard"/>
        <w:pBdr>
          <w:bottom w:val="double" w:sz="2" w:space="1" w:color="808080"/>
        </w:pBdr>
        <w:rPr>
          <w:color w:val="0043A5"/>
          <w:sz w:val="36"/>
        </w:rPr>
      </w:pPr>
    </w:p>
    <w:p w:rsidR="00321206" w:rsidRDefault="00321206" w:rsidP="00321206">
      <w:pPr>
        <w:jc w:val="center"/>
        <w:rPr>
          <w:rFonts w:cs="Calibri"/>
          <w:b/>
          <w:bCs/>
          <w:iCs/>
          <w:color w:val="0043A5"/>
          <w:sz w:val="36"/>
          <w:szCs w:val="28"/>
        </w:rPr>
      </w:pPr>
      <w:r w:rsidRPr="009152D9">
        <w:rPr>
          <w:rFonts w:ascii="Verdana" w:hAnsi="Verdana"/>
          <w:b/>
          <w:color w:val="0043A5"/>
          <w:sz w:val="32"/>
          <w:szCs w:val="48"/>
        </w:rPr>
        <w:t>Service d’abonnements à des périodiques sur support papier et électronique et à des livres toutes disciplines, niveau enseignement et recherche édités en France et à l’étranger - Université Gustave Eiffel</w:t>
      </w:r>
    </w:p>
    <w:p w:rsidR="00321206" w:rsidRDefault="00321206" w:rsidP="00321206">
      <w:pPr>
        <w:pStyle w:val="Standard"/>
        <w:pBdr>
          <w:top w:val="double" w:sz="2" w:space="1" w:color="808080"/>
        </w:pBdr>
        <w:jc w:val="center"/>
        <w:rPr>
          <w:rFonts w:cs="Calibri"/>
          <w:b/>
          <w:bCs/>
          <w:iCs/>
          <w:color w:val="0043A5"/>
          <w:sz w:val="32"/>
          <w:szCs w:val="28"/>
        </w:rPr>
      </w:pPr>
    </w:p>
    <w:p w:rsidR="00321206" w:rsidRDefault="00321206" w:rsidP="00321206">
      <w:pPr>
        <w:ind w:right="1"/>
        <w:rPr>
          <w:rFonts w:ascii="Verdana" w:hAnsi="Verdana"/>
          <w:b/>
          <w:color w:val="0043A5"/>
          <w:szCs w:val="48"/>
        </w:rPr>
      </w:pPr>
      <w:r w:rsidRPr="00080300">
        <w:rPr>
          <w:rFonts w:ascii="Verdana" w:hAnsi="Verdana"/>
          <w:b/>
          <w:color w:val="0043A5"/>
          <w:szCs w:val="48"/>
        </w:rPr>
        <w:t>Lot 2 - Marché 2025SERV007EIF : Livres toutes disciplines, niveau enseignement et recherche</w:t>
      </w:r>
    </w:p>
    <w:p w:rsidR="00321206" w:rsidRPr="00080300" w:rsidRDefault="00321206" w:rsidP="00321206">
      <w:pPr>
        <w:ind w:right="1"/>
        <w:rPr>
          <w:rFonts w:ascii="Verdana" w:hAnsi="Verdana"/>
          <w:b/>
          <w:color w:val="0043A5"/>
          <w:szCs w:val="48"/>
        </w:rPr>
      </w:pPr>
    </w:p>
    <w:p w:rsidR="009722FC" w:rsidRDefault="002E365D">
      <w:pPr>
        <w:pBdr>
          <w:top w:val="single" w:sz="18" w:space="2" w:color="000000"/>
          <w:left w:val="single" w:sz="18" w:space="4" w:color="000000"/>
          <w:bottom w:val="single" w:sz="18" w:space="1" w:color="000000"/>
          <w:right w:val="single" w:sz="18" w:space="4" w:color="000000"/>
        </w:pBdr>
        <w:jc w:val="center"/>
        <w:rPr>
          <w:rFonts w:ascii="Arial" w:hAnsi="Arial" w:cs="Arial"/>
          <w:b/>
          <w:sz w:val="36"/>
          <w:szCs w:val="36"/>
        </w:rPr>
      </w:pPr>
      <w:r>
        <w:rPr>
          <w:rFonts w:ascii="Arial" w:hAnsi="Arial" w:cs="Arial"/>
          <w:b/>
          <w:sz w:val="36"/>
          <w:szCs w:val="36"/>
        </w:rPr>
        <w:t xml:space="preserve">Fourniture de livres </w:t>
      </w:r>
    </w:p>
    <w:p w:rsidR="009722FC" w:rsidRDefault="009722FC">
      <w:pPr>
        <w:rPr>
          <w:rFonts w:ascii="Arial" w:hAnsi="Arial" w:cs="Arial"/>
        </w:rPr>
      </w:pPr>
    </w:p>
    <w:p w:rsidR="009722FC" w:rsidRDefault="002E365D">
      <w:pPr>
        <w:pStyle w:val="Titre"/>
        <w:pBdr>
          <w:left w:val="single" w:sz="12" w:space="4" w:color="000000"/>
          <w:right w:val="single" w:sz="12" w:space="31" w:color="000000"/>
        </w:pBdr>
        <w:rPr>
          <w:rFonts w:cs="Arial"/>
          <w:color w:val="8DB3E2"/>
          <w:sz w:val="24"/>
          <w:szCs w:val="24"/>
        </w:rPr>
      </w:pPr>
      <w:r>
        <w:rPr>
          <w:rFonts w:cs="Arial"/>
          <w:color w:val="8DB3E2"/>
          <w:sz w:val="24"/>
          <w:szCs w:val="24"/>
        </w:rPr>
        <w:t>Cadre de réponse technique et financier</w:t>
      </w:r>
    </w:p>
    <w:p w:rsidR="009722FC" w:rsidRDefault="002E365D">
      <w:pPr>
        <w:jc w:val="center"/>
        <w:rPr>
          <w:rFonts w:ascii="Arial" w:hAnsi="Arial" w:cs="Arial"/>
          <w:b/>
          <w:bCs/>
          <w:sz w:val="40"/>
          <w:szCs w:val="40"/>
        </w:rPr>
      </w:pPr>
      <w:r>
        <w:rPr>
          <w:rFonts w:cs="Arial"/>
          <w:sz w:val="28"/>
          <w:szCs w:val="28"/>
        </w:rPr>
        <w:t xml:space="preserve"> : LIVRES </w:t>
      </w:r>
      <w:proofErr w:type="gramStart"/>
      <w:r>
        <w:rPr>
          <w:rFonts w:cs="Arial"/>
          <w:sz w:val="28"/>
          <w:szCs w:val="28"/>
        </w:rPr>
        <w:t>-</w:t>
      </w:r>
      <w:r>
        <w:rPr>
          <w:rFonts w:ascii="Arial" w:hAnsi="Arial" w:cs="Arial"/>
          <w:b/>
          <w:bCs/>
          <w:sz w:val="40"/>
          <w:szCs w:val="40"/>
        </w:rPr>
        <w:t>:</w:t>
      </w:r>
      <w:proofErr w:type="gramEnd"/>
    </w:p>
    <w:p w:rsidR="009722FC" w:rsidRDefault="002E365D">
      <w:pPr>
        <w:jc w:val="center"/>
        <w:rPr>
          <w:rFonts w:ascii="Arial" w:hAnsi="Arial" w:cs="Arial"/>
          <w:b/>
          <w:sz w:val="20"/>
          <w:szCs w:val="20"/>
          <w:u w:val="single"/>
        </w:rPr>
      </w:pPr>
      <w:r>
        <w:rPr>
          <w:rFonts w:ascii="Arial" w:hAnsi="Arial" w:cs="Arial"/>
          <w:b/>
          <w:sz w:val="20"/>
          <w:szCs w:val="20"/>
          <w:u w:val="single"/>
        </w:rPr>
        <w:t>Livres édités en France et à l’étranger, toutes disciplines, niveau enseignement et recherche</w:t>
      </w:r>
    </w:p>
    <w:p w:rsidR="009722FC" w:rsidRDefault="009722FC">
      <w:pPr>
        <w:pStyle w:val="En-tte"/>
        <w:tabs>
          <w:tab w:val="clear" w:pos="4536"/>
          <w:tab w:val="clear" w:pos="9072"/>
        </w:tabs>
        <w:rPr>
          <w:rFonts w:ascii="Arial" w:hAnsi="Arial" w:cs="Arial"/>
        </w:rPr>
      </w:pPr>
    </w:p>
    <w:p w:rsidR="009722FC" w:rsidRDefault="002E365D">
      <w:pPr>
        <w:pBdr>
          <w:top w:val="single" w:sz="4" w:space="1" w:color="000000"/>
          <w:left w:val="single" w:sz="4" w:space="4" w:color="000000"/>
          <w:bottom w:val="single" w:sz="4" w:space="1" w:color="000000"/>
          <w:right w:val="single" w:sz="4" w:space="4" w:color="000000"/>
        </w:pBdr>
        <w:jc w:val="center"/>
        <w:rPr>
          <w:sz w:val="36"/>
          <w:szCs w:val="36"/>
        </w:rPr>
      </w:pPr>
      <w:r>
        <w:rPr>
          <w:rFonts w:ascii="Arial" w:hAnsi="Arial" w:cs="Arial"/>
          <w:sz w:val="36"/>
          <w:szCs w:val="36"/>
        </w:rPr>
        <w:t>Préambule</w:t>
      </w:r>
    </w:p>
    <w:p w:rsidR="009722FC" w:rsidRDefault="009722FC">
      <w:pPr>
        <w:jc w:val="both"/>
      </w:pPr>
    </w:p>
    <w:p w:rsidR="009722FC" w:rsidRDefault="002E365D">
      <w:pPr>
        <w:rPr>
          <w:b/>
          <w:i/>
          <w:sz w:val="28"/>
          <w:szCs w:val="28"/>
        </w:rPr>
      </w:pPr>
      <w:r>
        <w:rPr>
          <w:b/>
          <w:i/>
          <w:sz w:val="28"/>
          <w:szCs w:val="28"/>
        </w:rPr>
        <w:t>Important : Obligation du candidat</w:t>
      </w:r>
    </w:p>
    <w:p w:rsidR="009722FC" w:rsidRDefault="009722FC">
      <w:pPr>
        <w:rPr>
          <w:i/>
        </w:rPr>
      </w:pPr>
    </w:p>
    <w:p w:rsidR="009722FC" w:rsidRDefault="009722FC">
      <w:pPr>
        <w:rPr>
          <w:i/>
        </w:rPr>
      </w:pPr>
    </w:p>
    <w:p w:rsidR="009722FC" w:rsidRDefault="002E365D">
      <w:pPr>
        <w:rPr>
          <w:bCs/>
          <w:i/>
          <w:highlight w:val="yellow"/>
        </w:rPr>
      </w:pPr>
      <w:r>
        <w:rPr>
          <w:bCs/>
          <w:i/>
        </w:rPr>
        <w:t>Le candidat devra impérativement répondre à chacun des critères du tableau cadre-type.</w:t>
      </w:r>
    </w:p>
    <w:p w:rsidR="009722FC" w:rsidRDefault="002E365D">
      <w:pPr>
        <w:rPr>
          <w:bCs/>
          <w:i/>
        </w:rPr>
      </w:pPr>
      <w:r>
        <w:rPr>
          <w:bCs/>
          <w:i/>
        </w:rPr>
        <w:t>Dans le cas contraire, son offre sera considérée comme incomplète donc non conforme au règlement de la consultation et déclarée irrégulière. Dans de telles circonstances, son offre ne sera ni analysée ni notée.</w:t>
      </w:r>
    </w:p>
    <w:p w:rsidR="009722FC" w:rsidRDefault="009722FC">
      <w:pPr>
        <w:jc w:val="center"/>
        <w:rPr>
          <w:bCs/>
          <w:i/>
        </w:rPr>
      </w:pPr>
    </w:p>
    <w:p w:rsidR="009722FC" w:rsidRDefault="002E365D">
      <w:pPr>
        <w:pStyle w:val="Corpsdetexte"/>
        <w:rPr>
          <w:sz w:val="24"/>
          <w:szCs w:val="24"/>
        </w:rPr>
      </w:pPr>
      <w:r>
        <w:rPr>
          <w:sz w:val="24"/>
          <w:szCs w:val="24"/>
        </w:rPr>
        <w:t>Il est précisé que le candidat a la possibilité de reproduire ce tableau pour plus de confort de rédaction, ainsi que d’y annexer tout texte ou document explicatif qu’il pourrait juger nécessaire.</w:t>
      </w:r>
    </w:p>
    <w:p w:rsidR="009722FC" w:rsidRDefault="009722FC">
      <w:pPr>
        <w:jc w:val="both"/>
        <w:rPr>
          <w:highlight w:val="yellow"/>
        </w:rPr>
      </w:pPr>
    </w:p>
    <w:p w:rsidR="009722FC" w:rsidRDefault="002E365D">
      <w:pPr>
        <w:jc w:val="both"/>
      </w:pPr>
      <w:r>
        <w:t>Concerne la fourniture des documents suivants :</w:t>
      </w:r>
    </w:p>
    <w:p w:rsidR="009722FC" w:rsidRDefault="002E365D">
      <w:pPr>
        <w:jc w:val="both"/>
      </w:pPr>
      <w:r>
        <w:t xml:space="preserve">Livres édités en France et à l’étranger, toutes disciplines, niveau enseignement et recherche </w:t>
      </w:r>
    </w:p>
    <w:p w:rsidR="009722FC" w:rsidRDefault="009722FC">
      <w:pPr>
        <w:jc w:val="both"/>
      </w:pPr>
    </w:p>
    <w:p w:rsidR="009722FC" w:rsidRDefault="002E365D">
      <w:pPr>
        <w:jc w:val="both"/>
      </w:pPr>
      <w:r>
        <w:t>Le titulaire s’engage :</w:t>
      </w:r>
    </w:p>
    <w:p w:rsidR="009722FC" w:rsidRDefault="002E365D">
      <w:pPr>
        <w:jc w:val="both"/>
      </w:pPr>
      <w:r>
        <w:t>- à fournir l’ensemble de la production éditoriale francophone et étrangère, y compris les éditeurs à diffusion restreinte et/ou en commande directe,</w:t>
      </w:r>
    </w:p>
    <w:p w:rsidR="009722FC" w:rsidRDefault="002E365D">
      <w:pPr>
        <w:jc w:val="both"/>
      </w:pPr>
      <w:r>
        <w:t>- à fournir des nouveautés ainsi que des ouvrages de fonds à son catalogue,</w:t>
      </w:r>
    </w:p>
    <w:p w:rsidR="009722FC" w:rsidRDefault="002E365D">
      <w:pPr>
        <w:jc w:val="both"/>
      </w:pPr>
      <w:r>
        <w:t>- à rechercher des livres épuisés,</w:t>
      </w:r>
    </w:p>
    <w:p w:rsidR="009722FC" w:rsidRDefault="002E365D">
      <w:pPr>
        <w:jc w:val="both"/>
      </w:pPr>
      <w:r>
        <w:t>- à employer des professionnels du livre aptes à orienter et conseiller les bibliothécaires,</w:t>
      </w:r>
    </w:p>
    <w:p w:rsidR="009722FC" w:rsidRDefault="002E365D">
      <w:pPr>
        <w:jc w:val="both"/>
      </w:pPr>
      <w:r>
        <w:t>- à respecter toutes les conditions d’exécution telles que mentionnées dans les pièces contractuelles du marché.</w:t>
      </w:r>
    </w:p>
    <w:p w:rsidR="00AD1E1F" w:rsidRDefault="00AD1E1F">
      <w:pPr>
        <w:rPr>
          <w:i/>
        </w:rPr>
      </w:pPr>
      <w:r>
        <w:rPr>
          <w:i/>
        </w:rPr>
        <w:br w:type="page"/>
      </w:r>
    </w:p>
    <w:p w:rsidR="009722FC" w:rsidRDefault="002E365D">
      <w:pPr>
        <w:jc w:val="both"/>
        <w:rPr>
          <w:b/>
          <w:bCs/>
          <w:color w:val="000000"/>
          <w:sz w:val="44"/>
          <w:szCs w:val="44"/>
        </w:rPr>
      </w:pPr>
      <w:r>
        <w:rPr>
          <w:b/>
          <w:bCs/>
          <w:color w:val="000000"/>
          <w:sz w:val="28"/>
          <w:szCs w:val="28"/>
        </w:rPr>
        <w:lastRenderedPageBreak/>
        <w:t>Critères d'attribution :</w:t>
      </w:r>
      <w:r>
        <w:rPr>
          <w:b/>
          <w:bCs/>
          <w:color w:val="000000"/>
          <w:sz w:val="44"/>
          <w:szCs w:val="44"/>
        </w:rPr>
        <w:tab/>
        <w:t xml:space="preserve">           Nom du candidat :</w:t>
      </w:r>
    </w:p>
    <w:p w:rsidR="009722FC" w:rsidRDefault="009722FC">
      <w:pPr>
        <w:jc w:val="both"/>
        <w:rPr>
          <w:i/>
        </w:rPr>
      </w:pPr>
    </w:p>
    <w:tbl>
      <w:tblPr>
        <w:tblW w:w="5627" w:type="pct"/>
        <w:tblInd w:w="-601" w:type="dxa"/>
        <w:tblLayout w:type="fixed"/>
        <w:tblLook w:val="01E0" w:firstRow="1" w:lastRow="1" w:firstColumn="1" w:lastColumn="1" w:noHBand="0" w:noVBand="0"/>
      </w:tblPr>
      <w:tblGrid>
        <w:gridCol w:w="4537"/>
        <w:gridCol w:w="1518"/>
        <w:gridCol w:w="5035"/>
      </w:tblGrid>
      <w:tr w:rsidR="009722FC" w:rsidTr="00AD1E1F">
        <w:tc>
          <w:tcPr>
            <w:tcW w:w="4537" w:type="dxa"/>
            <w:tcBorders>
              <w:top w:val="single" w:sz="4" w:space="0" w:color="000000"/>
              <w:left w:val="single" w:sz="4" w:space="0" w:color="000000"/>
              <w:bottom w:val="single" w:sz="4" w:space="0" w:color="000000"/>
              <w:right w:val="single" w:sz="4" w:space="0" w:color="000000"/>
            </w:tcBorders>
          </w:tcPr>
          <w:p w:rsidR="009722FC" w:rsidRDefault="002E365D">
            <w:pPr>
              <w:jc w:val="center"/>
              <w:rPr>
                <w:b/>
              </w:rPr>
            </w:pPr>
            <w:r>
              <w:rPr>
                <w:b/>
              </w:rPr>
              <w:t xml:space="preserve">Prestation </w:t>
            </w:r>
          </w:p>
        </w:tc>
        <w:tc>
          <w:tcPr>
            <w:tcW w:w="1518" w:type="dxa"/>
            <w:tcBorders>
              <w:top w:val="single" w:sz="4" w:space="0" w:color="000000"/>
              <w:left w:val="single" w:sz="4" w:space="0" w:color="000000"/>
              <w:bottom w:val="single" w:sz="4" w:space="0" w:color="000000"/>
              <w:right w:val="single" w:sz="4" w:space="0" w:color="000000"/>
            </w:tcBorders>
          </w:tcPr>
          <w:p w:rsidR="009722FC" w:rsidRDefault="002E365D">
            <w:pPr>
              <w:jc w:val="center"/>
              <w:rPr>
                <w:b/>
              </w:rPr>
            </w:pPr>
            <w:r>
              <w:rPr>
                <w:b/>
              </w:rPr>
              <w:t xml:space="preserve">Coefficient </w:t>
            </w:r>
          </w:p>
        </w:tc>
        <w:tc>
          <w:tcPr>
            <w:tcW w:w="5035" w:type="dxa"/>
            <w:tcBorders>
              <w:top w:val="single" w:sz="4" w:space="0" w:color="000000"/>
              <w:left w:val="single" w:sz="4" w:space="0" w:color="000000"/>
              <w:bottom w:val="single" w:sz="4" w:space="0" w:color="000000"/>
              <w:right w:val="single" w:sz="4" w:space="0" w:color="000000"/>
            </w:tcBorders>
          </w:tcPr>
          <w:p w:rsidR="009722FC" w:rsidRDefault="002E365D">
            <w:pPr>
              <w:jc w:val="center"/>
              <w:rPr>
                <w:b/>
              </w:rPr>
            </w:pPr>
            <w:r>
              <w:rPr>
                <w:b/>
              </w:rPr>
              <w:t>Réponses obligatoires du candidat</w:t>
            </w: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A6A6A6"/>
          </w:tcPr>
          <w:p w:rsidR="009722FC" w:rsidRDefault="002E365D">
            <w:pPr>
              <w:jc w:val="both"/>
              <w:rPr>
                <w:b/>
              </w:rPr>
            </w:pPr>
            <w:r>
              <w:rPr>
                <w:b/>
              </w:rPr>
              <w:t xml:space="preserve">Valeur technique de l’offre </w:t>
            </w:r>
          </w:p>
        </w:tc>
        <w:tc>
          <w:tcPr>
            <w:tcW w:w="1518" w:type="dxa"/>
            <w:tcBorders>
              <w:top w:val="single" w:sz="4" w:space="0" w:color="000000"/>
              <w:left w:val="single" w:sz="4" w:space="0" w:color="000000"/>
              <w:bottom w:val="single" w:sz="4" w:space="0" w:color="000000"/>
              <w:right w:val="single" w:sz="4" w:space="0" w:color="000000"/>
            </w:tcBorders>
            <w:shd w:val="clear" w:color="auto" w:fill="A6A6A6"/>
          </w:tcPr>
          <w:p w:rsidR="009722FC" w:rsidRDefault="002E365D">
            <w:pPr>
              <w:jc w:val="both"/>
            </w:pPr>
            <w:r>
              <w:t>50%</w:t>
            </w:r>
          </w:p>
        </w:tc>
        <w:tc>
          <w:tcPr>
            <w:tcW w:w="5035" w:type="dxa"/>
            <w:tcBorders>
              <w:top w:val="single" w:sz="4" w:space="0" w:color="000000"/>
              <w:left w:val="single" w:sz="4" w:space="0" w:color="000000"/>
              <w:bottom w:val="single" w:sz="4" w:space="0" w:color="000000"/>
              <w:right w:val="single" w:sz="4" w:space="0" w:color="000000"/>
            </w:tcBorders>
            <w:shd w:val="clear" w:color="auto" w:fill="A6A6A6"/>
          </w:tcPr>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EEECE1"/>
          </w:tcPr>
          <w:p w:rsidR="009722FC" w:rsidRDefault="002E365D">
            <w:pPr>
              <w:pStyle w:val="Paragraphedeliste"/>
              <w:numPr>
                <w:ilvl w:val="0"/>
                <w:numId w:val="1"/>
              </w:numPr>
              <w:jc w:val="both"/>
            </w:pPr>
            <w:r>
              <w:t>Richesse du catalogue </w:t>
            </w:r>
          </w:p>
          <w:p w:rsidR="009722FC" w:rsidRDefault="002E365D">
            <w:pPr>
              <w:pStyle w:val="Paragraphedeliste"/>
              <w:ind w:left="360"/>
              <w:jc w:val="both"/>
            </w:pPr>
            <w:r>
              <w:t xml:space="preserve"> </w:t>
            </w:r>
          </w:p>
        </w:tc>
        <w:tc>
          <w:tcPr>
            <w:tcW w:w="1518" w:type="dxa"/>
            <w:tcBorders>
              <w:top w:val="single" w:sz="4" w:space="0" w:color="000000"/>
              <w:left w:val="single" w:sz="4" w:space="0" w:color="000000"/>
              <w:bottom w:val="single" w:sz="4" w:space="0" w:color="000000"/>
              <w:right w:val="single" w:sz="4" w:space="0" w:color="000000"/>
            </w:tcBorders>
            <w:shd w:val="clear" w:color="auto" w:fill="EEECE1"/>
          </w:tcPr>
          <w:p w:rsidR="009722FC" w:rsidRDefault="002E365D">
            <w:pPr>
              <w:jc w:val="both"/>
            </w:pPr>
            <w:r>
              <w:t>20 points</w:t>
            </w:r>
          </w:p>
        </w:tc>
        <w:tc>
          <w:tcPr>
            <w:tcW w:w="5035" w:type="dxa"/>
            <w:tcBorders>
              <w:top w:val="single" w:sz="4" w:space="0" w:color="000000"/>
              <w:left w:val="single" w:sz="4" w:space="0" w:color="000000"/>
              <w:bottom w:val="single" w:sz="4" w:space="0" w:color="000000"/>
              <w:right w:val="single" w:sz="4" w:space="0" w:color="000000"/>
            </w:tcBorders>
            <w:shd w:val="clear" w:color="auto" w:fill="EEECE1"/>
          </w:tcPr>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Nombre total de documents en stock en entrepôt sur l’ensemble de l’année en cours et dans l’espace de vente accessible aux bibliothécaires</w:t>
            </w: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rPr>
                <w:szCs w:val="20"/>
              </w:rPr>
            </w:pPr>
            <w:r>
              <w:rPr>
                <w:szCs w:val="20"/>
              </w:rPr>
              <w:t xml:space="preserve">Spécialités linguistiques  </w:t>
            </w:r>
          </w:p>
          <w:p w:rsidR="009722FC" w:rsidRDefault="009722FC">
            <w:pPr>
              <w:jc w:val="both"/>
            </w:pP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r>
              <w:t>Spécialités thématiques </w:t>
            </w:r>
          </w:p>
          <w:p w:rsidR="009722FC" w:rsidRDefault="009722FC"/>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r>
              <w:t>Pouvez-vous fournir des numéros spéciaux isolés de revues ?</w:t>
            </w:r>
          </w:p>
          <w:p w:rsidR="009722FC" w:rsidRDefault="009722FC">
            <w:pPr>
              <w:jc w:val="both"/>
            </w:pP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Oui □             Non □</w:t>
            </w:r>
          </w:p>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r>
              <w:t>Gestion des commandes permanentes (</w:t>
            </w:r>
            <w:r>
              <w:rPr>
                <w:i/>
              </w:rPr>
              <w:t xml:space="preserve">standing </w:t>
            </w:r>
            <w:proofErr w:type="spellStart"/>
            <w:r>
              <w:rPr>
                <w:i/>
              </w:rPr>
              <w:t>order</w:t>
            </w:r>
            <w:proofErr w:type="spellEnd"/>
            <w:r>
              <w:t>) pour les suites ou collections même à parution irrégulière ?</w:t>
            </w: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Oui □             Non</w:t>
            </w: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r>
              <w:t>Gestion des souscriptions</w:t>
            </w: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Oui □             Non</w:t>
            </w: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Y a-t-il des éditeurs que vous ne diffusez pas ? Si oui lesquels ?</w:t>
            </w: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Oui □             Non □</w:t>
            </w:r>
          </w:p>
          <w:p w:rsidR="009722FC" w:rsidRDefault="002E365D">
            <w:pPr>
              <w:jc w:val="both"/>
            </w:pPr>
            <w:r>
              <w:t xml:space="preserve">Noms des éditeurs : </w:t>
            </w:r>
          </w:p>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EEECE1"/>
          </w:tcPr>
          <w:p w:rsidR="009722FC" w:rsidRDefault="002E365D">
            <w:pPr>
              <w:pStyle w:val="Paragraphedeliste"/>
              <w:numPr>
                <w:ilvl w:val="0"/>
                <w:numId w:val="1"/>
              </w:numPr>
              <w:jc w:val="both"/>
            </w:pPr>
            <w:r>
              <w:t xml:space="preserve">Fonctionnalité et ergonomie du site internet : </w:t>
            </w:r>
          </w:p>
        </w:tc>
        <w:tc>
          <w:tcPr>
            <w:tcW w:w="1518" w:type="dxa"/>
            <w:tcBorders>
              <w:top w:val="single" w:sz="4" w:space="0" w:color="000000"/>
              <w:left w:val="single" w:sz="4" w:space="0" w:color="000000"/>
              <w:bottom w:val="single" w:sz="4" w:space="0" w:color="000000"/>
              <w:right w:val="single" w:sz="4" w:space="0" w:color="000000"/>
            </w:tcBorders>
            <w:shd w:val="clear" w:color="auto" w:fill="EEECE1"/>
          </w:tcPr>
          <w:p w:rsidR="009722FC" w:rsidRDefault="002E365D">
            <w:pPr>
              <w:jc w:val="both"/>
            </w:pPr>
            <w:r>
              <w:t>15 points</w:t>
            </w:r>
          </w:p>
        </w:tc>
        <w:tc>
          <w:tcPr>
            <w:tcW w:w="5035" w:type="dxa"/>
            <w:tcBorders>
              <w:top w:val="single" w:sz="4" w:space="0" w:color="000000"/>
              <w:left w:val="single" w:sz="4" w:space="0" w:color="000000"/>
              <w:bottom w:val="single" w:sz="4" w:space="0" w:color="000000"/>
              <w:right w:val="single" w:sz="4" w:space="0" w:color="000000"/>
            </w:tcBorders>
            <w:shd w:val="clear" w:color="auto" w:fill="EEECE1"/>
          </w:tcPr>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r>
              <w:t>Avez-vous un site web ? quelle est la périodicité de mise à jour du site ?</w:t>
            </w:r>
          </w:p>
          <w:p w:rsidR="009722FC" w:rsidRDefault="002E365D">
            <w:r>
              <w:t>Quelles sont les principales rubriques ?</w:t>
            </w: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Oui □             Non □</w:t>
            </w:r>
          </w:p>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rPr>
                <w:szCs w:val="20"/>
              </w:rPr>
            </w:pPr>
            <w:r>
              <w:rPr>
                <w:szCs w:val="20"/>
              </w:rPr>
              <w:t>Possibilité d’envoi des commandes en ligne ou prestation équivalente ?</w:t>
            </w:r>
          </w:p>
          <w:p w:rsidR="009722FC" w:rsidRDefault="009722FC"/>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Oui □             Non □</w:t>
            </w:r>
          </w:p>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rPr>
                <w:rFonts w:ascii="Calibri" w:hAnsi="Calibri"/>
                <w:color w:val="000000"/>
                <w:sz w:val="22"/>
                <w:szCs w:val="22"/>
              </w:rPr>
            </w:pPr>
            <w:r>
              <w:t>Récupération des commandes par le biais de paniers informatiques (via progiciels SIGB ou fournisseurs de notices)</w:t>
            </w:r>
            <w:r w:rsidR="00363713">
              <w:t> ?</w:t>
            </w: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Oui □             Non □</w:t>
            </w:r>
          </w:p>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rPr>
                <w:rFonts w:ascii="Calibri" w:hAnsi="Calibri"/>
                <w:color w:val="000000"/>
                <w:sz w:val="22"/>
                <w:szCs w:val="22"/>
              </w:rPr>
            </w:pPr>
            <w:r>
              <w:t>Possibilité de créer des paniers, faire des demandes de devis, des précommandes ou des commandes ?</w:t>
            </w: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Oui □             Non □</w:t>
            </w:r>
          </w:p>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rsidP="008C29F9">
            <w:r>
              <w:t>Circuit des commandes (suivi des envois, éditions des bons de livraison et des factures)</w:t>
            </w:r>
          </w:p>
          <w:p w:rsidR="009722FC" w:rsidRDefault="002E365D" w:rsidP="008C29F9">
            <w:r>
              <w:t>Quels types de renseignements vous sont nécessaires pour effectuer une commande ?</w:t>
            </w: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Oui □             Non □</w:t>
            </w:r>
          </w:p>
          <w:p w:rsidR="009722FC" w:rsidRDefault="002E365D">
            <w:pPr>
              <w:jc w:val="both"/>
            </w:pPr>
            <w:r>
              <w:t xml:space="preserve">Présentation du </w:t>
            </w:r>
            <w:r w:rsidR="008C29F9">
              <w:t>circuit</w:t>
            </w:r>
            <w:r>
              <w:t> :</w:t>
            </w:r>
          </w:p>
          <w:p w:rsidR="009722FC" w:rsidRDefault="009722FC">
            <w:pPr>
              <w:jc w:val="both"/>
            </w:pPr>
          </w:p>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r>
              <w:t>Réponse sous 5 jours à des demandes de devis en fonction de listes bibliographiques (auteur, titre, éditeur) ?</w:t>
            </w: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Oui □             Non □</w:t>
            </w:r>
          </w:p>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r>
              <w:t>Délais et fréquence de relance pour les documents non fournis :</w:t>
            </w: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Oui □             Non □</w:t>
            </w:r>
          </w:p>
          <w:p w:rsidR="009722FC" w:rsidRDefault="009722FC">
            <w:pPr>
              <w:jc w:val="both"/>
            </w:pPr>
          </w:p>
          <w:p w:rsidR="009722FC" w:rsidRDefault="002E365D">
            <w:pPr>
              <w:jc w:val="both"/>
            </w:pPr>
            <w:r>
              <w:lastRenderedPageBreak/>
              <w:t>Délais</w:t>
            </w:r>
            <w:r w:rsidR="009E35C1">
              <w:t> :</w:t>
            </w: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EEECE1"/>
          </w:tcPr>
          <w:p w:rsidR="009722FC" w:rsidRDefault="002E365D">
            <w:pPr>
              <w:pStyle w:val="Paragraphedeliste"/>
              <w:numPr>
                <w:ilvl w:val="0"/>
                <w:numId w:val="1"/>
              </w:numPr>
              <w:jc w:val="both"/>
            </w:pPr>
            <w:r>
              <w:lastRenderedPageBreak/>
              <w:t xml:space="preserve">Services annexes  </w:t>
            </w:r>
          </w:p>
        </w:tc>
        <w:tc>
          <w:tcPr>
            <w:tcW w:w="1518" w:type="dxa"/>
            <w:tcBorders>
              <w:top w:val="single" w:sz="4" w:space="0" w:color="000000"/>
              <w:left w:val="single" w:sz="4" w:space="0" w:color="000000"/>
              <w:bottom w:val="single" w:sz="4" w:space="0" w:color="000000"/>
              <w:right w:val="single" w:sz="4" w:space="0" w:color="000000"/>
            </w:tcBorders>
            <w:shd w:val="clear" w:color="auto" w:fill="EEECE1"/>
          </w:tcPr>
          <w:p w:rsidR="009722FC" w:rsidRDefault="002E365D">
            <w:pPr>
              <w:jc w:val="both"/>
            </w:pPr>
            <w:r>
              <w:t xml:space="preserve">15 points </w:t>
            </w:r>
          </w:p>
        </w:tc>
        <w:tc>
          <w:tcPr>
            <w:tcW w:w="5035" w:type="dxa"/>
            <w:tcBorders>
              <w:top w:val="single" w:sz="4" w:space="0" w:color="000000"/>
              <w:left w:val="single" w:sz="4" w:space="0" w:color="000000"/>
              <w:bottom w:val="single" w:sz="4" w:space="0" w:color="000000"/>
              <w:right w:val="single" w:sz="4" w:space="0" w:color="000000"/>
            </w:tcBorders>
            <w:shd w:val="clear" w:color="auto" w:fill="EEECE1"/>
          </w:tcPr>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Nom, Prénom et fonction de l’interlocuteur privilégié pour le suivi et le traitement des commandes ?</w:t>
            </w:r>
          </w:p>
          <w:p w:rsidR="009722FC" w:rsidRDefault="009722FC">
            <w:pPr>
              <w:jc w:val="both"/>
            </w:pP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 xml:space="preserve">A Préciser : </w:t>
            </w:r>
          </w:p>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r>
              <w:t>Avez-vous des créneaux horaires de permanence téléphonique ?</w:t>
            </w:r>
          </w:p>
          <w:p w:rsidR="009722FC" w:rsidRDefault="002E365D">
            <w:pPr>
              <w:pStyle w:val="Paragraphedeliste"/>
              <w:ind w:left="0"/>
              <w:jc w:val="both"/>
            </w:pPr>
            <w:r>
              <w:t>Si oui, lesquels ?</w:t>
            </w: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rPr>
                <w:b/>
              </w:rPr>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Oui □             Non □</w:t>
            </w:r>
          </w:p>
          <w:p w:rsidR="009722FC" w:rsidRDefault="009722FC">
            <w:pPr>
              <w:jc w:val="both"/>
            </w:pPr>
          </w:p>
          <w:p w:rsidR="009722FC" w:rsidRDefault="002E365D">
            <w:pPr>
              <w:jc w:val="both"/>
            </w:pPr>
            <w:r>
              <w:t>A Préciser :</w:t>
            </w:r>
          </w:p>
          <w:p w:rsidR="009722FC" w:rsidRDefault="009722FC">
            <w:pPr>
              <w:jc w:val="both"/>
            </w:pPr>
          </w:p>
          <w:p w:rsidR="009722FC" w:rsidRDefault="009722FC">
            <w:pPr>
              <w:jc w:val="both"/>
            </w:pPr>
          </w:p>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r>
              <w:t>Y a-t-il une période de fermeture ?</w:t>
            </w:r>
          </w:p>
          <w:p w:rsidR="009722FC" w:rsidRDefault="009722FC">
            <w:pPr>
              <w:jc w:val="both"/>
            </w:pP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rPr>
                <w:b/>
              </w:rPr>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Oui □             Non □</w:t>
            </w:r>
          </w:p>
          <w:p w:rsidR="009722FC" w:rsidRDefault="009722FC">
            <w:pPr>
              <w:jc w:val="both"/>
            </w:pPr>
          </w:p>
          <w:p w:rsidR="009722FC" w:rsidRDefault="002E365D">
            <w:pPr>
              <w:jc w:val="both"/>
            </w:pPr>
            <w:r>
              <w:t>A Préciser : Modalités d’accueil</w:t>
            </w:r>
          </w:p>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rPr>
                <w:szCs w:val="20"/>
              </w:rPr>
            </w:pPr>
            <w:r>
              <w:rPr>
                <w:szCs w:val="20"/>
              </w:rPr>
              <w:t>Travaillez-vous en liaison avec les programmes universitaires français ?</w:t>
            </w:r>
          </w:p>
          <w:p w:rsidR="009722FC" w:rsidRDefault="002E365D" w:rsidP="00E67AF4">
            <w:r>
              <w:rPr>
                <w:szCs w:val="20"/>
              </w:rPr>
              <w:t>Pouvez-vous nous fournir des bibliographies et de la documentation concernant les nouveaux programmes des concours français du CAPES et de l’Agrégation (dès parution au B.O.) ?</w:t>
            </w:r>
          </w:p>
          <w:p w:rsidR="009722FC" w:rsidRDefault="009722FC">
            <w:pPr>
              <w:jc w:val="both"/>
            </w:pP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p w:rsidR="009722FC" w:rsidRDefault="009722FC">
            <w:pPr>
              <w:jc w:val="both"/>
            </w:pPr>
          </w:p>
          <w:p w:rsidR="009722FC" w:rsidRDefault="002E365D">
            <w:pPr>
              <w:jc w:val="both"/>
            </w:pPr>
            <w:r>
              <w:t>Oui □             Non □</w:t>
            </w:r>
          </w:p>
          <w:p w:rsidR="009722FC" w:rsidRDefault="009722FC">
            <w:pPr>
              <w:jc w:val="both"/>
            </w:pPr>
          </w:p>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rsidP="00E67AF4">
            <w:r>
              <w:t xml:space="preserve">Le candidat fournit-il régulièrement des catalogues d’éditeurs ? </w:t>
            </w: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Oui □             Non □</w:t>
            </w:r>
          </w:p>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Facturation :</w:t>
            </w: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Indication de la quantité totale des documents en fin de factures</w:t>
            </w:r>
            <w:r w:rsidR="00E67AF4">
              <w:t> ?</w:t>
            </w:r>
          </w:p>
          <w:p w:rsidR="009722FC" w:rsidRDefault="002E365D">
            <w:pPr>
              <w:jc w:val="both"/>
            </w:pPr>
            <w:r>
              <w:t>Indications motivées des non livrés</w:t>
            </w:r>
            <w:r w:rsidR="00E67AF4">
              <w:t> ?</w:t>
            </w: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E67AF4" w:rsidRDefault="00E67AF4">
            <w:pPr>
              <w:jc w:val="both"/>
            </w:pPr>
          </w:p>
          <w:p w:rsidR="009722FC" w:rsidRDefault="002E365D">
            <w:pPr>
              <w:jc w:val="both"/>
            </w:pPr>
            <w:r>
              <w:t>Oui □             Non □</w:t>
            </w:r>
          </w:p>
          <w:p w:rsidR="00E67AF4" w:rsidRDefault="00E67AF4">
            <w:pPr>
              <w:jc w:val="both"/>
            </w:pPr>
          </w:p>
          <w:p w:rsidR="009722FC" w:rsidRDefault="002E365D">
            <w:pPr>
              <w:jc w:val="both"/>
            </w:pPr>
            <w:r>
              <w:t>Oui □             Non □</w:t>
            </w:r>
          </w:p>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r>
              <w:t xml:space="preserve">Facturez-vous des frais de gestion ? </w:t>
            </w:r>
          </w:p>
          <w:p w:rsidR="009722FC" w:rsidRDefault="009722FC"/>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Oui □             Non □</w:t>
            </w:r>
          </w:p>
          <w:p w:rsidR="009722FC" w:rsidRDefault="009722FC">
            <w:pPr>
              <w:jc w:val="both"/>
            </w:pPr>
          </w:p>
          <w:p w:rsidR="009722FC" w:rsidRDefault="002E365D">
            <w:pPr>
              <w:jc w:val="both"/>
            </w:pPr>
            <w:r>
              <w:t>A préciser :</w:t>
            </w: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r>
              <w:t>Quels taux de remise proposez-vous</w:t>
            </w:r>
            <w:proofErr w:type="gramStart"/>
            <w:r>
              <w:t> ?*</w:t>
            </w:r>
            <w:proofErr w:type="gramEnd"/>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Oui □             Non □</w:t>
            </w:r>
          </w:p>
          <w:p w:rsidR="009722FC" w:rsidRDefault="009722FC">
            <w:pPr>
              <w:jc w:val="both"/>
            </w:pPr>
          </w:p>
          <w:p w:rsidR="009722FC" w:rsidRDefault="002E365D">
            <w:pPr>
              <w:jc w:val="both"/>
            </w:pPr>
            <w:r>
              <w:t>A préciser </w:t>
            </w: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r>
              <w:t>Possédez-vous un compte bancaire en France ?</w:t>
            </w: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Oui □             Non □</w:t>
            </w:r>
          </w:p>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Procédures proposées pour le suivi des reliquats de commandes ?</w:t>
            </w: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E67AF4">
            <w:pPr>
              <w:jc w:val="both"/>
            </w:pPr>
            <w:r>
              <w:t>A d</w:t>
            </w:r>
            <w:r w:rsidR="002E365D">
              <w:t>étailler :</w:t>
            </w:r>
          </w:p>
          <w:p w:rsidR="009722FC" w:rsidRDefault="009722FC">
            <w:pPr>
              <w:jc w:val="both"/>
            </w:pPr>
          </w:p>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r>
              <w:t>Autres possibilités de service ?</w:t>
            </w:r>
          </w:p>
          <w:p w:rsidR="009722FC" w:rsidRDefault="002E365D">
            <w:r>
              <w:t>A quel coût ?</w:t>
            </w: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 xml:space="preserve">Retour : </w:t>
            </w: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r>
              <w:t>Conditions de retour en cas de doublon, documents abimés ou d’erreur de référence</w:t>
            </w: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r>
              <w:lastRenderedPageBreak/>
              <w:t>Procédure en cas de commande incomplète et de tomaison incomplète (épuisée ou non fournie) :</w:t>
            </w:r>
          </w:p>
          <w:p w:rsidR="009722FC" w:rsidRDefault="002E365D">
            <w:r>
              <w:t xml:space="preserve">Demande d’une confirmation auprès du bibliothécaire ? </w:t>
            </w:r>
          </w:p>
          <w:p w:rsidR="009722FC" w:rsidRDefault="002E365D">
            <w:r>
              <w:t>Sinon possibilité de retour ?</w:t>
            </w:r>
          </w:p>
          <w:p w:rsidR="009722FC" w:rsidRDefault="002E365D">
            <w:r>
              <w:t>Gestion des reliquats ?</w:t>
            </w:r>
          </w:p>
          <w:p w:rsidR="009722FC" w:rsidRDefault="009722FC"/>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Critères environnementaux</w:t>
            </w:r>
            <w:r w:rsidR="00873709">
              <w:t> :</w:t>
            </w: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rsidRPr="0005785B">
              <w:t xml:space="preserve">Le candidat développe-t-il au sein de la société une démarche environnementale pour </w:t>
            </w:r>
            <w:r w:rsidR="00873709">
              <w:t>l’ensemble de ses activités ? (</w:t>
            </w:r>
            <w:proofErr w:type="gramStart"/>
            <w:r w:rsidR="00873709">
              <w:t>v</w:t>
            </w:r>
            <w:r w:rsidRPr="0005785B">
              <w:t>alorisation</w:t>
            </w:r>
            <w:proofErr w:type="gramEnd"/>
            <w:r w:rsidRPr="0005785B">
              <w:t xml:space="preserve"> des déchets, des matériaux non plastiques, prévention de la pollution…)</w:t>
            </w:r>
          </w:p>
          <w:p w:rsidR="009722FC" w:rsidRDefault="009722FC">
            <w:pPr>
              <w:pStyle w:val="Paragraphedeliste"/>
              <w:ind w:left="360"/>
              <w:jc w:val="both"/>
            </w:pP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Oui □             Non □</w:t>
            </w:r>
          </w:p>
          <w:p w:rsidR="009722FC" w:rsidRDefault="009722FC">
            <w:pPr>
              <w:jc w:val="both"/>
            </w:pPr>
          </w:p>
          <w:p w:rsidR="009722FC" w:rsidRDefault="002E365D">
            <w:pPr>
              <w:jc w:val="both"/>
            </w:pPr>
            <w:r>
              <w:t>A préciser :</w:t>
            </w:r>
          </w:p>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A6A6A6"/>
          </w:tcPr>
          <w:p w:rsidR="009722FC" w:rsidRDefault="002E365D">
            <w:pPr>
              <w:jc w:val="both"/>
              <w:rPr>
                <w:b/>
              </w:rPr>
            </w:pPr>
            <w:r>
              <w:rPr>
                <w:b/>
              </w:rPr>
              <w:t>Livraison :</w:t>
            </w:r>
          </w:p>
        </w:tc>
        <w:tc>
          <w:tcPr>
            <w:tcW w:w="1518" w:type="dxa"/>
            <w:tcBorders>
              <w:top w:val="single" w:sz="4" w:space="0" w:color="000000"/>
              <w:left w:val="single" w:sz="4" w:space="0" w:color="000000"/>
              <w:bottom w:val="single" w:sz="4" w:space="0" w:color="000000"/>
              <w:right w:val="single" w:sz="4" w:space="0" w:color="000000"/>
            </w:tcBorders>
            <w:shd w:val="clear" w:color="auto" w:fill="A6A6A6"/>
          </w:tcPr>
          <w:p w:rsidR="009722FC" w:rsidRDefault="002E365D">
            <w:pPr>
              <w:jc w:val="both"/>
              <w:rPr>
                <w:b/>
              </w:rPr>
            </w:pPr>
            <w:r>
              <w:rPr>
                <w:b/>
              </w:rPr>
              <w:t>30%</w:t>
            </w:r>
          </w:p>
        </w:tc>
        <w:tc>
          <w:tcPr>
            <w:tcW w:w="5035" w:type="dxa"/>
            <w:tcBorders>
              <w:top w:val="single" w:sz="4" w:space="0" w:color="000000"/>
              <w:left w:val="single" w:sz="4" w:space="0" w:color="000000"/>
              <w:bottom w:val="single" w:sz="4" w:space="0" w:color="000000"/>
              <w:right w:val="single" w:sz="4" w:space="0" w:color="000000"/>
            </w:tcBorders>
            <w:shd w:val="clear" w:color="auto" w:fill="A6A6A6"/>
          </w:tcPr>
          <w:p w:rsidR="009722FC" w:rsidRDefault="009722FC">
            <w:pPr>
              <w:jc w:val="both"/>
              <w:rPr>
                <w:b/>
              </w:rPr>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rPr>
                <w:szCs w:val="20"/>
              </w:rPr>
            </w:pPr>
            <w:r>
              <w:rPr>
                <w:szCs w:val="20"/>
              </w:rPr>
              <w:t>Délai précis de livraison à compter de la réception de la commande suivant le pays d’édition (en jours ouvrés) :</w:t>
            </w:r>
          </w:p>
          <w:p w:rsidR="009722FC" w:rsidRDefault="002E365D">
            <w:pPr>
              <w:numPr>
                <w:ilvl w:val="0"/>
                <w:numId w:val="2"/>
              </w:numPr>
              <w:rPr>
                <w:szCs w:val="20"/>
              </w:rPr>
            </w:pPr>
            <w:r>
              <w:rPr>
                <w:szCs w:val="20"/>
              </w:rPr>
              <w:t>France</w:t>
            </w:r>
          </w:p>
          <w:p w:rsidR="009722FC" w:rsidRDefault="002E365D">
            <w:pPr>
              <w:numPr>
                <w:ilvl w:val="0"/>
                <w:numId w:val="2"/>
              </w:numPr>
              <w:rPr>
                <w:szCs w:val="20"/>
              </w:rPr>
            </w:pPr>
            <w:r>
              <w:rPr>
                <w:szCs w:val="20"/>
              </w:rPr>
              <w:t>Europe (détailler si nécessaire)</w:t>
            </w:r>
          </w:p>
          <w:p w:rsidR="009722FC" w:rsidRDefault="002E365D">
            <w:pPr>
              <w:numPr>
                <w:ilvl w:val="0"/>
                <w:numId w:val="2"/>
              </w:numPr>
              <w:rPr>
                <w:szCs w:val="20"/>
              </w:rPr>
            </w:pPr>
            <w:r>
              <w:rPr>
                <w:szCs w:val="20"/>
              </w:rPr>
              <w:t>Etats-Unis</w:t>
            </w:r>
          </w:p>
          <w:p w:rsidR="009722FC" w:rsidRDefault="002E365D">
            <w:pPr>
              <w:numPr>
                <w:ilvl w:val="0"/>
                <w:numId w:val="2"/>
              </w:numPr>
              <w:rPr>
                <w:szCs w:val="20"/>
              </w:rPr>
            </w:pPr>
            <w:r>
              <w:rPr>
                <w:szCs w:val="20"/>
              </w:rPr>
              <w:t>Autres :</w:t>
            </w:r>
          </w:p>
        </w:tc>
        <w:tc>
          <w:tcPr>
            <w:tcW w:w="1518"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30 points</w:t>
            </w: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rsidP="000010E0">
            <w:r>
              <w:t xml:space="preserve">Type de livraison (poste, route ...) ?  </w:t>
            </w:r>
          </w:p>
        </w:tc>
        <w:tc>
          <w:tcPr>
            <w:tcW w:w="1518" w:type="dxa"/>
            <w:vMerge/>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 xml:space="preserve">Délais de livraison des commandes urgentes : </w:t>
            </w:r>
          </w:p>
        </w:tc>
        <w:tc>
          <w:tcPr>
            <w:tcW w:w="1518" w:type="dxa"/>
            <w:vMerge/>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pPr>
              <w:jc w:val="both"/>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r>
              <w:t>Le service livraison est-il sous-traité ?</w:t>
            </w:r>
          </w:p>
          <w:p w:rsidR="009722FC" w:rsidRDefault="002E365D">
            <w:r>
              <w:t xml:space="preserve">Si oui, </w:t>
            </w:r>
            <w:r w:rsidR="00873709">
              <w:t xml:space="preserve">à </w:t>
            </w:r>
            <w:r>
              <w:t>quel organisme ?</w:t>
            </w:r>
          </w:p>
        </w:tc>
        <w:tc>
          <w:tcPr>
            <w:tcW w:w="1518" w:type="dxa"/>
            <w:vMerge/>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Oui □             Non □</w:t>
            </w:r>
          </w:p>
          <w:p w:rsidR="009722FC" w:rsidRDefault="009722FC">
            <w:pPr>
              <w:jc w:val="both"/>
            </w:pPr>
          </w:p>
          <w:p w:rsidR="009722FC" w:rsidRDefault="002E365D">
            <w:pPr>
              <w:jc w:val="both"/>
            </w:pPr>
            <w:r>
              <w:t>A préciser :</w:t>
            </w:r>
          </w:p>
          <w:p w:rsidR="009722FC" w:rsidRDefault="009722FC"/>
        </w:tc>
      </w:tr>
      <w:tr w:rsidR="009722FC" w:rsidTr="00AD1E1F">
        <w:trPr>
          <w:trHeight w:val="61"/>
        </w:trPr>
        <w:tc>
          <w:tcPr>
            <w:tcW w:w="453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9722FC" w:rsidRDefault="002E365D">
            <w:pPr>
              <w:jc w:val="both"/>
              <w:rPr>
                <w:b/>
                <w:highlight w:val="darkGray"/>
              </w:rPr>
            </w:pPr>
            <w:r w:rsidRPr="002E365D">
              <w:rPr>
                <w:b/>
              </w:rPr>
              <w:t xml:space="preserve">Prix des prestations : </w:t>
            </w:r>
          </w:p>
        </w:tc>
        <w:tc>
          <w:tcPr>
            <w:tcW w:w="1518"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9722FC" w:rsidRDefault="002E365D">
            <w:pPr>
              <w:jc w:val="both"/>
              <w:rPr>
                <w:b/>
                <w:highlight w:val="darkGray"/>
              </w:rPr>
            </w:pPr>
            <w:r w:rsidRPr="002E365D">
              <w:rPr>
                <w:b/>
              </w:rPr>
              <w:t>20 %</w:t>
            </w:r>
          </w:p>
        </w:tc>
        <w:tc>
          <w:tcPr>
            <w:tcW w:w="503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9722FC" w:rsidRDefault="009722FC">
            <w:pPr>
              <w:jc w:val="both"/>
              <w:rPr>
                <w:b/>
                <w:highlight w:val="darkGray"/>
              </w:rPr>
            </w:pPr>
          </w:p>
        </w:tc>
      </w:tr>
      <w:tr w:rsidR="009722FC" w:rsidTr="00AD1E1F">
        <w:tc>
          <w:tcPr>
            <w:tcW w:w="4537"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r>
              <w:t>Taux de remise proposé</w:t>
            </w:r>
          </w:p>
        </w:tc>
        <w:tc>
          <w:tcPr>
            <w:tcW w:w="1518"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9722FC"/>
        </w:tc>
        <w:tc>
          <w:tcPr>
            <w:tcW w:w="5035" w:type="dxa"/>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A préciser :</w:t>
            </w:r>
          </w:p>
          <w:p w:rsidR="009722FC" w:rsidRDefault="009722FC"/>
        </w:tc>
      </w:tr>
      <w:tr w:rsidR="009722FC" w:rsidTr="00AD1E1F">
        <w:trPr>
          <w:trHeight w:val="859"/>
        </w:trPr>
        <w:tc>
          <w:tcPr>
            <w:tcW w:w="11090" w:type="dxa"/>
            <w:gridSpan w:val="3"/>
            <w:tcBorders>
              <w:top w:val="single" w:sz="4" w:space="0" w:color="000000"/>
              <w:left w:val="single" w:sz="4" w:space="0" w:color="000000"/>
              <w:bottom w:val="single" w:sz="4" w:space="0" w:color="000000"/>
              <w:right w:val="single" w:sz="4" w:space="0" w:color="000000"/>
            </w:tcBorders>
            <w:shd w:val="clear" w:color="auto" w:fill="FFFFFF"/>
          </w:tcPr>
          <w:p w:rsidR="009722FC" w:rsidRDefault="002E365D">
            <w:pPr>
              <w:jc w:val="both"/>
            </w:pPr>
            <w:r>
              <w:t xml:space="preserve">Calcul du montant de la commande test (prix moyen). </w:t>
            </w:r>
          </w:p>
          <w:p w:rsidR="009722FC" w:rsidRDefault="009722FC">
            <w:pPr>
              <w:jc w:val="both"/>
            </w:pPr>
          </w:p>
        </w:tc>
      </w:tr>
    </w:tbl>
    <w:p w:rsidR="009722FC" w:rsidRDefault="002E365D">
      <w:pPr>
        <w:rPr>
          <w:i/>
          <w:iCs/>
        </w:rPr>
      </w:pPr>
      <w:r>
        <w:rPr>
          <w:i/>
          <w:iCs/>
        </w:rPr>
        <w:t>* En application de la loi n°2003-517 du 18/06/2003 relative à la rémunération au titre du prêt en bibliothèque et renforçant la protection sociale des auteurs, le taux de remise proposé sur le prix public éditeur ne peut être supérieur à 9 %.</w:t>
      </w:r>
    </w:p>
    <w:p w:rsidR="009722FC" w:rsidRDefault="009722FC">
      <w:pPr>
        <w:jc w:val="both"/>
      </w:pPr>
      <w:bookmarkStart w:id="0" w:name="_GoBack"/>
      <w:bookmarkEnd w:id="0"/>
    </w:p>
    <w:p w:rsidR="009722FC" w:rsidRDefault="002E365D">
      <w:pPr>
        <w:jc w:val="both"/>
        <w:rPr>
          <w:i/>
        </w:rPr>
      </w:pPr>
      <w:r>
        <w:rPr>
          <w:i/>
        </w:rPr>
        <w:t>Date, cachet et signature du prestataire,</w:t>
      </w:r>
    </w:p>
    <w:p w:rsidR="009722FC" w:rsidRDefault="009722FC" w:rsidP="00F053E7"/>
    <w:sectPr w:rsidR="009722FC" w:rsidSect="00AD1E1F">
      <w:headerReference w:type="default" r:id="rId8"/>
      <w:footerReference w:type="default" r:id="rId9"/>
      <w:pgSz w:w="11906" w:h="16838"/>
      <w:pgMar w:top="1134" w:right="1134" w:bottom="1134" w:left="1134"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07BB" w:rsidRDefault="002E365D">
      <w:r>
        <w:separator/>
      </w:r>
    </w:p>
  </w:endnote>
  <w:endnote w:type="continuationSeparator" w:id="0">
    <w:p w:rsidR="003C07BB" w:rsidRDefault="002E3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31FB" w:rsidRPr="00080300" w:rsidRDefault="008431FB" w:rsidP="008431FB">
    <w:pPr>
      <w:pStyle w:val="Pieddepage"/>
      <w:pBdr>
        <w:top w:val="thinThickSmallGap" w:sz="24" w:space="1" w:color="548DD4"/>
      </w:pBdr>
      <w:tabs>
        <w:tab w:val="clear" w:pos="4536"/>
        <w:tab w:val="clear" w:pos="9072"/>
        <w:tab w:val="right" w:pos="9639"/>
      </w:tabs>
      <w:ind w:right="-851"/>
      <w:rPr>
        <w:rFonts w:ascii="Verdana" w:eastAsiaTheme="minorHAnsi" w:hAnsi="Verdana" w:cstheme="minorBidi"/>
        <w:color w:val="0043A5"/>
        <w:sz w:val="16"/>
        <w:szCs w:val="18"/>
      </w:rPr>
    </w:pPr>
    <w:r w:rsidRPr="00080300">
      <w:rPr>
        <w:rFonts w:ascii="Verdana" w:hAnsi="Verdana"/>
        <w:color w:val="0043A5"/>
        <w:sz w:val="16"/>
        <w:szCs w:val="18"/>
      </w:rPr>
      <w:t>Service d’abonnements à des périodiques sur support papier et électronique et à des livres toutes disciplines, niveau enseignement et recherche édités en France et à l’étranger</w:t>
    </w:r>
    <w:r w:rsidDel="00546667">
      <w:rPr>
        <w:rFonts w:ascii="Verdana" w:hAnsi="Verdana"/>
        <w:color w:val="0043A5"/>
        <w:sz w:val="16"/>
        <w:szCs w:val="18"/>
      </w:rPr>
      <w:t xml:space="preserve"> </w:t>
    </w:r>
    <w:r w:rsidRPr="00080300">
      <w:rPr>
        <w:rFonts w:ascii="Verdana" w:eastAsiaTheme="minorHAnsi" w:hAnsi="Verdana" w:cstheme="minorBidi"/>
        <w:color w:val="0043A5"/>
        <w:sz w:val="16"/>
        <w:szCs w:val="18"/>
      </w:rPr>
      <w:tab/>
      <w:t xml:space="preserve">Page </w:t>
    </w:r>
    <w:r w:rsidRPr="00080300">
      <w:rPr>
        <w:rFonts w:ascii="Verdana" w:eastAsiaTheme="minorHAnsi" w:hAnsi="Verdana" w:cstheme="minorBidi"/>
        <w:color w:val="0043A5"/>
        <w:sz w:val="16"/>
        <w:szCs w:val="18"/>
      </w:rPr>
      <w:fldChar w:fldCharType="begin"/>
    </w:r>
    <w:r w:rsidRPr="00080300">
      <w:rPr>
        <w:rFonts w:ascii="Verdana" w:eastAsiaTheme="minorHAnsi" w:hAnsi="Verdana" w:cstheme="minorBidi"/>
        <w:color w:val="0043A5"/>
        <w:sz w:val="16"/>
        <w:szCs w:val="18"/>
      </w:rPr>
      <w:instrText xml:space="preserve"> PAGE </w:instrText>
    </w:r>
    <w:r w:rsidRPr="00080300">
      <w:rPr>
        <w:rFonts w:ascii="Verdana" w:eastAsiaTheme="minorHAnsi" w:hAnsi="Verdana" w:cstheme="minorBidi"/>
        <w:color w:val="0043A5"/>
        <w:sz w:val="16"/>
        <w:szCs w:val="18"/>
      </w:rPr>
      <w:fldChar w:fldCharType="separate"/>
    </w:r>
    <w:r>
      <w:rPr>
        <w:rFonts w:ascii="Verdana" w:hAnsi="Verdana"/>
        <w:color w:val="0043A5"/>
        <w:sz w:val="16"/>
        <w:szCs w:val="18"/>
      </w:rPr>
      <w:t>1</w:t>
    </w:r>
    <w:r w:rsidRPr="00080300">
      <w:rPr>
        <w:rFonts w:ascii="Verdana" w:eastAsiaTheme="minorHAnsi" w:hAnsi="Verdana" w:cstheme="minorBidi"/>
        <w:color w:val="0043A5"/>
        <w:sz w:val="16"/>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07BB" w:rsidRDefault="002E365D">
      <w:r>
        <w:separator/>
      </w:r>
    </w:p>
  </w:footnote>
  <w:footnote w:type="continuationSeparator" w:id="0">
    <w:p w:rsidR="003C07BB" w:rsidRDefault="002E3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2FC" w:rsidRDefault="002E365D">
    <w:pPr>
      <w:pStyle w:val="En-tte"/>
    </w:pPr>
    <w:r>
      <w:rPr>
        <w:noProof/>
      </w:rPr>
      <w:drawing>
        <wp:inline distT="0" distB="0" distL="0" distR="0">
          <wp:extent cx="2121316" cy="43815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1"/>
                  <a:stretch>
                    <a:fillRect/>
                  </a:stretch>
                </pic:blipFill>
                <pic:spPr bwMode="auto">
                  <a:xfrm>
                    <a:off x="0" y="0"/>
                    <a:ext cx="2175365" cy="449314"/>
                  </a:xfrm>
                  <a:prstGeom prst="rect">
                    <a:avLst/>
                  </a:prstGeom>
                </pic:spPr>
              </pic:pic>
            </a:graphicData>
          </a:graphic>
        </wp:inline>
      </w:drawing>
    </w:r>
  </w:p>
  <w:p w:rsidR="009722FC" w:rsidRDefault="009722FC">
    <w:pPr>
      <w:pStyle w:val="En-tte"/>
    </w:pPr>
  </w:p>
  <w:p w:rsidR="009722FC" w:rsidRDefault="009722F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34B48"/>
    <w:multiLevelType w:val="multilevel"/>
    <w:tmpl w:val="040C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408038DB"/>
    <w:multiLevelType w:val="multilevel"/>
    <w:tmpl w:val="E73A1AA6"/>
    <w:lvl w:ilvl="0">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68DD240E"/>
    <w:multiLevelType w:val="multilevel"/>
    <w:tmpl w:val="E37C9F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2FC"/>
    <w:rsid w:val="000010E0"/>
    <w:rsid w:val="0005785B"/>
    <w:rsid w:val="002E365D"/>
    <w:rsid w:val="00321206"/>
    <w:rsid w:val="00363713"/>
    <w:rsid w:val="003C07BB"/>
    <w:rsid w:val="008431FB"/>
    <w:rsid w:val="00873709"/>
    <w:rsid w:val="008C29F9"/>
    <w:rsid w:val="009722FC"/>
    <w:rsid w:val="009E35C1"/>
    <w:rsid w:val="00AD1E1F"/>
    <w:rsid w:val="00DE5AB2"/>
    <w:rsid w:val="00E67AF4"/>
    <w:rsid w:val="00F053E7"/>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55918"/>
  <w15:docId w15:val="{AFEC061E-BB00-4B98-B146-6FAA9657B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22FC"/>
    <w:rPr>
      <w:rFonts w:ascii="Times New Roman" w:eastAsia="Times New Roman" w:hAnsi="Times New Roman"/>
      <w:sz w:val="24"/>
      <w:szCs w:val="24"/>
    </w:rPr>
  </w:style>
  <w:style w:type="paragraph" w:styleId="Titre1">
    <w:name w:val="heading 1"/>
    <w:basedOn w:val="Normal"/>
    <w:next w:val="Normal"/>
    <w:link w:val="Titre1Car"/>
    <w:uiPriority w:val="9"/>
    <w:qFormat/>
    <w:rsid w:val="008431F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link w:val="Titre2Car"/>
    <w:uiPriority w:val="9"/>
    <w:qFormat/>
    <w:rsid w:val="002D5F88"/>
    <w:pPr>
      <w:spacing w:beforeAutospacing="1" w:afterAutospacing="1"/>
      <w:outlineLvl w:val="1"/>
    </w:pPr>
    <w:rPr>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orpsdetexteCar">
    <w:name w:val="Corps de texte Car"/>
    <w:link w:val="Corpsdetexte"/>
    <w:semiHidden/>
    <w:qFormat/>
    <w:rsid w:val="00E422FC"/>
    <w:rPr>
      <w:rFonts w:ascii="Times New Roman" w:eastAsia="Times New Roman" w:hAnsi="Times New Roman" w:cs="Times New Roman"/>
      <w:bCs/>
      <w:i/>
      <w:sz w:val="28"/>
      <w:szCs w:val="28"/>
      <w:lang w:eastAsia="fr-FR"/>
    </w:rPr>
  </w:style>
  <w:style w:type="character" w:customStyle="1" w:styleId="TitreCar">
    <w:name w:val="Titre Car"/>
    <w:link w:val="Titre"/>
    <w:qFormat/>
    <w:rsid w:val="00E422FC"/>
    <w:rPr>
      <w:rFonts w:ascii="Arial" w:eastAsia="Times New Roman" w:hAnsi="Arial" w:cs="Times New Roman"/>
      <w:b/>
      <w:color w:val="0000FF"/>
      <w:sz w:val="38"/>
      <w:szCs w:val="20"/>
      <w:lang w:eastAsia="fr-FR"/>
    </w:rPr>
  </w:style>
  <w:style w:type="character" w:customStyle="1" w:styleId="En-tteCar">
    <w:name w:val="En-tête Car"/>
    <w:link w:val="En-tte"/>
    <w:semiHidden/>
    <w:qFormat/>
    <w:rsid w:val="00E422FC"/>
    <w:rPr>
      <w:rFonts w:ascii="Times New Roman" w:eastAsia="Times New Roman" w:hAnsi="Times New Roman" w:cs="Times New Roman"/>
      <w:sz w:val="24"/>
      <w:szCs w:val="24"/>
      <w:lang w:eastAsia="fr-FR"/>
    </w:rPr>
  </w:style>
  <w:style w:type="character" w:customStyle="1" w:styleId="PieddepageCar">
    <w:name w:val="Pied de page Car"/>
    <w:link w:val="Pieddepage"/>
    <w:uiPriority w:val="99"/>
    <w:qFormat/>
    <w:rsid w:val="00E422FC"/>
    <w:rPr>
      <w:rFonts w:ascii="Times New Roman" w:eastAsia="Times New Roman" w:hAnsi="Times New Roman" w:cs="Times New Roman"/>
      <w:sz w:val="24"/>
      <w:szCs w:val="24"/>
      <w:lang w:eastAsia="fr-FR"/>
    </w:rPr>
  </w:style>
  <w:style w:type="character" w:styleId="Numrodepage">
    <w:name w:val="page number"/>
    <w:basedOn w:val="Policepardfaut"/>
    <w:semiHidden/>
    <w:qFormat/>
    <w:rsid w:val="00E422FC"/>
  </w:style>
  <w:style w:type="character" w:customStyle="1" w:styleId="Corpsdetexte2Car">
    <w:name w:val="Corps de texte 2 Car"/>
    <w:link w:val="Corpsdetexte2"/>
    <w:semiHidden/>
    <w:qFormat/>
    <w:rsid w:val="00E422FC"/>
    <w:rPr>
      <w:rFonts w:ascii="Times New Roman" w:eastAsia="Times New Roman" w:hAnsi="Times New Roman" w:cs="Times New Roman"/>
      <w:i/>
      <w:color w:val="FF00FF"/>
      <w:sz w:val="24"/>
      <w:szCs w:val="24"/>
      <w:lang w:eastAsia="fr-FR"/>
    </w:rPr>
  </w:style>
  <w:style w:type="character" w:customStyle="1" w:styleId="TextedebullesCar">
    <w:name w:val="Texte de bulles Car"/>
    <w:link w:val="Textedebulles"/>
    <w:uiPriority w:val="99"/>
    <w:semiHidden/>
    <w:qFormat/>
    <w:rsid w:val="00E422FC"/>
    <w:rPr>
      <w:rFonts w:ascii="Tahoma" w:eastAsia="Times New Roman" w:hAnsi="Tahoma" w:cs="Tahoma"/>
      <w:sz w:val="16"/>
      <w:szCs w:val="16"/>
      <w:lang w:eastAsia="fr-FR"/>
    </w:rPr>
  </w:style>
  <w:style w:type="character" w:styleId="Marquedecommentaire">
    <w:name w:val="annotation reference"/>
    <w:uiPriority w:val="99"/>
    <w:semiHidden/>
    <w:unhideWhenUsed/>
    <w:qFormat/>
    <w:rsid w:val="002D5F88"/>
    <w:rPr>
      <w:sz w:val="16"/>
      <w:szCs w:val="16"/>
    </w:rPr>
  </w:style>
  <w:style w:type="character" w:customStyle="1" w:styleId="CommentaireCar">
    <w:name w:val="Commentaire Car"/>
    <w:link w:val="Commentaire"/>
    <w:uiPriority w:val="99"/>
    <w:semiHidden/>
    <w:qFormat/>
    <w:rsid w:val="002D5F88"/>
    <w:rPr>
      <w:rFonts w:ascii="Times New Roman" w:eastAsia="Times New Roman" w:hAnsi="Times New Roman"/>
    </w:rPr>
  </w:style>
  <w:style w:type="character" w:customStyle="1" w:styleId="ObjetducommentaireCar">
    <w:name w:val="Objet du commentaire Car"/>
    <w:link w:val="Objetducommentaire"/>
    <w:uiPriority w:val="99"/>
    <w:semiHidden/>
    <w:qFormat/>
    <w:rsid w:val="002D5F88"/>
    <w:rPr>
      <w:rFonts w:ascii="Times New Roman" w:eastAsia="Times New Roman" w:hAnsi="Times New Roman"/>
      <w:b/>
      <w:bCs/>
    </w:rPr>
  </w:style>
  <w:style w:type="character" w:customStyle="1" w:styleId="Titre2Car">
    <w:name w:val="Titre 2 Car"/>
    <w:link w:val="Titre2"/>
    <w:uiPriority w:val="9"/>
    <w:qFormat/>
    <w:rsid w:val="002D5F88"/>
    <w:rPr>
      <w:rFonts w:ascii="Times New Roman" w:eastAsia="Times New Roman" w:hAnsi="Times New Roman"/>
      <w:b/>
      <w:bCs/>
      <w:sz w:val="36"/>
      <w:szCs w:val="36"/>
    </w:rPr>
  </w:style>
  <w:style w:type="paragraph" w:styleId="Titre">
    <w:name w:val="Title"/>
    <w:basedOn w:val="Normal"/>
    <w:next w:val="Corpsdetexte"/>
    <w:link w:val="TitreCar"/>
    <w:qFormat/>
    <w:rsid w:val="00E422FC"/>
    <w:pPr>
      <w:pBdr>
        <w:top w:val="single" w:sz="12" w:space="1" w:color="000000"/>
        <w:left w:val="single" w:sz="12" w:space="1" w:color="000000"/>
        <w:bottom w:val="single" w:sz="12" w:space="1" w:color="000000"/>
        <w:right w:val="single" w:sz="12" w:space="1" w:color="000000"/>
      </w:pBdr>
      <w:jc w:val="center"/>
    </w:pPr>
    <w:rPr>
      <w:rFonts w:ascii="Arial" w:hAnsi="Arial"/>
      <w:b/>
      <w:color w:val="0000FF"/>
      <w:sz w:val="38"/>
      <w:szCs w:val="20"/>
    </w:rPr>
  </w:style>
  <w:style w:type="paragraph" w:styleId="Corpsdetexte">
    <w:name w:val="Body Text"/>
    <w:basedOn w:val="Normal"/>
    <w:link w:val="CorpsdetexteCar"/>
    <w:semiHidden/>
    <w:rsid w:val="00E422FC"/>
    <w:pPr>
      <w:jc w:val="both"/>
    </w:pPr>
    <w:rPr>
      <w:bCs/>
      <w:i/>
      <w:sz w:val="28"/>
      <w:szCs w:val="28"/>
    </w:r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semiHidden/>
    <w:rsid w:val="00E422FC"/>
    <w:pPr>
      <w:tabs>
        <w:tab w:val="center" w:pos="4536"/>
        <w:tab w:val="right" w:pos="9072"/>
      </w:tabs>
    </w:pPr>
  </w:style>
  <w:style w:type="paragraph" w:styleId="Pieddepage">
    <w:name w:val="footer"/>
    <w:basedOn w:val="Normal"/>
    <w:link w:val="PieddepageCar"/>
    <w:uiPriority w:val="99"/>
    <w:rsid w:val="00E422FC"/>
    <w:pPr>
      <w:tabs>
        <w:tab w:val="center" w:pos="4536"/>
        <w:tab w:val="right" w:pos="9072"/>
      </w:tabs>
    </w:pPr>
  </w:style>
  <w:style w:type="paragraph" w:styleId="Corpsdetexte2">
    <w:name w:val="Body Text 2"/>
    <w:basedOn w:val="Normal"/>
    <w:link w:val="Corpsdetexte2Car"/>
    <w:semiHidden/>
    <w:qFormat/>
    <w:rsid w:val="00E422FC"/>
    <w:pPr>
      <w:jc w:val="both"/>
    </w:pPr>
    <w:rPr>
      <w:i/>
      <w:color w:val="FF00FF"/>
    </w:rPr>
  </w:style>
  <w:style w:type="paragraph" w:styleId="Textedebulles">
    <w:name w:val="Balloon Text"/>
    <w:basedOn w:val="Normal"/>
    <w:link w:val="TextedebullesCar"/>
    <w:uiPriority w:val="99"/>
    <w:semiHidden/>
    <w:unhideWhenUsed/>
    <w:qFormat/>
    <w:rsid w:val="00E422FC"/>
    <w:rPr>
      <w:rFonts w:ascii="Tahoma" w:hAnsi="Tahoma" w:cs="Tahoma"/>
      <w:sz w:val="16"/>
      <w:szCs w:val="16"/>
    </w:rPr>
  </w:style>
  <w:style w:type="paragraph" w:styleId="Paragraphedeliste">
    <w:name w:val="List Paragraph"/>
    <w:basedOn w:val="Normal"/>
    <w:uiPriority w:val="34"/>
    <w:qFormat/>
    <w:rsid w:val="00FF15BF"/>
    <w:pPr>
      <w:ind w:left="720"/>
      <w:contextualSpacing/>
    </w:pPr>
  </w:style>
  <w:style w:type="paragraph" w:styleId="Commentaire">
    <w:name w:val="annotation text"/>
    <w:basedOn w:val="Normal"/>
    <w:link w:val="CommentaireCar"/>
    <w:uiPriority w:val="99"/>
    <w:semiHidden/>
    <w:unhideWhenUsed/>
    <w:qFormat/>
    <w:rsid w:val="002D5F88"/>
    <w:rPr>
      <w:sz w:val="20"/>
      <w:szCs w:val="20"/>
    </w:rPr>
  </w:style>
  <w:style w:type="paragraph" w:styleId="Objetducommentaire">
    <w:name w:val="annotation subject"/>
    <w:basedOn w:val="Commentaire"/>
    <w:next w:val="Commentaire"/>
    <w:link w:val="ObjetducommentaireCar"/>
    <w:uiPriority w:val="99"/>
    <w:semiHidden/>
    <w:unhideWhenUsed/>
    <w:qFormat/>
    <w:rsid w:val="002D5F88"/>
    <w:rPr>
      <w:b/>
      <w:bCs/>
    </w:rPr>
  </w:style>
  <w:style w:type="paragraph" w:customStyle="1" w:styleId="Standard">
    <w:name w:val="Standard"/>
    <w:qFormat/>
    <w:rsid w:val="00321206"/>
    <w:pPr>
      <w:autoSpaceDN w:val="0"/>
      <w:spacing w:after="200"/>
      <w:jc w:val="both"/>
      <w:textAlignment w:val="baseline"/>
    </w:pPr>
    <w:rPr>
      <w:rFonts w:ascii="Verdana" w:eastAsia="Cambria" w:hAnsi="Verdana" w:cs="Verdana"/>
      <w:kern w:val="3"/>
      <w:sz w:val="22"/>
      <w:szCs w:val="24"/>
      <w:lang w:eastAsia="zh-CN"/>
    </w:rPr>
  </w:style>
  <w:style w:type="character" w:customStyle="1" w:styleId="Titre1Car">
    <w:name w:val="Titre 1 Car"/>
    <w:basedOn w:val="Policepardfaut"/>
    <w:link w:val="Titre1"/>
    <w:uiPriority w:val="9"/>
    <w:rsid w:val="008431F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D728A-BF20-46DE-8CAE-979E547C5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4</Pages>
  <Words>945</Words>
  <Characters>5199</Characters>
  <Application>Microsoft Office Word</Application>
  <DocSecurity>0</DocSecurity>
  <Lines>43</Lines>
  <Paragraphs>12</Paragraphs>
  <ScaleCrop>false</ScaleCrop>
  <Company>Microsoft</Company>
  <LinksUpToDate>false</LinksUpToDate>
  <CharactersWithSpaces>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veronique prezeau</dc:creator>
  <dc:description/>
  <cp:lastModifiedBy>SEGURA Aline</cp:lastModifiedBy>
  <cp:revision>20</cp:revision>
  <cp:lastPrinted>2016-10-25T07:29:00Z</cp:lastPrinted>
  <dcterms:created xsi:type="dcterms:W3CDTF">2021-03-02T06:38:00Z</dcterms:created>
  <dcterms:modified xsi:type="dcterms:W3CDTF">2025-04-17T09:35:00Z</dcterms:modified>
  <dc:language>fr-FR</dc:language>
</cp:coreProperties>
</file>