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903C6D6" w:rsidR="00F4562A" w:rsidRPr="00891B43" w:rsidRDefault="00534535" w:rsidP="00891B43">
      <w:pPr>
        <w:spacing w:before="120" w:line="240" w:lineRule="auto"/>
        <w:jc w:val="both"/>
        <w:rPr>
          <w:rFonts w:asciiTheme="minorHAnsi" w:hAnsiTheme="minorHAnsi" w:cs="Arial"/>
          <w:sz w:val="22"/>
        </w:rPr>
      </w:pPr>
      <w:r w:rsidRPr="001B2262">
        <w:rPr>
          <w:rFonts w:asciiTheme="minorHAnsi" w:hAnsiTheme="minorHAnsi" w:cstheme="minorHAnsi"/>
          <w:sz w:val="22"/>
          <w:szCs w:val="22"/>
        </w:rPr>
        <w:t>Fournitures</w:t>
      </w:r>
      <w:r>
        <w:rPr>
          <w:rFonts w:asciiTheme="minorHAnsi" w:hAnsiTheme="minorHAnsi" w:cstheme="minorHAnsi"/>
          <w:sz w:val="22"/>
          <w:szCs w:val="22"/>
        </w:rPr>
        <w:t>,</w:t>
      </w:r>
      <w:r w:rsidRPr="001B2262">
        <w:rPr>
          <w:rFonts w:asciiTheme="minorHAnsi" w:hAnsiTheme="minorHAnsi" w:cstheme="minorHAnsi"/>
          <w:sz w:val="22"/>
          <w:szCs w:val="22"/>
        </w:rPr>
        <w:t xml:space="preserve"> </w:t>
      </w:r>
      <w:r>
        <w:rPr>
          <w:rFonts w:asciiTheme="minorHAnsi" w:hAnsiTheme="minorHAnsi" w:cstheme="minorHAnsi"/>
          <w:sz w:val="22"/>
          <w:szCs w:val="22"/>
        </w:rPr>
        <w:t>livraisons et installations de matériels, mobiliers et équipements pour les structures sanitaires et périscolaires du projet DSSR dans la région de Boké</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5D27B64" w:rsidR="00C43FF9" w:rsidRPr="00A96A9B" w:rsidRDefault="003930DF" w:rsidP="00A96A9B">
      <w:pPr>
        <w:pStyle w:val="Titre2"/>
        <w:spacing w:before="120" w:after="120" w:line="240" w:lineRule="auto"/>
        <w:jc w:val="both"/>
        <w:rPr>
          <w:rFonts w:asciiTheme="minorHAnsi" w:hAnsiTheme="minorHAnsi"/>
          <w:b w:val="0"/>
          <w:bCs w:val="0"/>
          <w:sz w:val="22"/>
        </w:rPr>
      </w:pPr>
      <w:r w:rsidRPr="00A96A9B">
        <w:rPr>
          <w:rFonts w:asciiTheme="minorHAnsi" w:hAnsiTheme="minorHAnsi"/>
          <w:b w:val="0"/>
          <w:bCs w:val="0"/>
          <w:sz w:val="22"/>
        </w:rPr>
        <w:t xml:space="preserve">La capacité économique et financière du candidat sera appréciée sur la base des renseignements </w:t>
      </w:r>
      <w:r w:rsidR="00A96A9B" w:rsidRPr="00A96A9B">
        <w:rPr>
          <w:rFonts w:asciiTheme="minorHAnsi" w:hAnsiTheme="minorHAnsi"/>
          <w:b w:val="0"/>
          <w:bCs w:val="0"/>
          <w:sz w:val="22"/>
        </w:rPr>
        <w:t>précisés à l’article 03 du Règlement de la Consultation, paragraphe </w:t>
      </w:r>
      <w:bookmarkStart w:id="0" w:name="_Toc167699214"/>
      <w:r w:rsidR="00A96A9B">
        <w:rPr>
          <w:rFonts w:asciiTheme="minorHAnsi" w:hAnsiTheme="minorHAnsi"/>
          <w:b w:val="0"/>
          <w:bCs w:val="0"/>
          <w:sz w:val="22"/>
        </w:rPr>
        <w:t>« </w:t>
      </w:r>
      <w:r w:rsidR="00A96A9B" w:rsidRPr="00A96A9B">
        <w:rPr>
          <w:rFonts w:asciiTheme="minorHAnsi" w:hAnsiTheme="minorHAnsi"/>
          <w:b w:val="0"/>
          <w:bCs w:val="0"/>
          <w:i/>
          <w:iCs/>
          <w:sz w:val="22"/>
        </w:rPr>
        <w:t>Niveaux minimaux requis en termes de capacités économiques, techniques et professionnelles</w:t>
      </w:r>
      <w:bookmarkEnd w:id="0"/>
      <w:r w:rsidR="00A96A9B" w:rsidRPr="00A96A9B">
        <w:rPr>
          <w:rFonts w:asciiTheme="minorHAnsi" w:hAnsiTheme="minorHAnsi"/>
          <w:b w:val="0"/>
          <w:bCs w:val="0"/>
          <w:i/>
          <w:iCs/>
          <w:sz w:val="22"/>
        </w:rPr>
        <w:t> </w:t>
      </w:r>
      <w:r w:rsidR="00A96A9B">
        <w:rPr>
          <w:rFonts w:asciiTheme="minorHAnsi" w:hAnsiTheme="minorHAnsi"/>
          <w:b w:val="0"/>
          <w:bCs w:val="0"/>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010D220"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A96A9B" w:rsidRPr="00A96A9B">
        <w:rPr>
          <w:rFonts w:asciiTheme="minorHAnsi" w:hAnsiTheme="minorHAnsi" w:cs="Arial"/>
          <w:sz w:val="22"/>
        </w:rPr>
        <w:t>précisés à l’article 03 du Règlement de la Consultation, paragraphe « </w:t>
      </w:r>
      <w:r w:rsidR="00A96A9B" w:rsidRPr="00A96A9B">
        <w:rPr>
          <w:rFonts w:asciiTheme="minorHAnsi" w:hAnsiTheme="minorHAnsi" w:cs="Arial"/>
          <w:i/>
          <w:iCs/>
          <w:sz w:val="22"/>
        </w:rPr>
        <w:t>capacité technique et professionnelle »</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DB942CE"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34535" w:rsidRPr="001B2262">
        <w:rPr>
          <w:rFonts w:asciiTheme="minorHAnsi" w:hAnsiTheme="minorHAnsi" w:cstheme="minorHAnsi"/>
          <w:sz w:val="22"/>
          <w:szCs w:val="22"/>
        </w:rPr>
        <w:t>Fournitures</w:t>
      </w:r>
      <w:r w:rsidR="00534535">
        <w:rPr>
          <w:rFonts w:asciiTheme="minorHAnsi" w:hAnsiTheme="minorHAnsi" w:cstheme="minorHAnsi"/>
          <w:sz w:val="22"/>
          <w:szCs w:val="22"/>
        </w:rPr>
        <w:t>,</w:t>
      </w:r>
      <w:r w:rsidR="00534535" w:rsidRPr="001B2262">
        <w:rPr>
          <w:rFonts w:asciiTheme="minorHAnsi" w:hAnsiTheme="minorHAnsi" w:cstheme="minorHAnsi"/>
          <w:sz w:val="22"/>
          <w:szCs w:val="22"/>
        </w:rPr>
        <w:t xml:space="preserve"> </w:t>
      </w:r>
      <w:r w:rsidR="00534535">
        <w:rPr>
          <w:rFonts w:asciiTheme="minorHAnsi" w:hAnsiTheme="minorHAnsi" w:cstheme="minorHAnsi"/>
          <w:sz w:val="22"/>
          <w:szCs w:val="22"/>
        </w:rPr>
        <w:t>livraisons et installations de matériels, mobiliers et équipements pour les structures sanitaires et périscolaires du projet DSSR dans la région de Boké</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w:t>
      </w:r>
      <w:r w:rsidRPr="00F42D93">
        <w:rPr>
          <w:rFonts w:ascii="Calibri" w:hAnsi="Calibri"/>
          <w:noProof/>
          <w:sz w:val="22"/>
          <w:szCs w:val="22"/>
        </w:rPr>
        <w:lastRenderedPageBreak/>
        <w:t>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proofErr w:type="spellStart"/>
      <w:r w:rsidR="002301CE" w:rsidRPr="001C3795">
        <w:rPr>
          <w:rFonts w:ascii="Calibri" w:hAnsi="Calibri"/>
          <w:sz w:val="22"/>
          <w:szCs w:val="22"/>
        </w:rPr>
        <w:t>Etat</w:t>
      </w:r>
      <w:proofErr w:type="spellEnd"/>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66A48177"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w:t>
      </w:r>
      <w:r w:rsidR="00EC6579" w:rsidRPr="00D847FB">
        <w:rPr>
          <w:rFonts w:ascii="Calibri" w:hAnsi="Calibri" w:cs="Calibri"/>
          <w:sz w:val="22"/>
          <w:szCs w:val="22"/>
        </w:rPr>
        <w:t>État</w:t>
      </w:r>
      <w:r w:rsidR="00B96636" w:rsidRPr="00D847FB">
        <w:rPr>
          <w:rFonts w:ascii="Calibri" w:hAnsi="Calibri" w:cs="Calibri"/>
          <w:sz w:val="22"/>
          <w:szCs w:val="22"/>
        </w:rPr>
        <w:t xml:space="preserve">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4D542E" w:rsidRPr="004D542E">
        <w:rPr>
          <w:rFonts w:asciiTheme="minorHAnsi" w:hAnsiTheme="minorHAnsi"/>
          <w:noProof/>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7.65pt;height:670.1pt;mso-width-percent:0;mso-height-percent:0;mso-width-percent:0;mso-height-percent:0" o:ole="">
            <v:imagedata r:id="rId22" o:title=""/>
          </v:shape>
          <o:OLEObject Type="Embed" ProgID="Excel.Sheet.12" ShapeID="_x0000_i1025" DrawAspect="Content" ObjectID="_1805779885"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F2374D" w14:textId="77777777" w:rsidR="004D542E" w:rsidRDefault="004D542E">
      <w:r>
        <w:separator/>
      </w:r>
    </w:p>
  </w:endnote>
  <w:endnote w:type="continuationSeparator" w:id="0">
    <w:p w14:paraId="10DE761E" w14:textId="77777777" w:rsidR="004D542E" w:rsidRDefault="004D54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00500000000000000"/>
    <w:charset w:val="00"/>
    <w:family w:val="auto"/>
    <w:pitch w:val="variable"/>
    <w:sig w:usb0="E00002FF" w:usb1="5000205A"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072B3" w14:textId="77777777" w:rsidR="004D542E" w:rsidRDefault="004D542E">
      <w:r>
        <w:separator/>
      </w:r>
    </w:p>
  </w:footnote>
  <w:footnote w:type="continuationSeparator" w:id="0">
    <w:p w14:paraId="56B402AD" w14:textId="77777777" w:rsidR="004D542E" w:rsidRDefault="004D542E">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644A89ED" w:rsidR="00637083" w:rsidRPr="00EC6579" w:rsidRDefault="00637083">
      <w:pPr>
        <w:pStyle w:val="Notedebasdepage"/>
        <w:rPr>
          <w:rFonts w:asciiTheme="minorHAnsi" w:hAnsiTheme="minorHAnsi" w:cstheme="minorHAnsi"/>
          <w:sz w:val="18"/>
          <w:szCs w:val="18"/>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Un conflit d'intérêts peut notamment résulter d'intérêts économiques, d'affinités politiques ou nationales, de liens familiaux</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ou sentimentaux, ou de tout autre type de relations ou d'intérêts communs.</w:t>
      </w:r>
    </w:p>
  </w:footnote>
  <w:footnote w:id="4">
    <w:p w14:paraId="0C137A1A" w14:textId="29C0DC22" w:rsidR="00BB0798" w:rsidRDefault="00BB0798" w:rsidP="00BB0798">
      <w:pPr>
        <w:pStyle w:val="Notedebasdepage"/>
        <w:spacing w:before="120"/>
        <w:ind w:left="284" w:hanging="284"/>
        <w:rPr>
          <w:sz w:val="16"/>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 xml:space="preserve"> Si le soumissionnaire est une personne morale et que le droit national du pays dans lequel il est établi ne prévoit pas la</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19DD00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336659EB"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9297604">
    <w:abstractNumId w:val="0"/>
  </w:num>
  <w:num w:numId="2" w16cid:durableId="362949411">
    <w:abstractNumId w:val="10"/>
  </w:num>
  <w:num w:numId="3" w16cid:durableId="1001814403">
    <w:abstractNumId w:val="30"/>
  </w:num>
  <w:num w:numId="4" w16cid:durableId="2096825770">
    <w:abstractNumId w:val="6"/>
  </w:num>
  <w:num w:numId="5" w16cid:durableId="1219240282">
    <w:abstractNumId w:val="25"/>
  </w:num>
  <w:num w:numId="6" w16cid:durableId="1151211387">
    <w:abstractNumId w:val="11"/>
  </w:num>
  <w:num w:numId="7" w16cid:durableId="1567297179">
    <w:abstractNumId w:val="21"/>
  </w:num>
  <w:num w:numId="8" w16cid:durableId="1002704654">
    <w:abstractNumId w:val="31"/>
  </w:num>
  <w:num w:numId="9" w16cid:durableId="1229076952">
    <w:abstractNumId w:val="16"/>
  </w:num>
  <w:num w:numId="10" w16cid:durableId="325597081">
    <w:abstractNumId w:val="34"/>
  </w:num>
  <w:num w:numId="11" w16cid:durableId="499974796">
    <w:abstractNumId w:val="3"/>
  </w:num>
  <w:num w:numId="12" w16cid:durableId="1903909769">
    <w:abstractNumId w:val="15"/>
  </w:num>
  <w:num w:numId="13" w16cid:durableId="1506359874">
    <w:abstractNumId w:val="33"/>
  </w:num>
  <w:num w:numId="14" w16cid:durableId="1542936944">
    <w:abstractNumId w:val="29"/>
  </w:num>
  <w:num w:numId="15" w16cid:durableId="548302649">
    <w:abstractNumId w:val="38"/>
  </w:num>
  <w:num w:numId="16" w16cid:durableId="1773014491">
    <w:abstractNumId w:val="4"/>
  </w:num>
  <w:num w:numId="17" w16cid:durableId="280112876">
    <w:abstractNumId w:val="27"/>
  </w:num>
  <w:num w:numId="18" w16cid:durableId="1115518714">
    <w:abstractNumId w:val="23"/>
  </w:num>
  <w:num w:numId="19" w16cid:durableId="1322805529">
    <w:abstractNumId w:val="17"/>
  </w:num>
  <w:num w:numId="20" w16cid:durableId="1198588069">
    <w:abstractNumId w:val="9"/>
  </w:num>
  <w:num w:numId="21" w16cid:durableId="648944289">
    <w:abstractNumId w:val="7"/>
  </w:num>
  <w:num w:numId="22" w16cid:durableId="1797793105">
    <w:abstractNumId w:val="41"/>
  </w:num>
  <w:num w:numId="23" w16cid:durableId="41486855">
    <w:abstractNumId w:val="1"/>
  </w:num>
  <w:num w:numId="24" w16cid:durableId="1826624117">
    <w:abstractNumId w:val="18"/>
  </w:num>
  <w:num w:numId="25" w16cid:durableId="1804686704">
    <w:abstractNumId w:val="39"/>
  </w:num>
  <w:num w:numId="26" w16cid:durableId="1074744832">
    <w:abstractNumId w:val="19"/>
  </w:num>
  <w:num w:numId="27" w16cid:durableId="1911379063">
    <w:abstractNumId w:val="44"/>
  </w:num>
  <w:num w:numId="28" w16cid:durableId="2094471361">
    <w:abstractNumId w:val="36"/>
  </w:num>
  <w:num w:numId="29" w16cid:durableId="1202477097">
    <w:abstractNumId w:val="40"/>
  </w:num>
  <w:num w:numId="30" w16cid:durableId="733624086">
    <w:abstractNumId w:val="13"/>
  </w:num>
  <w:num w:numId="31" w16cid:durableId="1590695473">
    <w:abstractNumId w:val="28"/>
  </w:num>
  <w:num w:numId="32" w16cid:durableId="285627196">
    <w:abstractNumId w:val="32"/>
  </w:num>
  <w:num w:numId="33" w16cid:durableId="1629045751">
    <w:abstractNumId w:val="37"/>
  </w:num>
  <w:num w:numId="34" w16cid:durableId="705567337">
    <w:abstractNumId w:val="35"/>
  </w:num>
  <w:num w:numId="35" w16cid:durableId="132597339">
    <w:abstractNumId w:val="14"/>
  </w:num>
  <w:num w:numId="36" w16cid:durableId="1595817506">
    <w:abstractNumId w:val="43"/>
  </w:num>
  <w:num w:numId="37" w16cid:durableId="580335462">
    <w:abstractNumId w:val="22"/>
  </w:num>
  <w:num w:numId="38" w16cid:durableId="587269208">
    <w:abstractNumId w:val="24"/>
  </w:num>
  <w:num w:numId="39" w16cid:durableId="926309682">
    <w:abstractNumId w:val="20"/>
  </w:num>
  <w:num w:numId="40" w16cid:durableId="1687243808">
    <w:abstractNumId w:val="5"/>
  </w:num>
  <w:num w:numId="41" w16cid:durableId="699627220">
    <w:abstractNumId w:val="26"/>
  </w:num>
  <w:num w:numId="42" w16cid:durableId="636764222">
    <w:abstractNumId w:val="39"/>
  </w:num>
  <w:num w:numId="43" w16cid:durableId="821508692">
    <w:abstractNumId w:val="32"/>
  </w:num>
  <w:num w:numId="44" w16cid:durableId="1466702933">
    <w:abstractNumId w:val="22"/>
    <w:lvlOverride w:ilvl="0">
      <w:startOverride w:val="1"/>
    </w:lvlOverride>
    <w:lvlOverride w:ilvl="1"/>
    <w:lvlOverride w:ilvl="2"/>
    <w:lvlOverride w:ilvl="3"/>
    <w:lvlOverride w:ilvl="4"/>
    <w:lvlOverride w:ilvl="5"/>
    <w:lvlOverride w:ilvl="6"/>
    <w:lvlOverride w:ilvl="7"/>
    <w:lvlOverride w:ilvl="8"/>
  </w:num>
  <w:num w:numId="45" w16cid:durableId="1412195972">
    <w:abstractNumId w:val="42"/>
    <w:lvlOverride w:ilvl="0">
      <w:startOverride w:val="1"/>
    </w:lvlOverride>
    <w:lvlOverride w:ilvl="1"/>
    <w:lvlOverride w:ilvl="2"/>
    <w:lvlOverride w:ilvl="3"/>
    <w:lvlOverride w:ilvl="4"/>
    <w:lvlOverride w:ilvl="5"/>
    <w:lvlOverride w:ilvl="6"/>
    <w:lvlOverride w:ilvl="7"/>
    <w:lvlOverride w:ilvl="8"/>
  </w:num>
  <w:num w:numId="46" w16cid:durableId="1109931339">
    <w:abstractNumId w:val="8"/>
    <w:lvlOverride w:ilvl="0">
      <w:startOverride w:val="1"/>
    </w:lvlOverride>
    <w:lvlOverride w:ilvl="1"/>
    <w:lvlOverride w:ilvl="2"/>
    <w:lvlOverride w:ilvl="3"/>
    <w:lvlOverride w:ilvl="4"/>
    <w:lvlOverride w:ilvl="5"/>
    <w:lvlOverride w:ilvl="6"/>
    <w:lvlOverride w:ilvl="7"/>
    <w:lvlOverride w:ilvl="8"/>
  </w:num>
  <w:num w:numId="47" w16cid:durableId="495460489">
    <w:abstractNumId w:val="24"/>
  </w:num>
  <w:num w:numId="48" w16cid:durableId="357583302">
    <w:abstractNumId w:val="8"/>
  </w:num>
  <w:num w:numId="49" w16cid:durableId="1954093701">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5217"/>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57DA"/>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D542E"/>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4535"/>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6D2"/>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28BE"/>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637B"/>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6A9B"/>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303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3BDB"/>
    <w:rsid w:val="00BF4323"/>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6E38"/>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C6579"/>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ADF"/>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C:\Documents and Settings\paberthezene-adc\Bureau\Modèle ADETEF\Rapport_1.dot</Template>
  <TotalTime>28</TotalTime>
  <Pages>6</Pages>
  <Words>1576</Words>
  <Characters>8673</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10229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Henri Castay</cp:lastModifiedBy>
  <cp:revision>7</cp:revision>
  <cp:lastPrinted>2016-03-24T23:23:00Z</cp:lastPrinted>
  <dcterms:created xsi:type="dcterms:W3CDTF">2023-02-01T08:32:00Z</dcterms:created>
  <dcterms:modified xsi:type="dcterms:W3CDTF">2025-04-10T08:45:00Z</dcterms:modified>
</cp:coreProperties>
</file>