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71FED" w14:textId="51BE2A71" w:rsidR="009A2F72" w:rsidRPr="00AC3A48" w:rsidRDefault="00AC3A48" w:rsidP="00AC3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8"/>
          <w:szCs w:val="28"/>
        </w:rPr>
      </w:pPr>
      <w:r w:rsidRPr="00AC3A48">
        <w:rPr>
          <w:rFonts w:ascii="Arial" w:hAnsi="Arial" w:cs="Arial"/>
          <w:b/>
          <w:sz w:val="28"/>
          <w:szCs w:val="28"/>
        </w:rPr>
        <w:t>CADRE DE REPONSES TECHNIQUES – LOT N° 1</w:t>
      </w:r>
      <w:r w:rsidR="00755701">
        <w:rPr>
          <w:rFonts w:ascii="Arial" w:hAnsi="Arial" w:cs="Arial"/>
          <w:b/>
          <w:sz w:val="28"/>
          <w:szCs w:val="28"/>
        </w:rPr>
        <w:t xml:space="preserve"> – </w:t>
      </w:r>
      <w:r w:rsidR="00755701">
        <w:rPr>
          <w:rFonts w:ascii="Arial" w:hAnsi="Arial" w:cs="Arial"/>
          <w:b/>
          <w:sz w:val="28"/>
          <w:szCs w:val="28"/>
        </w:rPr>
        <w:br/>
      </w:r>
      <w:r w:rsidR="00171BBE" w:rsidRPr="00171BBE">
        <w:rPr>
          <w:rFonts w:ascii="Arial" w:hAnsi="Arial" w:cs="Arial"/>
          <w:b/>
          <w:sz w:val="28"/>
          <w:szCs w:val="28"/>
        </w:rPr>
        <w:t>Prestations de gardiennage ponctuel</w:t>
      </w:r>
    </w:p>
    <w:p w14:paraId="12C0AA75" w14:textId="77777777" w:rsidR="00AC3A48" w:rsidRDefault="00AC3A48" w:rsidP="00AC3A48">
      <w:pPr>
        <w:jc w:val="center"/>
        <w:rPr>
          <w:rFonts w:ascii="Arial" w:hAnsi="Arial" w:cs="Arial"/>
        </w:rPr>
      </w:pP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3114"/>
        <w:gridCol w:w="1276"/>
        <w:gridCol w:w="7229"/>
        <w:gridCol w:w="2410"/>
      </w:tblGrid>
      <w:tr w:rsidR="00B844B4" w14:paraId="6DBC644F" w14:textId="77777777" w:rsidTr="002E2382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0457F870" w14:textId="77777777" w:rsidR="00B844B4" w:rsidRPr="00B76220" w:rsidRDefault="00B844B4" w:rsidP="00B7622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Elément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DE2A16D" w14:textId="77777777" w:rsidR="00B844B4" w:rsidRDefault="00B844B4" w:rsidP="00B7622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Article référent du CCTP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3A57AA0A" w14:textId="6B66E5E9" w:rsidR="00B844B4" w:rsidRPr="00B76220" w:rsidRDefault="00B844B4" w:rsidP="00B7622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Réponse du </w:t>
            </w:r>
            <w:r w:rsidR="002E2382">
              <w:rPr>
                <w:rFonts w:ascii="Arial" w:hAnsi="Arial" w:cs="Arial"/>
                <w:b/>
              </w:rPr>
              <w:t>soumissionnaire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0231A7F" w14:textId="48F4284E" w:rsidR="00B844B4" w:rsidRPr="00B76220" w:rsidRDefault="002E2382" w:rsidP="00B7622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Renvoi éventuel à une ou des pages d’un autre document</w:t>
            </w:r>
          </w:p>
        </w:tc>
      </w:tr>
      <w:tr w:rsidR="00B844B4" w14:paraId="74939FB8" w14:textId="77777777" w:rsidTr="002E2382">
        <w:tc>
          <w:tcPr>
            <w:tcW w:w="3114" w:type="dxa"/>
            <w:vAlign w:val="center"/>
          </w:tcPr>
          <w:p w14:paraId="5A807BC2" w14:textId="17BEA12D" w:rsidR="00B844B4" w:rsidRDefault="002E2382" w:rsidP="007370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B93C35">
              <w:rPr>
                <w:rFonts w:ascii="Arial" w:hAnsi="Arial" w:cs="Arial"/>
              </w:rPr>
              <w:t xml:space="preserve">rganisation </w:t>
            </w:r>
            <w:r>
              <w:rPr>
                <w:rFonts w:ascii="Arial" w:hAnsi="Arial" w:cs="Arial"/>
              </w:rPr>
              <w:t>mise</w:t>
            </w:r>
            <w:r w:rsidR="00B93C35">
              <w:rPr>
                <w:rFonts w:ascii="Arial" w:hAnsi="Arial" w:cs="Arial"/>
              </w:rPr>
              <w:t xml:space="preserve"> en place pour assurer la continuité des prestations (planification</w:t>
            </w:r>
            <w:r w:rsidR="00640384">
              <w:rPr>
                <w:rFonts w:ascii="Arial" w:hAnsi="Arial" w:cs="Arial"/>
              </w:rPr>
              <w:t xml:space="preserve"> des agents pour les retards et l’organisation</w:t>
            </w:r>
            <w:r w:rsidR="00B93C35">
              <w:rPr>
                <w:rFonts w:ascii="Arial" w:hAnsi="Arial" w:cs="Arial"/>
              </w:rPr>
              <w:t xml:space="preserve">, </w:t>
            </w:r>
            <w:r w:rsidR="00640384">
              <w:rPr>
                <w:rFonts w:ascii="Arial" w:hAnsi="Arial" w:cs="Arial"/>
              </w:rPr>
              <w:t xml:space="preserve">suivi des </w:t>
            </w:r>
            <w:r w:rsidR="00B93C35">
              <w:rPr>
                <w:rFonts w:ascii="Arial" w:hAnsi="Arial" w:cs="Arial"/>
              </w:rPr>
              <w:t>contrôles inopinées)</w:t>
            </w:r>
          </w:p>
        </w:tc>
        <w:tc>
          <w:tcPr>
            <w:tcW w:w="1276" w:type="dxa"/>
            <w:vAlign w:val="center"/>
          </w:tcPr>
          <w:p w14:paraId="0E18BA30" w14:textId="2D6AF4D2" w:rsidR="00B844B4" w:rsidRPr="006D7F76" w:rsidRDefault="00B93C35" w:rsidP="00B84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Sans objet</w:t>
            </w:r>
          </w:p>
        </w:tc>
        <w:tc>
          <w:tcPr>
            <w:tcW w:w="7229" w:type="dxa"/>
            <w:vAlign w:val="center"/>
          </w:tcPr>
          <w:p w14:paraId="65AB8ED0" w14:textId="77777777" w:rsidR="00B844B4" w:rsidRDefault="00B844B4" w:rsidP="007370E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0192B76E" w14:textId="77777777" w:rsidR="00B844B4" w:rsidRDefault="00B844B4" w:rsidP="007370E5">
            <w:pPr>
              <w:jc w:val="center"/>
              <w:rPr>
                <w:rFonts w:ascii="Arial" w:hAnsi="Arial" w:cs="Arial"/>
              </w:rPr>
            </w:pPr>
          </w:p>
        </w:tc>
      </w:tr>
      <w:tr w:rsidR="00B844B4" w14:paraId="0BCEA317" w14:textId="77777777" w:rsidTr="002E2382">
        <w:tc>
          <w:tcPr>
            <w:tcW w:w="3114" w:type="dxa"/>
            <w:vAlign w:val="center"/>
          </w:tcPr>
          <w:p w14:paraId="5EA3CEBF" w14:textId="30F70781" w:rsidR="00B844B4" w:rsidRDefault="00B844B4" w:rsidP="0059538A">
            <w:pPr>
              <w:rPr>
                <w:rFonts w:ascii="Arial" w:hAnsi="Arial" w:cs="Arial"/>
              </w:rPr>
            </w:pPr>
            <w:r w:rsidRPr="00391228">
              <w:rPr>
                <w:rFonts w:ascii="Arial" w:hAnsi="Arial" w:cs="Arial"/>
              </w:rPr>
              <w:t>Temps maximal pour remplacer, à compter de l’appel de l’EFS-IDF informant le titulaire de la constatation, un agent en retard, un agent absent ou un agent se retrouvant malade en cours de prestation</w:t>
            </w:r>
          </w:p>
        </w:tc>
        <w:tc>
          <w:tcPr>
            <w:tcW w:w="1276" w:type="dxa"/>
            <w:vAlign w:val="center"/>
          </w:tcPr>
          <w:p w14:paraId="4D3F536C" w14:textId="5980D859" w:rsidR="00B844B4" w:rsidRPr="006D7F76" w:rsidRDefault="006D7F76" w:rsidP="00B844B4">
            <w:pPr>
              <w:jc w:val="center"/>
              <w:rPr>
                <w:rFonts w:ascii="Arial" w:hAnsi="Arial" w:cs="Arial"/>
              </w:rPr>
            </w:pPr>
            <w:r w:rsidRPr="006D7F76">
              <w:rPr>
                <w:rFonts w:ascii="Arial" w:hAnsi="Arial" w:cs="Arial"/>
              </w:rPr>
              <w:t>7.1.1.</w:t>
            </w:r>
            <w:r w:rsidR="008B3259">
              <w:rPr>
                <w:rFonts w:ascii="Arial" w:hAnsi="Arial" w:cs="Arial"/>
              </w:rPr>
              <w:t>1</w:t>
            </w:r>
          </w:p>
        </w:tc>
        <w:tc>
          <w:tcPr>
            <w:tcW w:w="7229" w:type="dxa"/>
            <w:vAlign w:val="center"/>
          </w:tcPr>
          <w:p w14:paraId="11702E81" w14:textId="77777777" w:rsidR="00B844B4" w:rsidRDefault="00B844B4" w:rsidP="007370E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17B4BD4B" w14:textId="77777777" w:rsidR="00B844B4" w:rsidRDefault="00B844B4" w:rsidP="007370E5">
            <w:pPr>
              <w:jc w:val="center"/>
              <w:rPr>
                <w:rFonts w:ascii="Arial" w:hAnsi="Arial" w:cs="Arial"/>
              </w:rPr>
            </w:pPr>
          </w:p>
        </w:tc>
      </w:tr>
      <w:tr w:rsidR="00B844B4" w14:paraId="377A4FF8" w14:textId="77777777" w:rsidTr="002E2382">
        <w:tc>
          <w:tcPr>
            <w:tcW w:w="3114" w:type="dxa"/>
            <w:vAlign w:val="center"/>
          </w:tcPr>
          <w:p w14:paraId="750CED8E" w14:textId="0FE7A8C6" w:rsidR="00B844B4" w:rsidRDefault="00B844B4" w:rsidP="005953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le cadre de la protection du travailleur isolé, existence ou non d’a</w:t>
            </w:r>
            <w:r w:rsidRPr="00E8242B">
              <w:rPr>
                <w:rFonts w:ascii="Arial" w:hAnsi="Arial" w:cs="Arial"/>
              </w:rPr>
              <w:t>ppels périodiques ou irréguliers par le centre de surveillance avec acquittement par appui sur le bouton ou par réponse parlée</w:t>
            </w:r>
          </w:p>
        </w:tc>
        <w:tc>
          <w:tcPr>
            <w:tcW w:w="1276" w:type="dxa"/>
            <w:vAlign w:val="center"/>
          </w:tcPr>
          <w:p w14:paraId="0C0266DC" w14:textId="77777777" w:rsidR="00B844B4" w:rsidRPr="00B844B4" w:rsidRDefault="00327F47" w:rsidP="00B844B4">
            <w:pPr>
              <w:jc w:val="center"/>
              <w:rPr>
                <w:rFonts w:ascii="Arial" w:hAnsi="Arial" w:cs="Arial"/>
                <w:highlight w:val="yellow"/>
              </w:rPr>
            </w:pPr>
            <w:r w:rsidRPr="00327F47">
              <w:rPr>
                <w:rFonts w:ascii="Arial" w:hAnsi="Arial" w:cs="Arial"/>
              </w:rPr>
              <w:t>6.4</w:t>
            </w:r>
          </w:p>
        </w:tc>
        <w:tc>
          <w:tcPr>
            <w:tcW w:w="7229" w:type="dxa"/>
            <w:vAlign w:val="center"/>
          </w:tcPr>
          <w:p w14:paraId="5330CC94" w14:textId="77777777" w:rsidR="00B844B4" w:rsidRDefault="00B844B4" w:rsidP="007370E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12252E9F" w14:textId="77777777" w:rsidR="00B844B4" w:rsidRDefault="00B844B4" w:rsidP="007370E5">
            <w:pPr>
              <w:jc w:val="center"/>
              <w:rPr>
                <w:rFonts w:ascii="Arial" w:hAnsi="Arial" w:cs="Arial"/>
              </w:rPr>
            </w:pPr>
          </w:p>
        </w:tc>
      </w:tr>
      <w:tr w:rsidR="00B844B4" w14:paraId="3EF24F14" w14:textId="77777777" w:rsidTr="002E2382">
        <w:tc>
          <w:tcPr>
            <w:tcW w:w="3114" w:type="dxa"/>
            <w:vAlign w:val="center"/>
          </w:tcPr>
          <w:p w14:paraId="7935687B" w14:textId="45425D4A" w:rsidR="00B844B4" w:rsidRDefault="00B844B4" w:rsidP="00E8242B">
            <w:pPr>
              <w:rPr>
                <w:rFonts w:ascii="Arial" w:hAnsi="Arial" w:cs="Arial"/>
              </w:rPr>
            </w:pPr>
            <w:r w:rsidRPr="00E8242B">
              <w:rPr>
                <w:rFonts w:ascii="Arial" w:hAnsi="Arial" w:cs="Arial"/>
              </w:rPr>
              <w:t xml:space="preserve">Utilisation </w:t>
            </w:r>
            <w:r>
              <w:rPr>
                <w:rFonts w:ascii="Arial" w:hAnsi="Arial" w:cs="Arial"/>
              </w:rPr>
              <w:t xml:space="preserve">ou non </w:t>
            </w:r>
            <w:r w:rsidRPr="00E8242B">
              <w:rPr>
                <w:rFonts w:ascii="Arial" w:hAnsi="Arial" w:cs="Arial"/>
              </w:rPr>
              <w:t xml:space="preserve">d'une solution automatique DATI - PTI </w:t>
            </w:r>
            <w:r>
              <w:rPr>
                <w:rFonts w:ascii="Arial" w:hAnsi="Arial" w:cs="Arial"/>
              </w:rPr>
              <w:t>(d</w:t>
            </w:r>
            <w:r w:rsidRPr="00E8242B">
              <w:rPr>
                <w:rFonts w:ascii="Arial" w:hAnsi="Arial" w:cs="Arial"/>
              </w:rPr>
              <w:t>ispositif d'a</w:t>
            </w:r>
            <w:r>
              <w:rPr>
                <w:rFonts w:ascii="Arial" w:hAnsi="Arial" w:cs="Arial"/>
              </w:rPr>
              <w:t>lerte pour travailleur isolé - p</w:t>
            </w:r>
            <w:r w:rsidRPr="00E8242B">
              <w:rPr>
                <w:rFonts w:ascii="Arial" w:hAnsi="Arial" w:cs="Arial"/>
              </w:rPr>
              <w:t>rotection du travailleur isolé)</w:t>
            </w:r>
          </w:p>
        </w:tc>
        <w:tc>
          <w:tcPr>
            <w:tcW w:w="1276" w:type="dxa"/>
            <w:vAlign w:val="center"/>
          </w:tcPr>
          <w:p w14:paraId="10F62AC0" w14:textId="77777777" w:rsidR="00B844B4" w:rsidRPr="00B844B4" w:rsidRDefault="00327F47" w:rsidP="00B844B4">
            <w:pPr>
              <w:jc w:val="center"/>
              <w:rPr>
                <w:rFonts w:ascii="Arial" w:hAnsi="Arial" w:cs="Arial"/>
                <w:highlight w:val="yellow"/>
              </w:rPr>
            </w:pPr>
            <w:r w:rsidRPr="00327F47">
              <w:rPr>
                <w:rFonts w:ascii="Arial" w:hAnsi="Arial" w:cs="Arial"/>
              </w:rPr>
              <w:t>6.4</w:t>
            </w:r>
          </w:p>
        </w:tc>
        <w:tc>
          <w:tcPr>
            <w:tcW w:w="7229" w:type="dxa"/>
            <w:vAlign w:val="center"/>
          </w:tcPr>
          <w:p w14:paraId="4ED2C929" w14:textId="77777777" w:rsidR="00B844B4" w:rsidRDefault="00B844B4" w:rsidP="007370E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077C19B1" w14:textId="77777777" w:rsidR="00B844B4" w:rsidRDefault="00B844B4" w:rsidP="007370E5">
            <w:pPr>
              <w:jc w:val="center"/>
              <w:rPr>
                <w:rFonts w:ascii="Arial" w:hAnsi="Arial" w:cs="Arial"/>
              </w:rPr>
            </w:pPr>
          </w:p>
        </w:tc>
      </w:tr>
      <w:tr w:rsidR="00F0665D" w14:paraId="37AA7CC1" w14:textId="77777777" w:rsidTr="002E2382">
        <w:tc>
          <w:tcPr>
            <w:tcW w:w="3114" w:type="dxa"/>
            <w:vAlign w:val="center"/>
          </w:tcPr>
          <w:p w14:paraId="70D07972" w14:textId="0D43D6B9" w:rsidR="00F0665D" w:rsidRDefault="00631A6A" w:rsidP="00E8242B">
            <w:pPr>
              <w:rPr>
                <w:rFonts w:ascii="Arial" w:hAnsi="Arial" w:cs="Arial"/>
              </w:rPr>
            </w:pPr>
            <w:r w:rsidRPr="00631A6A">
              <w:rPr>
                <w:rFonts w:ascii="Arial" w:hAnsi="Arial" w:cs="Arial"/>
              </w:rPr>
              <w:lastRenderedPageBreak/>
              <w:t>Dans le cadre d’une politique économique et sociale, indiquez si vous employez des personnes issues d’un</w:t>
            </w:r>
            <w:r w:rsidR="00AD74E6">
              <w:rPr>
                <w:rFonts w:ascii="Arial" w:hAnsi="Arial" w:cs="Arial"/>
              </w:rPr>
              <w:t xml:space="preserve"> cadre de</w:t>
            </w:r>
            <w:r w:rsidRPr="00631A6A">
              <w:rPr>
                <w:rFonts w:ascii="Arial" w:hAnsi="Arial" w:cs="Arial"/>
              </w:rPr>
              <w:t xml:space="preserve"> réinsertion professionnelle</w:t>
            </w:r>
            <w:r w:rsidR="00010B60">
              <w:rPr>
                <w:rFonts w:ascii="Arial" w:hAnsi="Arial" w:cs="Arial"/>
              </w:rPr>
              <w:t xml:space="preserve"> </w:t>
            </w:r>
            <w:r w:rsidR="00010B60" w:rsidRPr="00010B60">
              <w:rPr>
                <w:rFonts w:ascii="Arial" w:hAnsi="Arial" w:cs="Arial"/>
              </w:rPr>
              <w:t xml:space="preserve">(avec fourniture de preuve </w:t>
            </w:r>
            <w:r w:rsidR="00B6436B">
              <w:rPr>
                <w:rFonts w:ascii="Arial" w:hAnsi="Arial" w:cs="Arial"/>
              </w:rPr>
              <w:t>te</w:t>
            </w:r>
            <w:r w:rsidR="00C05A2F">
              <w:rPr>
                <w:rFonts w:ascii="Arial" w:hAnsi="Arial" w:cs="Arial"/>
              </w:rPr>
              <w:t>l</w:t>
            </w:r>
            <w:r w:rsidR="00B6436B">
              <w:rPr>
                <w:rFonts w:ascii="Arial" w:hAnsi="Arial" w:cs="Arial"/>
              </w:rPr>
              <w:t>l</w:t>
            </w:r>
            <w:r w:rsidR="00C05A2F">
              <w:rPr>
                <w:rFonts w:ascii="Arial" w:hAnsi="Arial" w:cs="Arial"/>
              </w:rPr>
              <w:t>e</w:t>
            </w:r>
            <w:r w:rsidR="00B6436B">
              <w:rPr>
                <w:rFonts w:ascii="Arial" w:hAnsi="Arial" w:cs="Arial"/>
              </w:rPr>
              <w:t xml:space="preserve"> qu’</w:t>
            </w:r>
            <w:r w:rsidR="00010B60" w:rsidRPr="00010B60">
              <w:rPr>
                <w:rFonts w:ascii="Arial" w:hAnsi="Arial" w:cs="Arial"/>
              </w:rPr>
              <w:t>un</w:t>
            </w:r>
            <w:r w:rsidR="00463250">
              <w:rPr>
                <w:rFonts w:ascii="Arial" w:hAnsi="Arial" w:cs="Arial"/>
              </w:rPr>
              <w:t>e attestation, un</w:t>
            </w:r>
            <w:bookmarkStart w:id="0" w:name="_GoBack"/>
            <w:bookmarkEnd w:id="0"/>
            <w:r w:rsidR="00010B60" w:rsidRPr="00010B60">
              <w:rPr>
                <w:rFonts w:ascii="Arial" w:hAnsi="Arial" w:cs="Arial"/>
              </w:rPr>
              <w:t xml:space="preserve"> certificat ou</w:t>
            </w:r>
            <w:r w:rsidR="00B6436B">
              <w:rPr>
                <w:rFonts w:ascii="Arial" w:hAnsi="Arial" w:cs="Arial"/>
              </w:rPr>
              <w:t xml:space="preserve"> tout</w:t>
            </w:r>
            <w:r w:rsidR="00010B60" w:rsidRPr="00010B60">
              <w:rPr>
                <w:rFonts w:ascii="Arial" w:hAnsi="Arial" w:cs="Arial"/>
              </w:rPr>
              <w:t xml:space="preserve"> autre</w:t>
            </w:r>
            <w:r w:rsidR="00B6436B">
              <w:rPr>
                <w:rFonts w:ascii="Arial" w:hAnsi="Arial" w:cs="Arial"/>
              </w:rPr>
              <w:t xml:space="preserve"> document</w:t>
            </w:r>
            <w:r w:rsidR="00C05A2F">
              <w:rPr>
                <w:rFonts w:ascii="Arial" w:hAnsi="Arial" w:cs="Arial"/>
              </w:rPr>
              <w:t xml:space="preserve"> en</w:t>
            </w:r>
            <w:r w:rsidR="00B6436B">
              <w:rPr>
                <w:rFonts w:ascii="Arial" w:hAnsi="Arial" w:cs="Arial"/>
              </w:rPr>
              <w:t xml:space="preserve"> attestant</w:t>
            </w:r>
            <w:r w:rsidR="00010B60" w:rsidRPr="00010B60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08CFF9B0" w14:textId="26313E0D" w:rsidR="00F0665D" w:rsidRPr="00327F47" w:rsidRDefault="00671EF2" w:rsidP="00B84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Sans objet</w:t>
            </w:r>
          </w:p>
        </w:tc>
        <w:tc>
          <w:tcPr>
            <w:tcW w:w="7229" w:type="dxa"/>
            <w:vAlign w:val="center"/>
          </w:tcPr>
          <w:p w14:paraId="2DAA7E60" w14:textId="77777777" w:rsidR="00F0665D" w:rsidRDefault="00F0665D" w:rsidP="007370E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00BEED83" w14:textId="77777777" w:rsidR="00F0665D" w:rsidRDefault="00F0665D" w:rsidP="007370E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280BA81" w14:textId="77777777" w:rsidR="00AC3A48" w:rsidRPr="00AC3A48" w:rsidRDefault="00AC3A48" w:rsidP="00AC3A48">
      <w:pPr>
        <w:jc w:val="both"/>
        <w:rPr>
          <w:rFonts w:ascii="Arial" w:hAnsi="Arial" w:cs="Arial"/>
        </w:rPr>
      </w:pPr>
    </w:p>
    <w:sectPr w:rsidR="00AC3A48" w:rsidRPr="00AC3A48" w:rsidSect="002E23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324D3" w14:textId="77777777" w:rsidR="006D7F76" w:rsidRDefault="006D7F76" w:rsidP="00AC3A48">
      <w:pPr>
        <w:spacing w:after="0" w:line="240" w:lineRule="auto"/>
      </w:pPr>
      <w:r>
        <w:separator/>
      </w:r>
    </w:p>
  </w:endnote>
  <w:endnote w:type="continuationSeparator" w:id="0">
    <w:p w14:paraId="08EFEBA4" w14:textId="77777777" w:rsidR="006D7F76" w:rsidRDefault="006D7F76" w:rsidP="00AC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45ECD" w14:textId="77777777" w:rsidR="00BA0695" w:rsidRDefault="00BA06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3DB9D" w14:textId="77777777" w:rsidR="00BA0695" w:rsidRDefault="00BA069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290C3" w14:textId="77777777" w:rsidR="00BA0695" w:rsidRDefault="00BA06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D7F6E" w14:textId="77777777" w:rsidR="006D7F76" w:rsidRDefault="006D7F76" w:rsidP="00AC3A48">
      <w:pPr>
        <w:spacing w:after="0" w:line="240" w:lineRule="auto"/>
      </w:pPr>
      <w:r>
        <w:separator/>
      </w:r>
    </w:p>
  </w:footnote>
  <w:footnote w:type="continuationSeparator" w:id="0">
    <w:p w14:paraId="0180EC6C" w14:textId="77777777" w:rsidR="006D7F76" w:rsidRDefault="006D7F76" w:rsidP="00AC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81DDB" w14:textId="77777777" w:rsidR="00BA0695" w:rsidRDefault="00BA069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753DE" w14:textId="77777777" w:rsidR="006D7F76" w:rsidRPr="00AC3A48" w:rsidRDefault="006D7F76">
    <w:pPr>
      <w:pStyle w:val="En-tte"/>
      <w:rPr>
        <w:i/>
      </w:rPr>
    </w:pPr>
    <w:r w:rsidRPr="00AC3A48">
      <w:rPr>
        <w:i/>
      </w:rPr>
      <w:t>Consultation n°</w:t>
    </w:r>
    <w:r w:rsidRPr="00BA0695">
      <w:rPr>
        <w:i/>
      </w:rPr>
      <w:t xml:space="preserve"> </w:t>
    </w:r>
    <w:r w:rsidR="00C24E07" w:rsidRPr="00C24E07">
      <w:rPr>
        <w:rFonts w:ascii="Arial" w:hAnsi="Arial" w:cs="Arial"/>
        <w:b/>
        <w:bCs/>
        <w:caps/>
        <w:sz w:val="21"/>
        <w:szCs w:val="21"/>
      </w:rPr>
      <w:t>2024EFSIDFR837</w:t>
    </w:r>
    <w:r w:rsidRPr="00AC3A48">
      <w:rPr>
        <w:i/>
      </w:rPr>
      <w:tab/>
    </w:r>
    <w:r w:rsidRPr="00AC3A48">
      <w:rPr>
        <w:i/>
      </w:rPr>
      <w:tab/>
      <w:t>Cadre de réponses techniques – Lot n°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B469A" w14:textId="77777777" w:rsidR="00BA0695" w:rsidRDefault="00BA06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57B32"/>
    <w:multiLevelType w:val="hybridMultilevel"/>
    <w:tmpl w:val="E252FB5A"/>
    <w:lvl w:ilvl="0" w:tplc="EE1C288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A48"/>
    <w:rsid w:val="00010B60"/>
    <w:rsid w:val="00066830"/>
    <w:rsid w:val="000A5365"/>
    <w:rsid w:val="00171BBE"/>
    <w:rsid w:val="001774D2"/>
    <w:rsid w:val="002D3493"/>
    <w:rsid w:val="002E2382"/>
    <w:rsid w:val="002E7DD4"/>
    <w:rsid w:val="003154D3"/>
    <w:rsid w:val="00327F47"/>
    <w:rsid w:val="00334D7B"/>
    <w:rsid w:val="00391228"/>
    <w:rsid w:val="00463250"/>
    <w:rsid w:val="00592AF2"/>
    <w:rsid w:val="0059538A"/>
    <w:rsid w:val="006159A3"/>
    <w:rsid w:val="00631A6A"/>
    <w:rsid w:val="00632693"/>
    <w:rsid w:val="00640384"/>
    <w:rsid w:val="00653640"/>
    <w:rsid w:val="00671EF2"/>
    <w:rsid w:val="0069653D"/>
    <w:rsid w:val="006D7F76"/>
    <w:rsid w:val="007034DE"/>
    <w:rsid w:val="00732FC7"/>
    <w:rsid w:val="007331DA"/>
    <w:rsid w:val="007370E5"/>
    <w:rsid w:val="00755701"/>
    <w:rsid w:val="00806659"/>
    <w:rsid w:val="00827364"/>
    <w:rsid w:val="00830818"/>
    <w:rsid w:val="00865E29"/>
    <w:rsid w:val="008A5EB8"/>
    <w:rsid w:val="008B3259"/>
    <w:rsid w:val="00993B8F"/>
    <w:rsid w:val="009A2F72"/>
    <w:rsid w:val="009C5C3F"/>
    <w:rsid w:val="00AC3A48"/>
    <w:rsid w:val="00AD74E6"/>
    <w:rsid w:val="00B6436B"/>
    <w:rsid w:val="00B76220"/>
    <w:rsid w:val="00B844B4"/>
    <w:rsid w:val="00B93C35"/>
    <w:rsid w:val="00BA0695"/>
    <w:rsid w:val="00BC4C98"/>
    <w:rsid w:val="00BE2D04"/>
    <w:rsid w:val="00C00B29"/>
    <w:rsid w:val="00C05A2F"/>
    <w:rsid w:val="00C24E07"/>
    <w:rsid w:val="00CC0887"/>
    <w:rsid w:val="00D775BA"/>
    <w:rsid w:val="00DA58D2"/>
    <w:rsid w:val="00DF3EEA"/>
    <w:rsid w:val="00E30F69"/>
    <w:rsid w:val="00E8242B"/>
    <w:rsid w:val="00F0665D"/>
    <w:rsid w:val="00FE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B14BC"/>
  <w15:chartTrackingRefBased/>
  <w15:docId w15:val="{0143942E-27E8-41F1-83BF-C43D7B71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3A48"/>
  </w:style>
  <w:style w:type="paragraph" w:styleId="Pieddepage">
    <w:name w:val="footer"/>
    <w:basedOn w:val="Normal"/>
    <w:link w:val="PieddepageCar"/>
    <w:uiPriority w:val="99"/>
    <w:unhideWhenUsed/>
    <w:rsid w:val="00AC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3A48"/>
  </w:style>
  <w:style w:type="table" w:styleId="Grilledutableau">
    <w:name w:val="Table Grid"/>
    <w:basedOn w:val="TableauNormal"/>
    <w:uiPriority w:val="39"/>
    <w:rsid w:val="00B76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E2D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E2D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E2D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2D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2D0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2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2D0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06659"/>
    <w:pPr>
      <w:spacing w:before="120" w:after="0" w:line="240" w:lineRule="auto"/>
      <w:ind w:left="720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 Idf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 Guillou</dc:creator>
  <cp:keywords/>
  <dc:description/>
  <cp:lastModifiedBy>Heloise PATALIN</cp:lastModifiedBy>
  <cp:revision>38</cp:revision>
  <dcterms:created xsi:type="dcterms:W3CDTF">2018-10-03T13:54:00Z</dcterms:created>
  <dcterms:modified xsi:type="dcterms:W3CDTF">2025-05-15T07:56:00Z</dcterms:modified>
</cp:coreProperties>
</file>