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3FDD5" w14:textId="77777777" w:rsidR="0085221A" w:rsidRPr="0085221A" w:rsidRDefault="00A10DB6" w:rsidP="0085221A">
      <w:pPr>
        <w:spacing w:after="10"/>
        <w:ind w:left="35" w:right="92"/>
        <w:jc w:val="center"/>
      </w:pPr>
      <w:r w:rsidRPr="0085221A">
        <w:t>A</w:t>
      </w:r>
      <w:r w:rsidR="00796E77" w:rsidRPr="0085221A">
        <w:t>NNEXE</w:t>
      </w:r>
      <w:r w:rsidR="00EC002A" w:rsidRPr="0085221A">
        <w:t xml:space="preserve"> 1</w:t>
      </w:r>
    </w:p>
    <w:p w14:paraId="665EF451" w14:textId="323A65E3" w:rsidR="002D1A25" w:rsidRDefault="00EC002A" w:rsidP="002D1A25">
      <w:pPr>
        <w:spacing w:after="10"/>
        <w:ind w:left="35" w:right="92"/>
        <w:jc w:val="center"/>
      </w:pPr>
      <w:proofErr w:type="gramStart"/>
      <w:r>
        <w:t>a</w:t>
      </w:r>
      <w:r w:rsidR="000F0F75">
        <w:t>u</w:t>
      </w:r>
      <w:r w:rsidR="00CD4016">
        <w:t>x</w:t>
      </w:r>
      <w:proofErr w:type="gramEnd"/>
      <w:r w:rsidR="000F0F75">
        <w:t xml:space="preserve"> cahier</w:t>
      </w:r>
      <w:r w:rsidR="00CD4016">
        <w:t>s</w:t>
      </w:r>
      <w:r w:rsidR="00A10DB6">
        <w:t xml:space="preserve"> des charges </w:t>
      </w:r>
      <w:r w:rsidR="00F718DF">
        <w:t>référencé</w:t>
      </w:r>
      <w:r w:rsidR="00CD4016">
        <w:t>s</w:t>
      </w:r>
      <w:r w:rsidR="00F718DF">
        <w:t xml:space="preserve"> </w:t>
      </w:r>
      <w:r w:rsidR="00A10DB6">
        <w:t>DGAL-202</w:t>
      </w:r>
      <w:r w:rsidR="007F6801">
        <w:t>5</w:t>
      </w:r>
      <w:r w:rsidR="00A10DB6">
        <w:t>-0</w:t>
      </w:r>
      <w:r w:rsidR="007F6801">
        <w:t>01</w:t>
      </w:r>
      <w:r w:rsidR="00CD4016">
        <w:t xml:space="preserve"> et DGAL-2025-027</w:t>
      </w:r>
    </w:p>
    <w:p w14:paraId="64C2F1B8" w14:textId="77777777" w:rsidR="009B2C44" w:rsidRDefault="009B2C44" w:rsidP="009B2C44">
      <w:pPr>
        <w:spacing w:after="10"/>
        <w:ind w:left="35" w:right="92"/>
      </w:pPr>
    </w:p>
    <w:p w14:paraId="4AFB4DCC" w14:textId="77777777" w:rsidR="00EC002A" w:rsidRDefault="00EC002A" w:rsidP="00EC002A">
      <w:pPr>
        <w:spacing w:after="10"/>
        <w:ind w:left="35" w:right="92"/>
        <w:jc w:val="center"/>
      </w:pPr>
    </w:p>
    <w:p w14:paraId="7B80F1EC" w14:textId="6BF62698" w:rsidR="00AD03A0" w:rsidRPr="00EC002A" w:rsidRDefault="000F0F75" w:rsidP="00EC002A">
      <w:pPr>
        <w:pBdr>
          <w:top w:val="single" w:sz="4" w:space="0" w:color="000000"/>
          <w:left w:val="single" w:sz="4" w:space="0" w:color="000000"/>
          <w:bottom w:val="single" w:sz="4" w:space="0" w:color="000000"/>
          <w:right w:val="single" w:sz="4" w:space="0" w:color="000000"/>
        </w:pBdr>
        <w:shd w:val="clear" w:color="auto" w:fill="FFFFFF" w:themeFill="background1"/>
        <w:spacing w:after="19" w:line="266" w:lineRule="auto"/>
        <w:ind w:right="0"/>
        <w:jc w:val="center"/>
        <w:rPr>
          <w:sz w:val="32"/>
          <w:szCs w:val="32"/>
        </w:rPr>
      </w:pPr>
      <w:r w:rsidRPr="00EC002A">
        <w:rPr>
          <w:rFonts w:eastAsia="Times New Roman"/>
          <w:b/>
          <w:sz w:val="32"/>
          <w:szCs w:val="32"/>
        </w:rPr>
        <w:t xml:space="preserve">Instruction </w:t>
      </w:r>
      <w:r w:rsidR="004C54DB" w:rsidRPr="00EC002A">
        <w:rPr>
          <w:rFonts w:eastAsia="Times New Roman"/>
          <w:b/>
          <w:sz w:val="32"/>
          <w:szCs w:val="32"/>
        </w:rPr>
        <w:t xml:space="preserve">sur les modalités particulières </w:t>
      </w:r>
      <w:r w:rsidRPr="00EC002A">
        <w:rPr>
          <w:rFonts w:eastAsia="Times New Roman"/>
          <w:b/>
          <w:sz w:val="32"/>
          <w:szCs w:val="32"/>
        </w:rPr>
        <w:t>de renouvellement de certaines att</w:t>
      </w:r>
      <w:r w:rsidR="00211707">
        <w:rPr>
          <w:rFonts w:eastAsia="Times New Roman"/>
          <w:b/>
          <w:sz w:val="32"/>
          <w:szCs w:val="32"/>
        </w:rPr>
        <w:t>estations de conformité selon l’</w:t>
      </w:r>
      <w:r w:rsidRPr="00EC002A">
        <w:rPr>
          <w:rFonts w:eastAsia="Times New Roman"/>
          <w:b/>
          <w:sz w:val="32"/>
          <w:szCs w:val="32"/>
        </w:rPr>
        <w:t xml:space="preserve">article </w:t>
      </w:r>
      <w:r w:rsidR="00EC002A">
        <w:rPr>
          <w:rFonts w:eastAsia="Times New Roman"/>
          <w:b/>
          <w:sz w:val="32"/>
          <w:szCs w:val="32"/>
        </w:rPr>
        <w:t>R. 231</w:t>
      </w:r>
      <w:r w:rsidR="00EC002A">
        <w:rPr>
          <w:rFonts w:eastAsia="Times New Roman"/>
          <w:b/>
          <w:sz w:val="32"/>
          <w:szCs w:val="32"/>
        </w:rPr>
        <w:noBreakHyphen/>
      </w:r>
      <w:r w:rsidR="00211707">
        <w:rPr>
          <w:rFonts w:eastAsia="Times New Roman"/>
          <w:b/>
          <w:sz w:val="32"/>
          <w:szCs w:val="32"/>
        </w:rPr>
        <w:t xml:space="preserve">45 </w:t>
      </w:r>
      <w:r w:rsidRPr="00EC002A">
        <w:rPr>
          <w:rFonts w:eastAsia="Times New Roman"/>
          <w:b/>
          <w:sz w:val="32"/>
          <w:szCs w:val="32"/>
        </w:rPr>
        <w:t>du code rural et de la pêche maritime</w:t>
      </w:r>
    </w:p>
    <w:p w14:paraId="7D01DE86" w14:textId="2D56AD0E" w:rsidR="00EC002A" w:rsidRDefault="00EC002A" w:rsidP="00A10DB6">
      <w:pPr>
        <w:spacing w:after="160" w:line="259" w:lineRule="auto"/>
        <w:ind w:left="0" w:right="0" w:firstLine="0"/>
        <w:jc w:val="left"/>
      </w:pPr>
    </w:p>
    <w:sdt>
      <w:sdtPr>
        <w:rPr>
          <w:rFonts w:ascii="Arial" w:eastAsia="Arial" w:hAnsi="Arial" w:cs="Arial"/>
          <w:b w:val="0"/>
          <w:i w:val="0"/>
          <w:caps w:val="0"/>
          <w:color w:val="000000"/>
          <w:sz w:val="22"/>
          <w:szCs w:val="22"/>
        </w:rPr>
        <w:id w:val="775225971"/>
        <w:docPartObj>
          <w:docPartGallery w:val="Table of Contents"/>
          <w:docPartUnique/>
        </w:docPartObj>
      </w:sdtPr>
      <w:sdtEndPr>
        <w:rPr>
          <w:bCs/>
        </w:rPr>
      </w:sdtEndPr>
      <w:sdtContent>
        <w:p w14:paraId="1B5DE486" w14:textId="5C7FFB0B" w:rsidR="00F25D8E" w:rsidRDefault="00F25D8E">
          <w:pPr>
            <w:pStyle w:val="En-ttedetabledesmatires"/>
          </w:pPr>
          <w:r>
            <w:t>Table des matières</w:t>
          </w:r>
        </w:p>
        <w:p w14:paraId="3552FAAD" w14:textId="7296E29C" w:rsidR="008544A1" w:rsidRDefault="00F25D8E">
          <w:pPr>
            <w:pStyle w:val="TM1"/>
            <w:tabs>
              <w:tab w:val="right" w:leader="dot" w:pos="9489"/>
            </w:tabs>
            <w:rPr>
              <w:rFonts w:asciiTheme="minorHAnsi" w:eastAsiaTheme="minorEastAsia" w:hAnsiTheme="minorHAnsi" w:cstheme="minorBidi"/>
              <w:noProof/>
              <w:color w:val="auto"/>
            </w:rPr>
          </w:pPr>
          <w:r w:rsidRPr="00C17EB3">
            <w:rPr>
              <w:sz w:val="20"/>
              <w:szCs w:val="20"/>
            </w:rPr>
            <w:fldChar w:fldCharType="begin"/>
          </w:r>
          <w:r w:rsidRPr="00C17EB3">
            <w:rPr>
              <w:sz w:val="20"/>
              <w:szCs w:val="20"/>
            </w:rPr>
            <w:instrText xml:space="preserve"> TOC \o "1-3" \h \z \u </w:instrText>
          </w:r>
          <w:r w:rsidRPr="00C17EB3">
            <w:rPr>
              <w:sz w:val="20"/>
              <w:szCs w:val="20"/>
            </w:rPr>
            <w:fldChar w:fldCharType="separate"/>
          </w:r>
          <w:hyperlink w:anchor="_Toc200038793" w:history="1">
            <w:r w:rsidR="008544A1" w:rsidRPr="007E2F56">
              <w:rPr>
                <w:rStyle w:val="Lienhypertexte"/>
                <w:noProof/>
              </w:rPr>
              <w:t>I- DISPOSITIONS EN VIGUEUR</w:t>
            </w:r>
            <w:r w:rsidR="008544A1">
              <w:rPr>
                <w:noProof/>
                <w:webHidden/>
              </w:rPr>
              <w:tab/>
            </w:r>
            <w:r w:rsidR="008544A1">
              <w:rPr>
                <w:noProof/>
                <w:webHidden/>
              </w:rPr>
              <w:fldChar w:fldCharType="begin"/>
            </w:r>
            <w:r w:rsidR="008544A1">
              <w:rPr>
                <w:noProof/>
                <w:webHidden/>
              </w:rPr>
              <w:instrText xml:space="preserve"> PAGEREF _Toc200038793 \h </w:instrText>
            </w:r>
            <w:r w:rsidR="008544A1">
              <w:rPr>
                <w:noProof/>
                <w:webHidden/>
              </w:rPr>
            </w:r>
            <w:r w:rsidR="008544A1">
              <w:rPr>
                <w:noProof/>
                <w:webHidden/>
              </w:rPr>
              <w:fldChar w:fldCharType="separate"/>
            </w:r>
            <w:r w:rsidR="008544A1">
              <w:rPr>
                <w:noProof/>
                <w:webHidden/>
              </w:rPr>
              <w:t>2</w:t>
            </w:r>
            <w:r w:rsidR="008544A1">
              <w:rPr>
                <w:noProof/>
                <w:webHidden/>
              </w:rPr>
              <w:fldChar w:fldCharType="end"/>
            </w:r>
          </w:hyperlink>
        </w:p>
        <w:p w14:paraId="4B67959D" w14:textId="7C705357" w:rsidR="008544A1" w:rsidRDefault="008544A1">
          <w:pPr>
            <w:pStyle w:val="TM1"/>
            <w:tabs>
              <w:tab w:val="right" w:leader="dot" w:pos="9489"/>
            </w:tabs>
            <w:rPr>
              <w:rFonts w:asciiTheme="minorHAnsi" w:eastAsiaTheme="minorEastAsia" w:hAnsiTheme="minorHAnsi" w:cstheme="minorBidi"/>
              <w:noProof/>
              <w:color w:val="auto"/>
            </w:rPr>
          </w:pPr>
          <w:hyperlink w:anchor="_Toc200038794" w:history="1">
            <w:r w:rsidRPr="007E2F56">
              <w:rPr>
                <w:rStyle w:val="Lienhypertexte"/>
                <w:noProof/>
              </w:rPr>
              <w:t>II- MODALITES PARTICULIERES A APPLIQUER PAR LES STATIONS D’ESSAI OFFICIELLES POUR LE RENOUVELLEMENT DE L’ATTESTATION DE CONFORMITE A 12 ANS ET PLUS</w:t>
            </w:r>
            <w:r>
              <w:rPr>
                <w:noProof/>
                <w:webHidden/>
              </w:rPr>
              <w:tab/>
            </w:r>
            <w:r>
              <w:rPr>
                <w:noProof/>
                <w:webHidden/>
              </w:rPr>
              <w:fldChar w:fldCharType="begin"/>
            </w:r>
            <w:r>
              <w:rPr>
                <w:noProof/>
                <w:webHidden/>
              </w:rPr>
              <w:instrText xml:space="preserve"> PAGEREF _Toc200038794 \h </w:instrText>
            </w:r>
            <w:r>
              <w:rPr>
                <w:noProof/>
                <w:webHidden/>
              </w:rPr>
            </w:r>
            <w:r>
              <w:rPr>
                <w:noProof/>
                <w:webHidden/>
              </w:rPr>
              <w:fldChar w:fldCharType="separate"/>
            </w:r>
            <w:r>
              <w:rPr>
                <w:noProof/>
                <w:webHidden/>
              </w:rPr>
              <w:t>2</w:t>
            </w:r>
            <w:r>
              <w:rPr>
                <w:noProof/>
                <w:webHidden/>
              </w:rPr>
              <w:fldChar w:fldCharType="end"/>
            </w:r>
          </w:hyperlink>
        </w:p>
        <w:p w14:paraId="5FE38EE9" w14:textId="1AF4A470" w:rsidR="008544A1" w:rsidRDefault="008544A1">
          <w:pPr>
            <w:pStyle w:val="TM2"/>
            <w:tabs>
              <w:tab w:val="right" w:leader="dot" w:pos="9489"/>
            </w:tabs>
            <w:rPr>
              <w:rFonts w:asciiTheme="minorHAnsi" w:eastAsiaTheme="minorEastAsia" w:hAnsiTheme="minorHAnsi" w:cstheme="minorBidi"/>
              <w:noProof/>
              <w:color w:val="auto"/>
            </w:rPr>
          </w:pPr>
          <w:hyperlink w:anchor="_Toc200038795" w:history="1">
            <w:r w:rsidRPr="007E2F56">
              <w:rPr>
                <w:rStyle w:val="Lienhypertexte"/>
                <w:rFonts w:eastAsia="Cambria"/>
                <w:noProof/>
              </w:rPr>
              <w:t>1</w:t>
            </w:r>
            <w:r w:rsidRPr="007E2F56">
              <w:rPr>
                <w:rStyle w:val="Lienhypertexte"/>
                <w:noProof/>
              </w:rPr>
              <w:t xml:space="preserve"> </w:t>
            </w:r>
            <w:r w:rsidRPr="007E2F56">
              <w:rPr>
                <w:rStyle w:val="Lienhypertexte"/>
                <w:rFonts w:eastAsia="Cambria"/>
                <w:noProof/>
              </w:rPr>
              <w:t>ENGINS CONCERNES</w:t>
            </w:r>
            <w:r>
              <w:rPr>
                <w:noProof/>
                <w:webHidden/>
              </w:rPr>
              <w:tab/>
            </w:r>
            <w:r>
              <w:rPr>
                <w:noProof/>
                <w:webHidden/>
              </w:rPr>
              <w:fldChar w:fldCharType="begin"/>
            </w:r>
            <w:r>
              <w:rPr>
                <w:noProof/>
                <w:webHidden/>
              </w:rPr>
              <w:instrText xml:space="preserve"> PAGEREF _Toc200038795 \h </w:instrText>
            </w:r>
            <w:r>
              <w:rPr>
                <w:noProof/>
                <w:webHidden/>
              </w:rPr>
            </w:r>
            <w:r>
              <w:rPr>
                <w:noProof/>
                <w:webHidden/>
              </w:rPr>
              <w:fldChar w:fldCharType="separate"/>
            </w:r>
            <w:r>
              <w:rPr>
                <w:noProof/>
                <w:webHidden/>
              </w:rPr>
              <w:t>2</w:t>
            </w:r>
            <w:r>
              <w:rPr>
                <w:noProof/>
                <w:webHidden/>
              </w:rPr>
              <w:fldChar w:fldCharType="end"/>
            </w:r>
          </w:hyperlink>
        </w:p>
        <w:p w14:paraId="37EE698C" w14:textId="5369ED2B" w:rsidR="008544A1" w:rsidRDefault="008544A1">
          <w:pPr>
            <w:pStyle w:val="TM2"/>
            <w:tabs>
              <w:tab w:val="right" w:leader="dot" w:pos="9489"/>
            </w:tabs>
            <w:rPr>
              <w:rFonts w:asciiTheme="minorHAnsi" w:eastAsiaTheme="minorEastAsia" w:hAnsiTheme="minorHAnsi" w:cstheme="minorBidi"/>
              <w:noProof/>
              <w:color w:val="auto"/>
            </w:rPr>
          </w:pPr>
          <w:hyperlink w:anchor="_Toc200038796" w:history="1">
            <w:r w:rsidRPr="007E2F56">
              <w:rPr>
                <w:rStyle w:val="Lienhypertexte"/>
                <w:rFonts w:eastAsia="Cambria"/>
                <w:noProof/>
              </w:rPr>
              <w:t>2</w:t>
            </w:r>
            <w:r w:rsidRPr="007E2F56">
              <w:rPr>
                <w:rStyle w:val="Lienhypertexte"/>
                <w:noProof/>
              </w:rPr>
              <w:t xml:space="preserve"> </w:t>
            </w:r>
            <w:r w:rsidRPr="007E2F56">
              <w:rPr>
                <w:rStyle w:val="Lienhypertexte"/>
                <w:rFonts w:eastAsia="Cambria"/>
                <w:noProof/>
              </w:rPr>
              <w:t>MODALITES DE RENOUVELLEMENT A 12 ANS</w:t>
            </w:r>
            <w:r>
              <w:rPr>
                <w:noProof/>
                <w:webHidden/>
              </w:rPr>
              <w:tab/>
            </w:r>
            <w:r>
              <w:rPr>
                <w:noProof/>
                <w:webHidden/>
              </w:rPr>
              <w:fldChar w:fldCharType="begin"/>
            </w:r>
            <w:r>
              <w:rPr>
                <w:noProof/>
                <w:webHidden/>
              </w:rPr>
              <w:instrText xml:space="preserve"> PAGEREF _Toc200038796 \h </w:instrText>
            </w:r>
            <w:r>
              <w:rPr>
                <w:noProof/>
                <w:webHidden/>
              </w:rPr>
            </w:r>
            <w:r>
              <w:rPr>
                <w:noProof/>
                <w:webHidden/>
              </w:rPr>
              <w:fldChar w:fldCharType="separate"/>
            </w:r>
            <w:r>
              <w:rPr>
                <w:noProof/>
                <w:webHidden/>
              </w:rPr>
              <w:t>3</w:t>
            </w:r>
            <w:r>
              <w:rPr>
                <w:noProof/>
                <w:webHidden/>
              </w:rPr>
              <w:fldChar w:fldCharType="end"/>
            </w:r>
          </w:hyperlink>
        </w:p>
        <w:p w14:paraId="5053DEB9" w14:textId="1687D185" w:rsidR="008544A1" w:rsidRDefault="008544A1">
          <w:pPr>
            <w:pStyle w:val="TM2"/>
            <w:tabs>
              <w:tab w:val="right" w:leader="dot" w:pos="9489"/>
            </w:tabs>
            <w:rPr>
              <w:rFonts w:asciiTheme="minorHAnsi" w:eastAsiaTheme="minorEastAsia" w:hAnsiTheme="minorHAnsi" w:cstheme="minorBidi"/>
              <w:noProof/>
              <w:color w:val="auto"/>
            </w:rPr>
          </w:pPr>
          <w:hyperlink w:anchor="_Toc200038797" w:history="1">
            <w:r w:rsidRPr="007E2F56">
              <w:rPr>
                <w:rStyle w:val="Lienhypertexte"/>
                <w:rFonts w:eastAsia="Cambria"/>
                <w:noProof/>
              </w:rPr>
              <w:t>3</w:t>
            </w:r>
            <w:r w:rsidRPr="007E2F56">
              <w:rPr>
                <w:rStyle w:val="Lienhypertexte"/>
                <w:noProof/>
              </w:rPr>
              <w:t xml:space="preserve"> </w:t>
            </w:r>
            <w:r w:rsidRPr="007E2F56">
              <w:rPr>
                <w:rStyle w:val="Lienhypertexte"/>
                <w:rFonts w:eastAsia="Cambria"/>
                <w:noProof/>
              </w:rPr>
              <w:t>RENOUVELLEMENT DES ATTESTATIONS DE CONFORMITE D’UN LOT D’ENGINS</w:t>
            </w:r>
            <w:r>
              <w:rPr>
                <w:noProof/>
                <w:webHidden/>
              </w:rPr>
              <w:tab/>
            </w:r>
            <w:r>
              <w:rPr>
                <w:noProof/>
                <w:webHidden/>
              </w:rPr>
              <w:fldChar w:fldCharType="begin"/>
            </w:r>
            <w:r>
              <w:rPr>
                <w:noProof/>
                <w:webHidden/>
              </w:rPr>
              <w:instrText xml:space="preserve"> PAGEREF _Toc200038797 \h </w:instrText>
            </w:r>
            <w:r>
              <w:rPr>
                <w:noProof/>
                <w:webHidden/>
              </w:rPr>
            </w:r>
            <w:r>
              <w:rPr>
                <w:noProof/>
                <w:webHidden/>
              </w:rPr>
              <w:fldChar w:fldCharType="separate"/>
            </w:r>
            <w:r>
              <w:rPr>
                <w:noProof/>
                <w:webHidden/>
              </w:rPr>
              <w:t>3</w:t>
            </w:r>
            <w:r>
              <w:rPr>
                <w:noProof/>
                <w:webHidden/>
              </w:rPr>
              <w:fldChar w:fldCharType="end"/>
            </w:r>
          </w:hyperlink>
        </w:p>
        <w:p w14:paraId="3C944842" w14:textId="6F31E929" w:rsidR="008544A1" w:rsidRDefault="008544A1">
          <w:pPr>
            <w:pStyle w:val="TM3"/>
            <w:tabs>
              <w:tab w:val="right" w:leader="dot" w:pos="9489"/>
            </w:tabs>
            <w:rPr>
              <w:rFonts w:asciiTheme="minorHAnsi" w:eastAsiaTheme="minorEastAsia" w:hAnsiTheme="minorHAnsi" w:cstheme="minorBidi"/>
              <w:noProof/>
              <w:color w:val="auto"/>
            </w:rPr>
          </w:pPr>
          <w:hyperlink w:anchor="_Toc200038798" w:history="1">
            <w:r w:rsidRPr="007E2F56">
              <w:rPr>
                <w:rStyle w:val="Lienhypertexte"/>
                <w:noProof/>
              </w:rPr>
              <w:t>Cas des engins réparés et révisés</w:t>
            </w:r>
            <w:r w:rsidRPr="007E2F56">
              <w:rPr>
                <w:rStyle w:val="Lienhypertexte"/>
                <w:noProof/>
                <w:vertAlign w:val="superscript"/>
              </w:rPr>
              <w:t>1</w:t>
            </w:r>
            <w:r>
              <w:rPr>
                <w:noProof/>
                <w:webHidden/>
              </w:rPr>
              <w:tab/>
            </w:r>
            <w:r>
              <w:rPr>
                <w:noProof/>
                <w:webHidden/>
              </w:rPr>
              <w:fldChar w:fldCharType="begin"/>
            </w:r>
            <w:r>
              <w:rPr>
                <w:noProof/>
                <w:webHidden/>
              </w:rPr>
              <w:instrText xml:space="preserve"> PAGEREF _Toc200038798 \h </w:instrText>
            </w:r>
            <w:r>
              <w:rPr>
                <w:noProof/>
                <w:webHidden/>
              </w:rPr>
            </w:r>
            <w:r>
              <w:rPr>
                <w:noProof/>
                <w:webHidden/>
              </w:rPr>
              <w:fldChar w:fldCharType="separate"/>
            </w:r>
            <w:r>
              <w:rPr>
                <w:noProof/>
                <w:webHidden/>
              </w:rPr>
              <w:t>4</w:t>
            </w:r>
            <w:r>
              <w:rPr>
                <w:noProof/>
                <w:webHidden/>
              </w:rPr>
              <w:fldChar w:fldCharType="end"/>
            </w:r>
          </w:hyperlink>
        </w:p>
        <w:p w14:paraId="1FA4D8C8" w14:textId="12416D9E" w:rsidR="008544A1" w:rsidRDefault="008544A1">
          <w:pPr>
            <w:pStyle w:val="TM3"/>
            <w:tabs>
              <w:tab w:val="right" w:leader="dot" w:pos="9489"/>
            </w:tabs>
            <w:rPr>
              <w:rFonts w:asciiTheme="minorHAnsi" w:eastAsiaTheme="minorEastAsia" w:hAnsiTheme="minorHAnsi" w:cstheme="minorBidi"/>
              <w:noProof/>
              <w:color w:val="auto"/>
            </w:rPr>
          </w:pPr>
          <w:hyperlink w:anchor="_Toc200038799" w:history="1">
            <w:r w:rsidRPr="007E2F56">
              <w:rPr>
                <w:rStyle w:val="Lienhypertexte"/>
                <w:noProof/>
              </w:rPr>
              <w:t>Cas des engins reconditionnés</w:t>
            </w:r>
            <w:r>
              <w:rPr>
                <w:noProof/>
                <w:webHidden/>
              </w:rPr>
              <w:tab/>
            </w:r>
            <w:r>
              <w:rPr>
                <w:noProof/>
                <w:webHidden/>
              </w:rPr>
              <w:fldChar w:fldCharType="begin"/>
            </w:r>
            <w:r>
              <w:rPr>
                <w:noProof/>
                <w:webHidden/>
              </w:rPr>
              <w:instrText xml:space="preserve"> PAGEREF _Toc200038799 \h </w:instrText>
            </w:r>
            <w:r>
              <w:rPr>
                <w:noProof/>
                <w:webHidden/>
              </w:rPr>
            </w:r>
            <w:r>
              <w:rPr>
                <w:noProof/>
                <w:webHidden/>
              </w:rPr>
              <w:fldChar w:fldCharType="separate"/>
            </w:r>
            <w:r>
              <w:rPr>
                <w:noProof/>
                <w:webHidden/>
              </w:rPr>
              <w:t>5</w:t>
            </w:r>
            <w:r>
              <w:rPr>
                <w:noProof/>
                <w:webHidden/>
              </w:rPr>
              <w:fldChar w:fldCharType="end"/>
            </w:r>
          </w:hyperlink>
        </w:p>
        <w:p w14:paraId="121D2B1A" w14:textId="1232FD4F" w:rsidR="008544A1" w:rsidRDefault="008544A1">
          <w:pPr>
            <w:pStyle w:val="TM1"/>
            <w:tabs>
              <w:tab w:val="right" w:leader="dot" w:pos="9489"/>
            </w:tabs>
            <w:rPr>
              <w:rFonts w:asciiTheme="minorHAnsi" w:eastAsiaTheme="minorEastAsia" w:hAnsiTheme="minorHAnsi" w:cstheme="minorBidi"/>
              <w:noProof/>
              <w:color w:val="auto"/>
            </w:rPr>
          </w:pPr>
          <w:hyperlink w:anchor="_Toc200038800" w:history="1">
            <w:r w:rsidRPr="007E2F56">
              <w:rPr>
                <w:rStyle w:val="Lienhypertexte"/>
                <w:noProof/>
              </w:rPr>
              <w:t>III- MODALITES PARTICULIERES A APPLIQUER PAR LES STATIONS D’ESSAI OFFICIELLES ATP POUR LE RENOUVELLEMENT DE L’ATTESTATION DE CONFORMITE DES CITERNES TOUS LES 6 ANS APRES LA PREMIERE MISE EN SERVICE</w:t>
            </w:r>
            <w:r>
              <w:rPr>
                <w:noProof/>
                <w:webHidden/>
              </w:rPr>
              <w:tab/>
            </w:r>
            <w:r>
              <w:rPr>
                <w:noProof/>
                <w:webHidden/>
              </w:rPr>
              <w:fldChar w:fldCharType="begin"/>
            </w:r>
            <w:r>
              <w:rPr>
                <w:noProof/>
                <w:webHidden/>
              </w:rPr>
              <w:instrText xml:space="preserve"> PAGEREF _Toc200038800 \h </w:instrText>
            </w:r>
            <w:r>
              <w:rPr>
                <w:noProof/>
                <w:webHidden/>
              </w:rPr>
            </w:r>
            <w:r>
              <w:rPr>
                <w:noProof/>
                <w:webHidden/>
              </w:rPr>
              <w:fldChar w:fldCharType="separate"/>
            </w:r>
            <w:r>
              <w:rPr>
                <w:noProof/>
                <w:webHidden/>
              </w:rPr>
              <w:t>6</w:t>
            </w:r>
            <w:r>
              <w:rPr>
                <w:noProof/>
                <w:webHidden/>
              </w:rPr>
              <w:fldChar w:fldCharType="end"/>
            </w:r>
          </w:hyperlink>
        </w:p>
        <w:p w14:paraId="040B5200" w14:textId="3E5114B3" w:rsidR="008544A1" w:rsidRDefault="008544A1">
          <w:pPr>
            <w:pStyle w:val="TM2"/>
            <w:tabs>
              <w:tab w:val="right" w:leader="dot" w:pos="9489"/>
            </w:tabs>
            <w:rPr>
              <w:rFonts w:asciiTheme="minorHAnsi" w:eastAsiaTheme="minorEastAsia" w:hAnsiTheme="minorHAnsi" w:cstheme="minorBidi"/>
              <w:noProof/>
              <w:color w:val="auto"/>
            </w:rPr>
          </w:pPr>
          <w:hyperlink w:anchor="_Toc200038801" w:history="1">
            <w:r w:rsidRPr="007E2F56">
              <w:rPr>
                <w:rStyle w:val="Lienhypertexte"/>
                <w:rFonts w:eastAsia="Cambria"/>
                <w:noProof/>
              </w:rPr>
              <w:t>1</w:t>
            </w:r>
            <w:r w:rsidRPr="007E2F56">
              <w:rPr>
                <w:rStyle w:val="Lienhypertexte"/>
                <w:noProof/>
              </w:rPr>
              <w:t xml:space="preserve"> </w:t>
            </w:r>
            <w:r w:rsidRPr="007E2F56">
              <w:rPr>
                <w:rStyle w:val="Lienhypertexte"/>
                <w:rFonts w:eastAsia="Cambria"/>
                <w:noProof/>
              </w:rPr>
              <w:t>ENGINS CONCERNES</w:t>
            </w:r>
            <w:r>
              <w:rPr>
                <w:noProof/>
                <w:webHidden/>
              </w:rPr>
              <w:tab/>
            </w:r>
            <w:r>
              <w:rPr>
                <w:noProof/>
                <w:webHidden/>
              </w:rPr>
              <w:fldChar w:fldCharType="begin"/>
            </w:r>
            <w:r>
              <w:rPr>
                <w:noProof/>
                <w:webHidden/>
              </w:rPr>
              <w:instrText xml:space="preserve"> PAGEREF _Toc200038801 \h </w:instrText>
            </w:r>
            <w:r>
              <w:rPr>
                <w:noProof/>
                <w:webHidden/>
              </w:rPr>
            </w:r>
            <w:r>
              <w:rPr>
                <w:noProof/>
                <w:webHidden/>
              </w:rPr>
              <w:fldChar w:fldCharType="separate"/>
            </w:r>
            <w:r>
              <w:rPr>
                <w:noProof/>
                <w:webHidden/>
              </w:rPr>
              <w:t>6</w:t>
            </w:r>
            <w:r>
              <w:rPr>
                <w:noProof/>
                <w:webHidden/>
              </w:rPr>
              <w:fldChar w:fldCharType="end"/>
            </w:r>
          </w:hyperlink>
        </w:p>
        <w:p w14:paraId="41557D67" w14:textId="10BB0D9A" w:rsidR="008544A1" w:rsidRDefault="008544A1">
          <w:pPr>
            <w:pStyle w:val="TM2"/>
            <w:tabs>
              <w:tab w:val="right" w:leader="dot" w:pos="9489"/>
            </w:tabs>
            <w:rPr>
              <w:rFonts w:asciiTheme="minorHAnsi" w:eastAsiaTheme="minorEastAsia" w:hAnsiTheme="minorHAnsi" w:cstheme="minorBidi"/>
              <w:noProof/>
              <w:color w:val="auto"/>
            </w:rPr>
          </w:pPr>
          <w:hyperlink w:anchor="_Toc200038802" w:history="1">
            <w:r w:rsidRPr="007E2F56">
              <w:rPr>
                <w:rStyle w:val="Lienhypertexte"/>
                <w:rFonts w:eastAsia="Cambria"/>
                <w:noProof/>
              </w:rPr>
              <w:t>2</w:t>
            </w:r>
            <w:r w:rsidRPr="007E2F56">
              <w:rPr>
                <w:rStyle w:val="Lienhypertexte"/>
                <w:noProof/>
              </w:rPr>
              <w:t xml:space="preserve"> </w:t>
            </w:r>
            <w:r w:rsidRPr="007E2F56">
              <w:rPr>
                <w:rStyle w:val="Lienhypertexte"/>
                <w:rFonts w:eastAsia="Cambria"/>
                <w:noProof/>
              </w:rPr>
              <w:t>MODALITES DE RENOUVELLEMENT A PARTIR DE 6 ANS</w:t>
            </w:r>
            <w:r>
              <w:rPr>
                <w:noProof/>
                <w:webHidden/>
              </w:rPr>
              <w:tab/>
            </w:r>
            <w:r>
              <w:rPr>
                <w:noProof/>
                <w:webHidden/>
              </w:rPr>
              <w:fldChar w:fldCharType="begin"/>
            </w:r>
            <w:r>
              <w:rPr>
                <w:noProof/>
                <w:webHidden/>
              </w:rPr>
              <w:instrText xml:space="preserve"> PAGEREF _Toc200038802 \h </w:instrText>
            </w:r>
            <w:r>
              <w:rPr>
                <w:noProof/>
                <w:webHidden/>
              </w:rPr>
            </w:r>
            <w:r>
              <w:rPr>
                <w:noProof/>
                <w:webHidden/>
              </w:rPr>
              <w:fldChar w:fldCharType="separate"/>
            </w:r>
            <w:r>
              <w:rPr>
                <w:noProof/>
                <w:webHidden/>
              </w:rPr>
              <w:t>6</w:t>
            </w:r>
            <w:r>
              <w:rPr>
                <w:noProof/>
                <w:webHidden/>
              </w:rPr>
              <w:fldChar w:fldCharType="end"/>
            </w:r>
          </w:hyperlink>
        </w:p>
        <w:p w14:paraId="07B8A320" w14:textId="70E2FD85" w:rsidR="008544A1" w:rsidRDefault="008544A1">
          <w:pPr>
            <w:pStyle w:val="TM2"/>
            <w:tabs>
              <w:tab w:val="right" w:leader="dot" w:pos="9489"/>
            </w:tabs>
            <w:rPr>
              <w:rFonts w:asciiTheme="minorHAnsi" w:eastAsiaTheme="minorEastAsia" w:hAnsiTheme="minorHAnsi" w:cstheme="minorBidi"/>
              <w:noProof/>
              <w:color w:val="auto"/>
            </w:rPr>
          </w:pPr>
          <w:hyperlink w:anchor="_Toc200038803" w:history="1">
            <w:r w:rsidRPr="007E2F56">
              <w:rPr>
                <w:rStyle w:val="Lienhypertexte"/>
                <w:rFonts w:eastAsia="Cambria"/>
                <w:noProof/>
              </w:rPr>
              <w:t>3</w:t>
            </w:r>
            <w:r w:rsidRPr="007E2F56">
              <w:rPr>
                <w:rStyle w:val="Lienhypertexte"/>
                <w:noProof/>
              </w:rPr>
              <w:t xml:space="preserve"> </w:t>
            </w:r>
            <w:r w:rsidRPr="007E2F56">
              <w:rPr>
                <w:rStyle w:val="Lienhypertexte"/>
                <w:rFonts w:eastAsia="Cambria"/>
                <w:noProof/>
              </w:rPr>
              <w:t>MODALITES DE RENOUVELLEMENT DES ENGINS RECALORIFUGES</w:t>
            </w:r>
            <w:r>
              <w:rPr>
                <w:noProof/>
                <w:webHidden/>
              </w:rPr>
              <w:tab/>
            </w:r>
            <w:r>
              <w:rPr>
                <w:noProof/>
                <w:webHidden/>
              </w:rPr>
              <w:fldChar w:fldCharType="begin"/>
            </w:r>
            <w:r>
              <w:rPr>
                <w:noProof/>
                <w:webHidden/>
              </w:rPr>
              <w:instrText xml:space="preserve"> PAGEREF _Toc200038803 \h </w:instrText>
            </w:r>
            <w:r>
              <w:rPr>
                <w:noProof/>
                <w:webHidden/>
              </w:rPr>
            </w:r>
            <w:r>
              <w:rPr>
                <w:noProof/>
                <w:webHidden/>
              </w:rPr>
              <w:fldChar w:fldCharType="separate"/>
            </w:r>
            <w:r>
              <w:rPr>
                <w:noProof/>
                <w:webHidden/>
              </w:rPr>
              <w:t>7</w:t>
            </w:r>
            <w:r>
              <w:rPr>
                <w:noProof/>
                <w:webHidden/>
              </w:rPr>
              <w:fldChar w:fldCharType="end"/>
            </w:r>
          </w:hyperlink>
        </w:p>
        <w:p w14:paraId="5156B9C6" w14:textId="1B40C6A9" w:rsidR="008544A1" w:rsidRDefault="008544A1">
          <w:pPr>
            <w:pStyle w:val="TM1"/>
            <w:tabs>
              <w:tab w:val="right" w:leader="dot" w:pos="9489"/>
            </w:tabs>
            <w:rPr>
              <w:rFonts w:asciiTheme="minorHAnsi" w:eastAsiaTheme="minorEastAsia" w:hAnsiTheme="minorHAnsi" w:cstheme="minorBidi"/>
              <w:noProof/>
              <w:color w:val="auto"/>
            </w:rPr>
          </w:pPr>
          <w:hyperlink w:anchor="_Toc200038804" w:history="1">
            <w:r w:rsidRPr="007E2F56">
              <w:rPr>
                <w:rStyle w:val="Lienhypertexte"/>
                <w:noProof/>
              </w:rPr>
              <w:t>IV- MODALITES A APPLIQUER POUR LA DELIVRANCE DES ATTESTATIONS DE CONFORMITE DES ENGINS EN PROVENANCE DE L’ETRANGER</w:t>
            </w:r>
            <w:r>
              <w:rPr>
                <w:noProof/>
                <w:webHidden/>
              </w:rPr>
              <w:tab/>
            </w:r>
            <w:r>
              <w:rPr>
                <w:noProof/>
                <w:webHidden/>
              </w:rPr>
              <w:fldChar w:fldCharType="begin"/>
            </w:r>
            <w:r>
              <w:rPr>
                <w:noProof/>
                <w:webHidden/>
              </w:rPr>
              <w:instrText xml:space="preserve"> PAGEREF _Toc200038804 \h </w:instrText>
            </w:r>
            <w:r>
              <w:rPr>
                <w:noProof/>
                <w:webHidden/>
              </w:rPr>
            </w:r>
            <w:r>
              <w:rPr>
                <w:noProof/>
                <w:webHidden/>
              </w:rPr>
              <w:fldChar w:fldCharType="separate"/>
            </w:r>
            <w:r>
              <w:rPr>
                <w:noProof/>
                <w:webHidden/>
              </w:rPr>
              <w:t>7</w:t>
            </w:r>
            <w:r>
              <w:rPr>
                <w:noProof/>
                <w:webHidden/>
              </w:rPr>
              <w:fldChar w:fldCharType="end"/>
            </w:r>
          </w:hyperlink>
        </w:p>
        <w:p w14:paraId="0721AEC9" w14:textId="2733B52F" w:rsidR="008544A1" w:rsidRDefault="008544A1">
          <w:pPr>
            <w:pStyle w:val="TM2"/>
            <w:tabs>
              <w:tab w:val="right" w:leader="dot" w:pos="9489"/>
            </w:tabs>
            <w:rPr>
              <w:rFonts w:asciiTheme="minorHAnsi" w:eastAsiaTheme="minorEastAsia" w:hAnsiTheme="minorHAnsi" w:cstheme="minorBidi"/>
              <w:noProof/>
              <w:color w:val="auto"/>
            </w:rPr>
          </w:pPr>
          <w:hyperlink w:anchor="_Toc200038805" w:history="1">
            <w:r w:rsidRPr="007E2F56">
              <w:rPr>
                <w:rStyle w:val="Lienhypertexte"/>
                <w:rFonts w:eastAsia="Cambria"/>
                <w:noProof/>
              </w:rPr>
              <w:t>1</w:t>
            </w:r>
            <w:r w:rsidRPr="007E2F56">
              <w:rPr>
                <w:rStyle w:val="Lienhypertexte"/>
                <w:noProof/>
              </w:rPr>
              <w:t xml:space="preserve"> </w:t>
            </w:r>
            <w:r w:rsidRPr="007E2F56">
              <w:rPr>
                <w:rStyle w:val="Lienhypertexte"/>
                <w:rFonts w:eastAsia="Cambria"/>
                <w:noProof/>
              </w:rPr>
              <w:t>CAS DES ENGINS DISPOSANT D’UNE ATTESTATION ATP DU PAYS D’ORIGINE</w:t>
            </w:r>
            <w:r>
              <w:rPr>
                <w:noProof/>
                <w:webHidden/>
              </w:rPr>
              <w:tab/>
            </w:r>
            <w:r>
              <w:rPr>
                <w:noProof/>
                <w:webHidden/>
              </w:rPr>
              <w:fldChar w:fldCharType="begin"/>
            </w:r>
            <w:r>
              <w:rPr>
                <w:noProof/>
                <w:webHidden/>
              </w:rPr>
              <w:instrText xml:space="preserve"> PAGEREF _Toc200038805 \h </w:instrText>
            </w:r>
            <w:r>
              <w:rPr>
                <w:noProof/>
                <w:webHidden/>
              </w:rPr>
            </w:r>
            <w:r>
              <w:rPr>
                <w:noProof/>
                <w:webHidden/>
              </w:rPr>
              <w:fldChar w:fldCharType="separate"/>
            </w:r>
            <w:r>
              <w:rPr>
                <w:noProof/>
                <w:webHidden/>
              </w:rPr>
              <w:t>7</w:t>
            </w:r>
            <w:r>
              <w:rPr>
                <w:noProof/>
                <w:webHidden/>
              </w:rPr>
              <w:fldChar w:fldCharType="end"/>
            </w:r>
          </w:hyperlink>
        </w:p>
        <w:p w14:paraId="323AFDEE" w14:textId="5029D292" w:rsidR="008544A1" w:rsidRDefault="008544A1">
          <w:pPr>
            <w:pStyle w:val="TM2"/>
            <w:tabs>
              <w:tab w:val="right" w:leader="dot" w:pos="9489"/>
            </w:tabs>
            <w:rPr>
              <w:rFonts w:asciiTheme="minorHAnsi" w:eastAsiaTheme="minorEastAsia" w:hAnsiTheme="minorHAnsi" w:cstheme="minorBidi"/>
              <w:noProof/>
              <w:color w:val="auto"/>
            </w:rPr>
          </w:pPr>
          <w:hyperlink w:anchor="_Toc200038806" w:history="1">
            <w:r w:rsidRPr="007E2F56">
              <w:rPr>
                <w:rStyle w:val="Lienhypertexte"/>
                <w:rFonts w:eastAsia="Cambria"/>
                <w:noProof/>
              </w:rPr>
              <w:t>2</w:t>
            </w:r>
            <w:r w:rsidRPr="007E2F56">
              <w:rPr>
                <w:rStyle w:val="Lienhypertexte"/>
                <w:noProof/>
              </w:rPr>
              <w:t xml:space="preserve"> </w:t>
            </w:r>
            <w:r w:rsidRPr="007E2F56">
              <w:rPr>
                <w:rStyle w:val="Lienhypertexte"/>
                <w:rFonts w:eastAsia="Cambria"/>
                <w:noProof/>
              </w:rPr>
              <w:t>CAS DES ENGINS NE DISPOSANT PAS D’ATTESTATION ATP DU PAYS D’ORIGINE</w:t>
            </w:r>
            <w:r>
              <w:rPr>
                <w:noProof/>
                <w:webHidden/>
              </w:rPr>
              <w:tab/>
            </w:r>
            <w:r>
              <w:rPr>
                <w:noProof/>
                <w:webHidden/>
              </w:rPr>
              <w:fldChar w:fldCharType="begin"/>
            </w:r>
            <w:r>
              <w:rPr>
                <w:noProof/>
                <w:webHidden/>
              </w:rPr>
              <w:instrText xml:space="preserve"> PAGEREF _Toc200038806 \h </w:instrText>
            </w:r>
            <w:r>
              <w:rPr>
                <w:noProof/>
                <w:webHidden/>
              </w:rPr>
            </w:r>
            <w:r>
              <w:rPr>
                <w:noProof/>
                <w:webHidden/>
              </w:rPr>
              <w:fldChar w:fldCharType="separate"/>
            </w:r>
            <w:r>
              <w:rPr>
                <w:noProof/>
                <w:webHidden/>
              </w:rPr>
              <w:t>8</w:t>
            </w:r>
            <w:r>
              <w:rPr>
                <w:noProof/>
                <w:webHidden/>
              </w:rPr>
              <w:fldChar w:fldCharType="end"/>
            </w:r>
          </w:hyperlink>
        </w:p>
        <w:p w14:paraId="1C2C740C" w14:textId="4857B16E" w:rsidR="008544A1" w:rsidRDefault="008544A1">
          <w:pPr>
            <w:pStyle w:val="TM1"/>
            <w:tabs>
              <w:tab w:val="right" w:leader="dot" w:pos="9489"/>
            </w:tabs>
            <w:rPr>
              <w:rFonts w:asciiTheme="minorHAnsi" w:eastAsiaTheme="minorEastAsia" w:hAnsiTheme="minorHAnsi" w:cstheme="minorBidi"/>
              <w:noProof/>
              <w:color w:val="auto"/>
            </w:rPr>
          </w:pPr>
          <w:hyperlink w:anchor="_Toc200038807" w:history="1">
            <w:r w:rsidRPr="007E2F56">
              <w:rPr>
                <w:rStyle w:val="Lienhypertexte"/>
                <w:noProof/>
              </w:rPr>
              <w:t>V- TRAITEMENT DES DEMANDES DE DEROGATIONS RELEVANT DE L’ARTICLE 3 DE L’ARRETE DU 27 NOVEMBRE 2020</w:t>
            </w:r>
            <w:r>
              <w:rPr>
                <w:noProof/>
                <w:webHidden/>
              </w:rPr>
              <w:tab/>
            </w:r>
            <w:r>
              <w:rPr>
                <w:noProof/>
                <w:webHidden/>
              </w:rPr>
              <w:fldChar w:fldCharType="begin"/>
            </w:r>
            <w:r>
              <w:rPr>
                <w:noProof/>
                <w:webHidden/>
              </w:rPr>
              <w:instrText xml:space="preserve"> PAGEREF _Toc200038807 \h </w:instrText>
            </w:r>
            <w:r>
              <w:rPr>
                <w:noProof/>
                <w:webHidden/>
              </w:rPr>
            </w:r>
            <w:r>
              <w:rPr>
                <w:noProof/>
                <w:webHidden/>
              </w:rPr>
              <w:fldChar w:fldCharType="separate"/>
            </w:r>
            <w:r>
              <w:rPr>
                <w:noProof/>
                <w:webHidden/>
              </w:rPr>
              <w:t>8</w:t>
            </w:r>
            <w:r>
              <w:rPr>
                <w:noProof/>
                <w:webHidden/>
              </w:rPr>
              <w:fldChar w:fldCharType="end"/>
            </w:r>
          </w:hyperlink>
        </w:p>
        <w:p w14:paraId="7C149628" w14:textId="706CA901" w:rsidR="00F25D8E" w:rsidRDefault="00F25D8E" w:rsidP="00C17EB3">
          <w:pPr>
            <w:ind w:left="0" w:firstLine="0"/>
          </w:pPr>
          <w:r w:rsidRPr="00C17EB3">
            <w:rPr>
              <w:b/>
              <w:bCs/>
              <w:sz w:val="20"/>
              <w:szCs w:val="20"/>
            </w:rPr>
            <w:fldChar w:fldCharType="end"/>
          </w:r>
        </w:p>
      </w:sdtContent>
    </w:sdt>
    <w:p w14:paraId="476874CE" w14:textId="47DA9469" w:rsidR="00F61CA9" w:rsidRDefault="00F61CA9" w:rsidP="001854B8">
      <w:pPr>
        <w:spacing w:after="0" w:line="259" w:lineRule="auto"/>
        <w:ind w:left="0" w:right="0" w:firstLine="0"/>
        <w:jc w:val="left"/>
      </w:pPr>
    </w:p>
    <w:p w14:paraId="7CF406BF" w14:textId="337A98B5" w:rsidR="0059342D" w:rsidRDefault="0059342D" w:rsidP="001854B8">
      <w:pPr>
        <w:spacing w:after="0" w:line="259" w:lineRule="auto"/>
        <w:ind w:left="0" w:right="0" w:firstLine="0"/>
        <w:jc w:val="left"/>
      </w:pPr>
    </w:p>
    <w:p w14:paraId="5256FEBF" w14:textId="00EBA7AB" w:rsidR="0059342D" w:rsidRDefault="0059342D" w:rsidP="001854B8">
      <w:pPr>
        <w:spacing w:after="0" w:line="259" w:lineRule="auto"/>
        <w:ind w:left="0" w:right="0" w:firstLine="0"/>
        <w:jc w:val="left"/>
      </w:pPr>
    </w:p>
    <w:p w14:paraId="6B8BF05C" w14:textId="77777777" w:rsidR="00C4529D" w:rsidRDefault="00C4529D" w:rsidP="001854B8">
      <w:pPr>
        <w:spacing w:after="0" w:line="259" w:lineRule="auto"/>
        <w:ind w:left="0" w:right="0" w:firstLine="0"/>
        <w:jc w:val="left"/>
      </w:pPr>
    </w:p>
    <w:p w14:paraId="198F8B58" w14:textId="77777777" w:rsidR="00A52682" w:rsidRDefault="00A52682" w:rsidP="00A52682">
      <w:pPr>
        <w:spacing w:after="0" w:line="259" w:lineRule="auto"/>
        <w:ind w:left="0" w:right="0" w:firstLine="0"/>
      </w:pPr>
      <w:r>
        <w:t>PREAMBULE : dans le présent document :</w:t>
      </w:r>
    </w:p>
    <w:p w14:paraId="32E16BF6" w14:textId="5655AAEC" w:rsidR="00A52682" w:rsidRDefault="00A52682" w:rsidP="00A52682">
      <w:pPr>
        <w:spacing w:after="0" w:line="259" w:lineRule="auto"/>
        <w:ind w:left="0" w:right="0" w:firstLine="0"/>
      </w:pPr>
      <w:r>
        <w:t xml:space="preserve">- « le délégataire » correspond au délégataire de service public chargé de la délivrance des attestations de conformité (procédure </w:t>
      </w:r>
      <w:r w:rsidRPr="002D427A">
        <w:t xml:space="preserve">référencée </w:t>
      </w:r>
      <w:r w:rsidR="00447A37">
        <w:t>DGAL-</w:t>
      </w:r>
      <w:r w:rsidRPr="002D427A">
        <w:t>2025-001)</w:t>
      </w:r>
      <w:r>
        <w:t>,</w:t>
      </w:r>
    </w:p>
    <w:p w14:paraId="0CF790AA" w14:textId="711F3387" w:rsidR="00A52682" w:rsidRDefault="00A52682" w:rsidP="00A52682">
      <w:pPr>
        <w:spacing w:after="0" w:line="259" w:lineRule="auto"/>
        <w:ind w:left="0" w:right="0" w:firstLine="0"/>
      </w:pPr>
      <w:r>
        <w:t>- la (ou les) station(s) d’essai officielle(s) ATP correspond</w:t>
      </w:r>
      <w:r w:rsidRPr="002D427A">
        <w:t xml:space="preserve"> au délégataire de service public chargé</w:t>
      </w:r>
      <w:r>
        <w:t xml:space="preserve"> de la réalisation des examens de conformité (procédure</w:t>
      </w:r>
      <w:r w:rsidRPr="002D427A">
        <w:t xml:space="preserve"> référencée </w:t>
      </w:r>
      <w:r w:rsidR="00447A37">
        <w:t>DGAL-</w:t>
      </w:r>
      <w:r w:rsidRPr="002D427A">
        <w:t>2025-0</w:t>
      </w:r>
      <w:r>
        <w:t>27</w:t>
      </w:r>
      <w:r w:rsidRPr="002D427A">
        <w:t>)</w:t>
      </w:r>
      <w:r>
        <w:t>.</w:t>
      </w:r>
    </w:p>
    <w:p w14:paraId="0F6325C4" w14:textId="758367D7" w:rsidR="0059342D" w:rsidRDefault="0059342D" w:rsidP="001854B8">
      <w:pPr>
        <w:spacing w:after="0" w:line="259" w:lineRule="auto"/>
        <w:ind w:left="0" w:right="0" w:firstLine="0"/>
        <w:jc w:val="left"/>
      </w:pPr>
    </w:p>
    <w:p w14:paraId="4D339DEA" w14:textId="503DE8C2" w:rsidR="00F822FD" w:rsidRDefault="00F822FD" w:rsidP="001854B8">
      <w:pPr>
        <w:spacing w:after="0" w:line="259" w:lineRule="auto"/>
        <w:ind w:left="0" w:right="0" w:firstLine="0"/>
        <w:jc w:val="left"/>
      </w:pPr>
    </w:p>
    <w:p w14:paraId="721730A4" w14:textId="7AAB0F30" w:rsidR="00F822FD" w:rsidRDefault="00F822FD" w:rsidP="001854B8">
      <w:pPr>
        <w:spacing w:after="0" w:line="259" w:lineRule="auto"/>
        <w:ind w:left="0" w:right="0" w:firstLine="0"/>
        <w:jc w:val="left"/>
      </w:pPr>
    </w:p>
    <w:p w14:paraId="0F72AC83" w14:textId="77777777" w:rsidR="00F822FD" w:rsidRDefault="00F822FD" w:rsidP="001854B8">
      <w:pPr>
        <w:spacing w:after="0" w:line="259" w:lineRule="auto"/>
        <w:ind w:left="0" w:right="0" w:firstLine="0"/>
        <w:jc w:val="left"/>
      </w:pPr>
    </w:p>
    <w:p w14:paraId="1BA14F30" w14:textId="4DCBC6F2" w:rsidR="001854B8" w:rsidRDefault="001854B8" w:rsidP="001854B8">
      <w:pPr>
        <w:pStyle w:val="Titre1"/>
        <w:ind w:left="0" w:firstLine="0"/>
      </w:pPr>
      <w:bookmarkStart w:id="0" w:name="_Toc200038793"/>
      <w:r>
        <w:lastRenderedPageBreak/>
        <w:t>I</w:t>
      </w:r>
      <w:r w:rsidR="002B3429">
        <w:t>-</w:t>
      </w:r>
      <w:r>
        <w:t xml:space="preserve"> </w:t>
      </w:r>
      <w:r w:rsidRPr="00F25D8E">
        <w:rPr>
          <w:rFonts w:cs="Arial"/>
        </w:rPr>
        <w:t>DISPOSITIONS EN VIGUEUR</w:t>
      </w:r>
      <w:bookmarkEnd w:id="0"/>
    </w:p>
    <w:p w14:paraId="55DD9D37" w14:textId="76BE5A2E" w:rsidR="00AD03A0" w:rsidRDefault="00AD03A0" w:rsidP="001854B8">
      <w:pPr>
        <w:spacing w:after="0" w:line="259" w:lineRule="auto"/>
        <w:ind w:left="0" w:right="0" w:firstLine="0"/>
        <w:jc w:val="left"/>
      </w:pPr>
    </w:p>
    <w:p w14:paraId="31E530C8" w14:textId="17755EE5" w:rsidR="00AD03A0" w:rsidRDefault="000F0F75">
      <w:pPr>
        <w:ind w:left="-5" w:right="52"/>
      </w:pPr>
      <w:r>
        <w:t>L’attestation de conformité a pour objet de vérifier, avant leur mise en service puis périodiquement, que les engins de transport de denrées alimentaires sous température dirigée ont été déclarés aptes à cet emploi. Ce contrôle vise à s’assurer que les engins sont capables de produire le froid et de maintenir les températures nécessaires à la bonne conservation des aliments au cours de leur transport, ou simplement la vérifica</w:t>
      </w:r>
      <w:r w:rsidR="00586711">
        <w:t>tion d’isothermie de la caisse.</w:t>
      </w:r>
    </w:p>
    <w:p w14:paraId="408D2E6A"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33A7679" w14:textId="3460DBF4" w:rsidR="00AD03A0" w:rsidRDefault="000F0F75">
      <w:pPr>
        <w:ind w:left="-5" w:right="167"/>
      </w:pPr>
      <w:r>
        <w:t>Cette attestation</w:t>
      </w:r>
      <w:r w:rsidR="00571D85">
        <w:t xml:space="preserve"> est</w:t>
      </w:r>
      <w:r>
        <w:t xml:space="preserve"> délivrée initialement lors de la mise en service de l’engin pour une période de 6 ans</w:t>
      </w:r>
      <w:r w:rsidR="00571D85">
        <w:t>. Elle</w:t>
      </w:r>
      <w:r>
        <w:t xml:space="preserve"> doit être renouvelée une première fois à 6 ans pour une période de 3 ans, puis à 9 ans pour une seconde période de 3 ans</w:t>
      </w:r>
      <w:r w:rsidR="00571D85">
        <w:t>, à l’occasion du passage de l’engin au sein d’un centre de tests reconnu</w:t>
      </w:r>
      <w:r>
        <w:t>. A 12 ans d’âge, l’attestation de conformité ne peut être renouvelée qu’après passage de l’engin en station d’essai officielle. Pour les citernes, le rythme de renouvellement est fixé à 6 ans selon des modalités particulières.</w:t>
      </w:r>
    </w:p>
    <w:p w14:paraId="74DFAAE3"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43ABC9BE" w14:textId="77777777" w:rsidR="00AD03A0" w:rsidRDefault="000F0F75">
      <w:pPr>
        <w:ind w:left="-5" w:right="52"/>
      </w:pPr>
      <w:r>
        <w:t>L’ensemble du dispositif repose sur la confiance que le professionnel doit établir en son aptitude à maîtriser la conformité des engins aux prescriptions réglementaires.</w:t>
      </w:r>
    </w:p>
    <w:p w14:paraId="30675192"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6B115D3" w14:textId="77777777" w:rsidR="00AD03A0" w:rsidRDefault="00A10DB6" w:rsidP="00A10DB6">
      <w:pPr>
        <w:ind w:left="-5" w:right="52"/>
      </w:pPr>
      <w:r>
        <w:t xml:space="preserve">Cette confiance </w:t>
      </w:r>
      <w:r w:rsidR="000F0F75">
        <w:t xml:space="preserve">s’appuie sur : </w:t>
      </w:r>
    </w:p>
    <w:p w14:paraId="529EF394" w14:textId="3ADB75BB" w:rsidR="00AD03A0" w:rsidRDefault="000F0F75">
      <w:pPr>
        <w:numPr>
          <w:ilvl w:val="0"/>
          <w:numId w:val="2"/>
        </w:numPr>
        <w:spacing w:after="29"/>
        <w:ind w:right="52" w:hanging="360"/>
      </w:pPr>
      <w:proofErr w:type="gramStart"/>
      <w:r>
        <w:t>la</w:t>
      </w:r>
      <w:proofErr w:type="gramEnd"/>
      <w:r>
        <w:t xml:space="preserve"> conformité de résultats des essais de type d’engins réalisés par la station officielle et qui émet dans ce c</w:t>
      </w:r>
      <w:r w:rsidR="00752690">
        <w:t>adre un rapport d’essai</w:t>
      </w:r>
      <w:r>
        <w:t xml:space="preserve"> valant certificat de conformité de</w:t>
      </w:r>
      <w:r w:rsidR="00A10DB6">
        <w:t xml:space="preserve"> type tel que décrit par l’ATP,</w:t>
      </w:r>
    </w:p>
    <w:p w14:paraId="36F349E3" w14:textId="77777777" w:rsidR="00AD03A0" w:rsidRDefault="000F0F75">
      <w:pPr>
        <w:numPr>
          <w:ilvl w:val="0"/>
          <w:numId w:val="2"/>
        </w:numPr>
        <w:ind w:right="52" w:hanging="360"/>
      </w:pPr>
      <w:proofErr w:type="gramStart"/>
      <w:r>
        <w:t>la</w:t>
      </w:r>
      <w:proofErr w:type="gramEnd"/>
      <w:r>
        <w:t xml:space="preserve"> conformité des dispositions qualité mises e</w:t>
      </w:r>
      <w:r w:rsidR="00A10DB6">
        <w:t>n place par des professionnels,</w:t>
      </w:r>
    </w:p>
    <w:p w14:paraId="2E664A21" w14:textId="02E2DC30" w:rsidR="00AD03A0" w:rsidRDefault="000F0F75">
      <w:pPr>
        <w:numPr>
          <w:ilvl w:val="0"/>
          <w:numId w:val="2"/>
        </w:numPr>
        <w:ind w:right="52" w:hanging="360"/>
      </w:pPr>
      <w:proofErr w:type="gramStart"/>
      <w:r>
        <w:t>les</w:t>
      </w:r>
      <w:proofErr w:type="gramEnd"/>
      <w:r>
        <w:t xml:space="preserve"> résultats des audits périodiquement réalisés par </w:t>
      </w:r>
      <w:r w:rsidR="003F3EAA">
        <w:t>le délégataire</w:t>
      </w:r>
      <w:r>
        <w:t>.</w:t>
      </w:r>
    </w:p>
    <w:p w14:paraId="2536A477"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3C501FDB" w14:textId="4982A781" w:rsidR="00AD03A0" w:rsidRDefault="000F0F75">
      <w:pPr>
        <w:ind w:left="-5" w:right="52"/>
      </w:pPr>
      <w:r>
        <w:t>La (ou les) station(s) d’essais of</w:t>
      </w:r>
      <w:r w:rsidR="00670DF1">
        <w:t xml:space="preserve">ficielle(s) </w:t>
      </w:r>
      <w:r w:rsidR="002D427A">
        <w:t xml:space="preserve">françaises </w:t>
      </w:r>
      <w:r w:rsidR="00670DF1">
        <w:t>sont notifiée(s) au</w:t>
      </w:r>
      <w:r w:rsidR="00F76AB8">
        <w:t>près de la</w:t>
      </w:r>
      <w:r w:rsidR="00F76AB8" w:rsidRPr="00F76AB8">
        <w:t xml:space="preserve"> Commission économique des Nations Unies pour l’Europe (CEE-ONU</w:t>
      </w:r>
      <w:r w:rsidR="00F76AB8">
        <w:t xml:space="preserve"> ou UNECE</w:t>
      </w:r>
      <w:r w:rsidR="00F76AB8" w:rsidRPr="00F76AB8">
        <w:t>)</w:t>
      </w:r>
      <w:r>
        <w:t xml:space="preserve"> par le ministère </w:t>
      </w:r>
      <w:r w:rsidR="00EC002A">
        <w:t xml:space="preserve">chargé </w:t>
      </w:r>
      <w:r>
        <w:t>de l’agriculture et dispose(nt) d’une accréditation selon le référentiel NF EN ISO 17025 pour</w:t>
      </w:r>
      <w:r w:rsidR="00EC002A">
        <w:t xml:space="preserve"> les essais décrits à l’annexe 1 de l’appendice 2</w:t>
      </w:r>
      <w:r>
        <w:t xml:space="preserve"> de l’accord ATP.</w:t>
      </w:r>
    </w:p>
    <w:p w14:paraId="68E2D7FE" w14:textId="729EEB33" w:rsidR="00AD03A0" w:rsidRDefault="003F3EAA">
      <w:pPr>
        <w:ind w:left="-5" w:right="52"/>
      </w:pPr>
      <w:r>
        <w:t>Le délégataire</w:t>
      </w:r>
      <w:r w:rsidR="000F0F75">
        <w:t xml:space="preserve"> est désigné par le min</w:t>
      </w:r>
      <w:r w:rsidR="00EC002A">
        <w:t xml:space="preserve">istre chargé de l’agriculture </w:t>
      </w:r>
      <w:r w:rsidR="000F0F75">
        <w:t xml:space="preserve">dans le cadre d’une </w:t>
      </w:r>
      <w:r>
        <w:t xml:space="preserve">délégation </w:t>
      </w:r>
      <w:r w:rsidR="000F0F75">
        <w:t>de service public</w:t>
      </w:r>
      <w:r>
        <w:t xml:space="preserve"> </w:t>
      </w:r>
      <w:bookmarkStart w:id="1" w:name="_Hlk199777956"/>
      <w:r>
        <w:t xml:space="preserve">(procédure référencée </w:t>
      </w:r>
      <w:r w:rsidR="007D7583">
        <w:t>DGAL-</w:t>
      </w:r>
      <w:r>
        <w:t>2025-001)</w:t>
      </w:r>
      <w:bookmarkEnd w:id="1"/>
      <w:r w:rsidR="000F0F75">
        <w:t>.</w:t>
      </w:r>
      <w:r w:rsidR="002D427A">
        <w:t xml:space="preserve"> </w:t>
      </w:r>
      <w:r w:rsidR="000F0F75">
        <w:t>Les audits sont réalisés su</w:t>
      </w:r>
      <w:r w:rsidR="00F76AB8">
        <w:t>r la base de référentiels et de</w:t>
      </w:r>
      <w:r w:rsidR="000F0F75">
        <w:t xml:space="preserve"> règlements d’habilitation </w:t>
      </w:r>
      <w:r w:rsidR="00EC002A">
        <w:t xml:space="preserve">ou de reconnaissance </w:t>
      </w:r>
      <w:r w:rsidR="000F0F75">
        <w:t>validés par la D</w:t>
      </w:r>
      <w:r w:rsidR="00F76AB8">
        <w:t>irection générale de l’alimentation (D</w:t>
      </w:r>
      <w:r w:rsidR="00DB3ED1">
        <w:t>GAL</w:t>
      </w:r>
      <w:r w:rsidR="00F76AB8">
        <w:t>)</w:t>
      </w:r>
      <w:r w:rsidR="000F0F75">
        <w:t xml:space="preserve">. </w:t>
      </w:r>
    </w:p>
    <w:p w14:paraId="61851765" w14:textId="4C21F061" w:rsidR="00AD03A0" w:rsidRDefault="00AD03A0">
      <w:pPr>
        <w:spacing w:after="0" w:line="259" w:lineRule="auto"/>
        <w:ind w:left="0" w:right="0" w:firstLine="0"/>
        <w:jc w:val="left"/>
      </w:pPr>
    </w:p>
    <w:p w14:paraId="49DF5BA7" w14:textId="30F2CD6E" w:rsidR="00AD03A0" w:rsidRDefault="000F0F75">
      <w:pPr>
        <w:ind w:left="-5" w:right="52"/>
      </w:pPr>
      <w:r>
        <w:t>Les demandes d’atte</w:t>
      </w:r>
      <w:r w:rsidR="002603C0">
        <w:t>stations de conformité</w:t>
      </w:r>
      <w:r>
        <w:t xml:space="preserve"> émanant </w:t>
      </w:r>
      <w:r w:rsidR="001E23AA">
        <w:t>des entreprises habilitée</w:t>
      </w:r>
      <w:r>
        <w:t>s</w:t>
      </w:r>
      <w:r w:rsidR="001E23AA">
        <w:t xml:space="preserve"> ou reconnues</w:t>
      </w:r>
      <w:r>
        <w:t xml:space="preserve"> font l’objet d’une évaluation technique par </w:t>
      </w:r>
      <w:r w:rsidR="00C56B0D">
        <w:t>le</w:t>
      </w:r>
      <w:r w:rsidR="002D427A">
        <w:t xml:space="preserve"> </w:t>
      </w:r>
      <w:r w:rsidR="00C56B0D">
        <w:t>délégataire</w:t>
      </w:r>
      <w:r w:rsidR="002D427A">
        <w:t>,</w:t>
      </w:r>
      <w:r>
        <w:t xml:space="preserve"> qui délivre ces attestations en absence de non-conformité</w:t>
      </w:r>
      <w:r w:rsidR="00672BFE">
        <w:t>. Les demandes, les évaluations</w:t>
      </w:r>
      <w:r>
        <w:t xml:space="preserve"> et la délivrance des attestations reposent sur l’exploitation d’un système </w:t>
      </w:r>
      <w:r w:rsidR="008D1BCD">
        <w:t>d’information également nommé « base</w:t>
      </w:r>
      <w:r>
        <w:t xml:space="preserve"> de données</w:t>
      </w:r>
      <w:r w:rsidR="008D1BCD">
        <w:t> »</w:t>
      </w:r>
      <w:r>
        <w:t xml:space="preserve"> et selon des p</w:t>
      </w:r>
      <w:r w:rsidR="00DB3ED1">
        <w:t>rocédures approuvées par la DGAL.</w:t>
      </w:r>
    </w:p>
    <w:p w14:paraId="18CBE6F8"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7E696C68" w14:textId="4311DB35" w:rsidR="00AD03A0" w:rsidRDefault="000F0F75" w:rsidP="00F45690">
      <w:pPr>
        <w:spacing w:after="78"/>
        <w:ind w:left="-5" w:right="52"/>
      </w:pPr>
      <w:r>
        <w:t>Les évaluations susmentionnées sont ré</w:t>
      </w:r>
      <w:r w:rsidR="00F45690">
        <w:t>alisées au frais du demandeur.</w:t>
      </w:r>
    </w:p>
    <w:p w14:paraId="1F1347E3" w14:textId="0D98B772" w:rsidR="00862665" w:rsidRDefault="00862665" w:rsidP="007B4584">
      <w:pPr>
        <w:spacing w:after="0" w:line="240" w:lineRule="auto"/>
        <w:ind w:left="0" w:right="0" w:firstLine="0"/>
      </w:pPr>
    </w:p>
    <w:p w14:paraId="36C236EE" w14:textId="77777777" w:rsidR="00F95E0F" w:rsidRDefault="00F95E0F" w:rsidP="007B4584">
      <w:pPr>
        <w:spacing w:after="0" w:line="240" w:lineRule="auto"/>
        <w:ind w:left="0" w:right="0" w:firstLine="0"/>
      </w:pPr>
    </w:p>
    <w:p w14:paraId="4763F17B" w14:textId="62B4968D" w:rsidR="001854B8" w:rsidRDefault="00F45690" w:rsidP="001854B8">
      <w:pPr>
        <w:pStyle w:val="Titre1"/>
        <w:ind w:left="0" w:firstLine="0"/>
      </w:pPr>
      <w:bookmarkStart w:id="2" w:name="_Toc200038794"/>
      <w:r>
        <w:t>II</w:t>
      </w:r>
      <w:r w:rsidR="002B3429">
        <w:t>-</w:t>
      </w:r>
      <w:r>
        <w:t xml:space="preserve"> </w:t>
      </w:r>
      <w:r w:rsidR="001854B8" w:rsidRPr="001854B8">
        <w:t>MODALITES PARTICULIERES A APPLIQUER PAR LES STATIONS D’ESSAI OFFICIELLES POUR LE RENOUVELLEMENT DE L’ATT</w:t>
      </w:r>
      <w:r w:rsidR="002603C0">
        <w:t>ESTATION DE CONFORMITE</w:t>
      </w:r>
      <w:r w:rsidR="001854B8" w:rsidRPr="001854B8">
        <w:t xml:space="preserve"> A 12 ANS ET PLUS</w:t>
      </w:r>
      <w:bookmarkEnd w:id="2"/>
    </w:p>
    <w:p w14:paraId="3FBB97B6" w14:textId="77777777" w:rsidR="001854B8" w:rsidRDefault="001854B8">
      <w:pPr>
        <w:spacing w:after="0" w:line="259" w:lineRule="auto"/>
        <w:ind w:left="355" w:right="0"/>
        <w:jc w:val="left"/>
        <w:rPr>
          <w:rFonts w:ascii="Cambria" w:eastAsia="Cambria" w:hAnsi="Cambria" w:cs="Cambria"/>
          <w:b/>
          <w:color w:val="4F81BD"/>
          <w:sz w:val="24"/>
        </w:rPr>
      </w:pPr>
    </w:p>
    <w:p w14:paraId="7E31903D" w14:textId="3C6BB667" w:rsidR="00AD03A0" w:rsidRDefault="000F0F75" w:rsidP="00E77D46">
      <w:pPr>
        <w:pStyle w:val="Titre2"/>
      </w:pPr>
      <w:bookmarkStart w:id="3" w:name="_Toc200038795"/>
      <w:r>
        <w:rPr>
          <w:rFonts w:eastAsia="Cambria"/>
          <w:sz w:val="24"/>
        </w:rPr>
        <w:t>1</w:t>
      </w:r>
      <w:r>
        <w:rPr>
          <w:sz w:val="24"/>
        </w:rPr>
        <w:t xml:space="preserve"> </w:t>
      </w:r>
      <w:r>
        <w:rPr>
          <w:rFonts w:eastAsia="Cambria"/>
          <w:sz w:val="24"/>
        </w:rPr>
        <w:t>E</w:t>
      </w:r>
      <w:r>
        <w:rPr>
          <w:rFonts w:eastAsia="Cambria"/>
        </w:rPr>
        <w:t>NGINS CONCERNES</w:t>
      </w:r>
      <w:bookmarkEnd w:id="3"/>
    </w:p>
    <w:p w14:paraId="4E776EF8" w14:textId="77777777" w:rsidR="00AD03A0" w:rsidRDefault="000F0F75">
      <w:pPr>
        <w:spacing w:after="0" w:line="259" w:lineRule="auto"/>
        <w:ind w:left="0" w:right="0" w:firstLine="0"/>
        <w:jc w:val="left"/>
      </w:pPr>
      <w:r>
        <w:t xml:space="preserve"> </w:t>
      </w:r>
    </w:p>
    <w:p w14:paraId="010740BB" w14:textId="77777777" w:rsidR="00EF50A7" w:rsidRDefault="000F0F75" w:rsidP="007B4584">
      <w:pPr>
        <w:spacing w:after="0" w:line="240" w:lineRule="auto"/>
        <w:ind w:left="0" w:right="0" w:firstLine="0"/>
      </w:pPr>
      <w:r>
        <w:t>Engins frigorifiques, réfrigérants, isothermes, petits conteneurs de moins de deux mètres cube, emballa</w:t>
      </w:r>
      <w:r w:rsidR="00EF50A7">
        <w:t>ges isothermes ou réfrigérants.</w:t>
      </w:r>
    </w:p>
    <w:p w14:paraId="604096C7" w14:textId="77777777" w:rsidR="00EF50A7" w:rsidRDefault="00EF50A7" w:rsidP="00EF50A7">
      <w:pPr>
        <w:spacing w:line="338" w:lineRule="auto"/>
        <w:ind w:left="0" w:right="52" w:firstLine="0"/>
      </w:pPr>
    </w:p>
    <w:p w14:paraId="56E8EED8" w14:textId="01DEC2AF" w:rsidR="00AD03A0" w:rsidRDefault="000F0F75" w:rsidP="00E77D46">
      <w:pPr>
        <w:pStyle w:val="Titre2"/>
      </w:pPr>
      <w:bookmarkStart w:id="4" w:name="_Toc200038796"/>
      <w:r>
        <w:rPr>
          <w:rFonts w:eastAsia="Cambria"/>
          <w:sz w:val="24"/>
        </w:rPr>
        <w:lastRenderedPageBreak/>
        <w:t>2</w:t>
      </w:r>
      <w:r>
        <w:rPr>
          <w:sz w:val="24"/>
        </w:rPr>
        <w:t xml:space="preserve"> </w:t>
      </w:r>
      <w:r>
        <w:rPr>
          <w:rFonts w:eastAsia="Cambria"/>
          <w:sz w:val="24"/>
        </w:rPr>
        <w:t>M</w:t>
      </w:r>
      <w:r>
        <w:rPr>
          <w:rFonts w:eastAsia="Cambria"/>
        </w:rPr>
        <w:t xml:space="preserve">ODALITES DE RENOUVELLEMENT A </w:t>
      </w:r>
      <w:r>
        <w:rPr>
          <w:rFonts w:eastAsia="Cambria"/>
          <w:sz w:val="24"/>
        </w:rPr>
        <w:t>12</w:t>
      </w:r>
      <w:r>
        <w:rPr>
          <w:rFonts w:eastAsia="Cambria"/>
        </w:rPr>
        <w:t xml:space="preserve"> ANS</w:t>
      </w:r>
      <w:bookmarkEnd w:id="4"/>
    </w:p>
    <w:p w14:paraId="411FAAA3" w14:textId="77777777" w:rsidR="00AD03A0" w:rsidRDefault="000F0F75">
      <w:pPr>
        <w:spacing w:after="0" w:line="259" w:lineRule="auto"/>
        <w:ind w:left="0" w:right="0" w:firstLine="0"/>
        <w:jc w:val="left"/>
      </w:pPr>
      <w:r>
        <w:t xml:space="preserve"> </w:t>
      </w:r>
    </w:p>
    <w:p w14:paraId="76E204B4" w14:textId="6DBFB3C0" w:rsidR="00AD03A0" w:rsidRDefault="000F0F75">
      <w:pPr>
        <w:ind w:left="-5" w:right="52"/>
      </w:pPr>
      <w:r>
        <w:t xml:space="preserve">Le renouvellement de l’attestation des engins âgés d’au moins 12 ans est réalisé à la demande du propriétaire de l’engin par </w:t>
      </w:r>
      <w:r w:rsidR="00C56B0D">
        <w:t>le délégataire</w:t>
      </w:r>
      <w:r>
        <w:t xml:space="preserve"> sur la base d’un essai de coefficient K et, le cas échéant, d’efficacité thermique réalisé par une station d’essai officielle. </w:t>
      </w:r>
    </w:p>
    <w:p w14:paraId="57DB7742" w14:textId="67C2F260" w:rsidR="00AD03A0" w:rsidRDefault="000F0F75">
      <w:pPr>
        <w:ind w:left="-5" w:right="52"/>
      </w:pPr>
      <w:r>
        <w:t>En cas de conclusions favorables de la station d’essai officielle, une demande d’att</w:t>
      </w:r>
      <w:r w:rsidR="002603C0">
        <w:t>estation de conformité</w:t>
      </w:r>
      <w:r>
        <w:t xml:space="preserve"> est </w:t>
      </w:r>
      <w:r w:rsidR="00C4529D">
        <w:t xml:space="preserve">formulée </w:t>
      </w:r>
      <w:r>
        <w:t xml:space="preserve">par celle-ci en vue de son instruction par </w:t>
      </w:r>
      <w:r w:rsidR="00C56B0D">
        <w:t>le délégataire</w:t>
      </w:r>
      <w:r>
        <w:t xml:space="preserve">. </w:t>
      </w:r>
    </w:p>
    <w:p w14:paraId="197B0136" w14:textId="77777777" w:rsidR="00AD03A0" w:rsidRDefault="000F0F75">
      <w:pPr>
        <w:spacing w:after="0" w:line="259" w:lineRule="auto"/>
        <w:ind w:left="0" w:right="0" w:firstLine="0"/>
        <w:jc w:val="left"/>
      </w:pPr>
      <w:r>
        <w:t xml:space="preserve"> </w:t>
      </w:r>
    </w:p>
    <w:p w14:paraId="1EEA2D1E" w14:textId="5ADA63EB" w:rsidR="00AD03A0" w:rsidRDefault="000F0F75">
      <w:pPr>
        <w:ind w:left="-5" w:right="52"/>
      </w:pPr>
      <w:r>
        <w:t xml:space="preserve">Cette attestation de conformité valable 6 ans, est établie pour la classe de conformité de l’ATP à laquelle correspondent les résultats de l’essai. </w:t>
      </w:r>
    </w:p>
    <w:p w14:paraId="18D189BA" w14:textId="77777777" w:rsidR="00AD03A0" w:rsidRDefault="000F0F75">
      <w:pPr>
        <w:spacing w:after="0" w:line="259" w:lineRule="auto"/>
        <w:ind w:left="0" w:right="0" w:firstLine="0"/>
        <w:jc w:val="left"/>
      </w:pPr>
      <w:r>
        <w:t xml:space="preserve"> </w:t>
      </w:r>
    </w:p>
    <w:p w14:paraId="399D7665" w14:textId="0124D830" w:rsidR="00AD03A0" w:rsidRDefault="000F0F75">
      <w:pPr>
        <w:spacing w:after="2" w:line="238" w:lineRule="auto"/>
        <w:ind w:left="0" w:right="62" w:firstLine="0"/>
      </w:pPr>
      <w:r>
        <w:rPr>
          <w:b/>
        </w:rPr>
        <w:t xml:space="preserve">Tout renouvellement d’attestation pour un engin non répertorié dans la base de données est exclu. Cela ne s’applique pas pour les engins ayant fait l’objet d’un essai en </w:t>
      </w:r>
      <w:r w:rsidR="00F61CA9">
        <w:rPr>
          <w:b/>
        </w:rPr>
        <w:t>station d’essai officielle ATP.</w:t>
      </w:r>
    </w:p>
    <w:p w14:paraId="68D3C1A7" w14:textId="77777777" w:rsidR="00AD03A0" w:rsidRDefault="000F0F75">
      <w:pPr>
        <w:spacing w:after="0" w:line="259" w:lineRule="auto"/>
        <w:ind w:left="0" w:right="0" w:firstLine="0"/>
        <w:jc w:val="left"/>
      </w:pPr>
      <w:r>
        <w:rPr>
          <w:b/>
        </w:rPr>
        <w:t xml:space="preserve"> </w:t>
      </w:r>
    </w:p>
    <w:p w14:paraId="1EB91004" w14:textId="3C0B9922" w:rsidR="00AD03A0" w:rsidRDefault="000F0F75">
      <w:pPr>
        <w:ind w:left="-5" w:right="52"/>
      </w:pPr>
      <w:r>
        <w:t>Lorsque les résultats des essais ne sont conformes à aucune classe de l’ATP, aucune attestation n’est délivrée et il est demandé formellement au propriétaire de l’engin le retrait du marquage d</w:t>
      </w:r>
      <w:r w:rsidR="00F61CA9">
        <w:t>’identification ATP antérieur.</w:t>
      </w:r>
    </w:p>
    <w:p w14:paraId="3CA835F5" w14:textId="77777777" w:rsidR="00AD03A0" w:rsidRDefault="000F0F75">
      <w:pPr>
        <w:spacing w:after="0" w:line="259" w:lineRule="auto"/>
        <w:ind w:left="0" w:right="0" w:firstLine="0"/>
        <w:jc w:val="left"/>
      </w:pPr>
      <w:r>
        <w:t xml:space="preserve"> </w:t>
      </w:r>
    </w:p>
    <w:p w14:paraId="1C2ABCF1" w14:textId="75C5C4ED" w:rsidR="00AD03A0" w:rsidRDefault="000F0F75">
      <w:pPr>
        <w:ind w:left="-5" w:right="52"/>
      </w:pPr>
      <w:r>
        <w:t>La période de validité des résultats d’un essai en station d’essai, en vue du renouvellement d’une attestation de conform</w:t>
      </w:r>
      <w:r w:rsidR="002603C0">
        <w:t>ité</w:t>
      </w:r>
      <w:r w:rsidR="00F61CA9">
        <w:t>, est de six mois.</w:t>
      </w:r>
    </w:p>
    <w:p w14:paraId="2E9F2139" w14:textId="77777777" w:rsidR="00AD03A0" w:rsidRDefault="000F0F75">
      <w:pPr>
        <w:spacing w:after="0" w:line="259" w:lineRule="auto"/>
        <w:ind w:left="0" w:right="0" w:firstLine="0"/>
        <w:jc w:val="left"/>
      </w:pPr>
      <w:r>
        <w:t xml:space="preserve"> </w:t>
      </w:r>
    </w:p>
    <w:p w14:paraId="682B41C5" w14:textId="6582043A" w:rsidR="00EF50A7" w:rsidRDefault="000F0F75" w:rsidP="007B4584">
      <w:pPr>
        <w:spacing w:after="0" w:line="240" w:lineRule="auto"/>
        <w:ind w:left="0" w:right="0" w:firstLine="0"/>
      </w:pPr>
      <w:r>
        <w:t>Pour des engins construits en série selon un type déterminé correspondant à un</w:t>
      </w:r>
      <w:r w:rsidR="00752690">
        <w:t xml:space="preserve"> même rapport d’essai</w:t>
      </w:r>
      <w:r>
        <w:t xml:space="preserve"> et exploités de manière similaire, on pourra procéder à un renouvellement par lot selon le protocole de contrôle</w:t>
      </w:r>
      <w:r w:rsidR="00EF50A7">
        <w:t xml:space="preserve"> défini </w:t>
      </w:r>
      <w:r w:rsidR="00EF50A7" w:rsidRPr="00503E11">
        <w:t>au point II-3 ci-après.</w:t>
      </w:r>
    </w:p>
    <w:p w14:paraId="00AA3551" w14:textId="77777777" w:rsidR="00EF50A7" w:rsidRDefault="00EF50A7">
      <w:pPr>
        <w:spacing w:line="306" w:lineRule="auto"/>
        <w:ind w:left="-5" w:right="52"/>
      </w:pPr>
    </w:p>
    <w:p w14:paraId="29CA5FF9" w14:textId="76A8A2EF" w:rsidR="00AD03A0" w:rsidRDefault="000F0F75" w:rsidP="00E77D46">
      <w:pPr>
        <w:pStyle w:val="Titre2"/>
      </w:pPr>
      <w:bookmarkStart w:id="5" w:name="_Toc200038797"/>
      <w:r>
        <w:rPr>
          <w:rFonts w:eastAsia="Cambria"/>
          <w:sz w:val="24"/>
        </w:rPr>
        <w:t>3</w:t>
      </w:r>
      <w:r>
        <w:rPr>
          <w:sz w:val="24"/>
        </w:rPr>
        <w:t xml:space="preserve"> </w:t>
      </w:r>
      <w:r>
        <w:rPr>
          <w:rFonts w:eastAsia="Cambria"/>
          <w:sz w:val="24"/>
        </w:rPr>
        <w:t>R</w:t>
      </w:r>
      <w:r>
        <w:rPr>
          <w:rFonts w:eastAsia="Cambria"/>
        </w:rPr>
        <w:t>ENOUVELLEMENT DES ATTESTATIONS DE CONFORMITE D</w:t>
      </w:r>
      <w:r>
        <w:rPr>
          <w:rFonts w:eastAsia="Cambria"/>
          <w:sz w:val="24"/>
        </w:rPr>
        <w:t>’</w:t>
      </w:r>
      <w:r>
        <w:rPr>
          <w:rFonts w:eastAsia="Cambria"/>
        </w:rPr>
        <w:t>UN LOT D</w:t>
      </w:r>
      <w:r>
        <w:rPr>
          <w:rFonts w:eastAsia="Cambria"/>
          <w:sz w:val="24"/>
        </w:rPr>
        <w:t>’</w:t>
      </w:r>
      <w:r>
        <w:rPr>
          <w:rFonts w:eastAsia="Cambria"/>
        </w:rPr>
        <w:t>ENGINS</w:t>
      </w:r>
      <w:bookmarkEnd w:id="5"/>
    </w:p>
    <w:p w14:paraId="53D0AC3F" w14:textId="2F759A93" w:rsidR="00AD03A0" w:rsidRDefault="00AD03A0">
      <w:pPr>
        <w:spacing w:after="0" w:line="259" w:lineRule="auto"/>
        <w:ind w:left="142" w:right="0" w:firstLine="0"/>
        <w:jc w:val="left"/>
      </w:pPr>
    </w:p>
    <w:p w14:paraId="076CD018" w14:textId="039A4F02" w:rsidR="00AD03A0" w:rsidRDefault="000F0F75">
      <w:pPr>
        <w:ind w:left="-5" w:right="52"/>
      </w:pPr>
      <w:r>
        <w:t xml:space="preserve">La demande de renouvellement par lot est adressée pour l’ensemble d’un lot </w:t>
      </w:r>
      <w:r w:rsidR="00E171FA">
        <w:t>au délégataire</w:t>
      </w:r>
      <w:r>
        <w:t xml:space="preserve"> </w:t>
      </w:r>
      <w:r w:rsidR="00C10A34">
        <w:t>(</w:t>
      </w:r>
      <w:r>
        <w:t>pour étude technique du dossier</w:t>
      </w:r>
      <w:r w:rsidR="00C10A34">
        <w:t>) et à la</w:t>
      </w:r>
      <w:r>
        <w:t xml:space="preserve"> </w:t>
      </w:r>
      <w:r w:rsidR="00E171FA">
        <w:t>station d’essai</w:t>
      </w:r>
      <w:r w:rsidR="00F61CA9">
        <w:t>.</w:t>
      </w:r>
    </w:p>
    <w:p w14:paraId="7477EF13" w14:textId="77777777" w:rsidR="00AD03A0" w:rsidRDefault="000F0F75">
      <w:pPr>
        <w:spacing w:after="0" w:line="259" w:lineRule="auto"/>
        <w:ind w:left="0" w:right="0" w:firstLine="0"/>
        <w:jc w:val="left"/>
      </w:pPr>
      <w:r>
        <w:t xml:space="preserve"> </w:t>
      </w:r>
    </w:p>
    <w:p w14:paraId="381B9B3F" w14:textId="4E308F5B" w:rsidR="00AD03A0" w:rsidRDefault="000F0F75">
      <w:pPr>
        <w:ind w:left="-5" w:right="52"/>
      </w:pPr>
      <w:r>
        <w:t>Aucun engin ne pourra être rajouté au lot après le début du contrôle. La liste des engins est constituée avec les numéros de caisses, de groupes et d’immatriculation, le</w:t>
      </w:r>
      <w:r w:rsidR="00F61CA9">
        <w:t xml:space="preserve"> cas échéant pour chaque engin.</w:t>
      </w:r>
    </w:p>
    <w:p w14:paraId="161F96BB" w14:textId="77777777" w:rsidR="00AD03A0" w:rsidRDefault="000F0F75">
      <w:pPr>
        <w:spacing w:after="0" w:line="259" w:lineRule="auto"/>
        <w:ind w:left="0" w:right="0" w:firstLine="0"/>
        <w:jc w:val="left"/>
      </w:pPr>
      <w:r>
        <w:t xml:space="preserve"> </w:t>
      </w:r>
    </w:p>
    <w:p w14:paraId="54E64B6A" w14:textId="772D1C63" w:rsidR="00AD03A0" w:rsidRDefault="000F0F75">
      <w:pPr>
        <w:ind w:left="-5" w:right="52"/>
      </w:pPr>
      <w:r>
        <w:t>Un lot est constitué d’engins de la même série de fabrication déf</w:t>
      </w:r>
      <w:r w:rsidR="00040FF2">
        <w:t>inie conformément à l’alinéa 6.6</w:t>
      </w:r>
      <w:r>
        <w:t xml:space="preserve"> ii de l’annexe 1 appendice 2 de l’accord ATP</w:t>
      </w:r>
      <w:r w:rsidR="00F25D8E">
        <w:t>.</w:t>
      </w:r>
    </w:p>
    <w:p w14:paraId="21E8064A"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5D46041F" w14:textId="77777777" w:rsidR="00AD03A0" w:rsidRDefault="000F0F75">
      <w:pPr>
        <w:spacing w:after="27"/>
        <w:ind w:left="-5" w:right="52"/>
      </w:pPr>
      <w:r>
        <w:t xml:space="preserve">En outre : </w:t>
      </w:r>
    </w:p>
    <w:p w14:paraId="6218FECA" w14:textId="763DC087" w:rsidR="00AD03A0" w:rsidRDefault="000F0F75">
      <w:pPr>
        <w:numPr>
          <w:ilvl w:val="0"/>
          <w:numId w:val="3"/>
        </w:numPr>
        <w:ind w:right="52" w:hanging="360"/>
      </w:pPr>
      <w:r>
        <w:t xml:space="preserve">Les engins sont construits sur </w:t>
      </w:r>
      <w:r w:rsidR="00F61CA9">
        <w:t>une période de 12 mois maximum.</w:t>
      </w:r>
    </w:p>
    <w:p w14:paraId="73F369F1" w14:textId="261FF017" w:rsidR="00AD03A0" w:rsidRDefault="000F0F75">
      <w:pPr>
        <w:numPr>
          <w:ilvl w:val="0"/>
          <w:numId w:val="3"/>
        </w:numPr>
        <w:ind w:right="52" w:hanging="360"/>
      </w:pPr>
      <w:r>
        <w:t>Les cellules isothermes sont toutes réalisées suivant le même type faisant référence à un</w:t>
      </w:r>
      <w:r w:rsidR="00752690">
        <w:t xml:space="preserve"> seul rapport d’essai</w:t>
      </w:r>
      <w:r w:rsidR="00F61CA9">
        <w:t>.</w:t>
      </w:r>
    </w:p>
    <w:p w14:paraId="5C34253B" w14:textId="77777777" w:rsidR="00AD03A0" w:rsidRDefault="000F0F75">
      <w:pPr>
        <w:spacing w:after="0" w:line="259" w:lineRule="auto"/>
        <w:ind w:left="0" w:right="0" w:firstLine="0"/>
        <w:jc w:val="left"/>
      </w:pPr>
      <w:r>
        <w:rPr>
          <w:rFonts w:ascii="Times New Roman" w:eastAsia="Times New Roman" w:hAnsi="Times New Roman" w:cs="Times New Roman"/>
          <w:sz w:val="28"/>
        </w:rPr>
        <w:t xml:space="preserve"> </w:t>
      </w:r>
    </w:p>
    <w:p w14:paraId="57852AD0" w14:textId="36187083" w:rsidR="00AD03A0" w:rsidRDefault="000F0F75">
      <w:pPr>
        <w:ind w:left="-5" w:right="52"/>
      </w:pPr>
      <w:r>
        <w:t>En ce qui concerne les dispositifs de production de froid, plusieurs cas de</w:t>
      </w:r>
      <w:r w:rsidR="00F95E0F">
        <w:t xml:space="preserve"> figure peuvent se présenter :</w:t>
      </w:r>
    </w:p>
    <w:p w14:paraId="2AC85A5C" w14:textId="2564C7A8" w:rsidR="00AD03A0" w:rsidRDefault="00AD03A0">
      <w:pPr>
        <w:spacing w:after="0" w:line="259" w:lineRule="auto"/>
        <w:ind w:left="0" w:right="0" w:firstLine="0"/>
        <w:jc w:val="left"/>
      </w:pPr>
    </w:p>
    <w:p w14:paraId="7BF53DA1" w14:textId="5A74C4DA" w:rsidR="007B4584" w:rsidRDefault="000F0F75" w:rsidP="007B4584">
      <w:pPr>
        <w:pStyle w:val="Paragraphedeliste"/>
        <w:numPr>
          <w:ilvl w:val="0"/>
          <w:numId w:val="13"/>
        </w:numPr>
        <w:spacing w:after="0" w:line="243" w:lineRule="auto"/>
        <w:ind w:right="0"/>
        <w:jc w:val="left"/>
      </w:pPr>
      <w:proofErr w:type="gramStart"/>
      <w:r>
        <w:t>les</w:t>
      </w:r>
      <w:proofErr w:type="gramEnd"/>
      <w:r>
        <w:t xml:space="preserve"> engins sont tous équipés du même dispositif de production de froid d’origine faisant référence au même rapport d’essai de type</w:t>
      </w:r>
      <w:r w:rsidR="00C4529D">
        <w:t xml:space="preserve"> </w:t>
      </w:r>
      <w:r>
        <w:t>; les dispositifs de production de froid ont été installés pendant une</w:t>
      </w:r>
      <w:r w:rsidR="007B4584">
        <w:t xml:space="preserve"> période maximale de 12 mois ;</w:t>
      </w:r>
    </w:p>
    <w:p w14:paraId="2E4E1426" w14:textId="77777777" w:rsidR="007B4584" w:rsidRDefault="000F0F75" w:rsidP="007B4584">
      <w:pPr>
        <w:pStyle w:val="Paragraphedeliste"/>
        <w:numPr>
          <w:ilvl w:val="0"/>
          <w:numId w:val="13"/>
        </w:numPr>
        <w:spacing w:after="0" w:line="243" w:lineRule="auto"/>
        <w:ind w:right="0"/>
        <w:jc w:val="left"/>
      </w:pPr>
      <w:proofErr w:type="gramStart"/>
      <w:r>
        <w:t>les</w:t>
      </w:r>
      <w:proofErr w:type="gramEnd"/>
      <w:r>
        <w:t xml:space="preserve"> dispositifs de production de froid sont tous remplacés par des matériels neufs et identiques et les caisses sont présentées avec leur nouveau dispositif de prod</w:t>
      </w:r>
      <w:r w:rsidR="007B4584">
        <w:t>uction de froid déjà en place ;</w:t>
      </w:r>
    </w:p>
    <w:p w14:paraId="4947D2B0" w14:textId="354EE258" w:rsidR="00AD03A0" w:rsidRDefault="000F0F75" w:rsidP="007B4584">
      <w:pPr>
        <w:pStyle w:val="Paragraphedeliste"/>
        <w:numPr>
          <w:ilvl w:val="0"/>
          <w:numId w:val="13"/>
        </w:numPr>
        <w:spacing w:after="0" w:line="243" w:lineRule="auto"/>
        <w:ind w:right="0"/>
        <w:jc w:val="left"/>
      </w:pPr>
      <w:proofErr w:type="gramStart"/>
      <w:r>
        <w:lastRenderedPageBreak/>
        <w:t>les</w:t>
      </w:r>
      <w:proofErr w:type="gramEnd"/>
      <w:r>
        <w:t xml:space="preserve"> caisses sont présentées nues, sans dispositif de production de froid neuf, qui sera posé ultérieurement, avec un bouchon o</w:t>
      </w:r>
      <w:r w:rsidR="007B4584">
        <w:t>u l’ancien groupe à démonter.</w:t>
      </w:r>
    </w:p>
    <w:p w14:paraId="0B679746" w14:textId="5B8E2E09" w:rsidR="00AD03A0" w:rsidRDefault="00AD03A0" w:rsidP="007B4584">
      <w:pPr>
        <w:spacing w:after="4" w:line="259" w:lineRule="auto"/>
        <w:ind w:left="0" w:right="0" w:firstLine="0"/>
        <w:jc w:val="left"/>
      </w:pPr>
    </w:p>
    <w:p w14:paraId="202318F2" w14:textId="77777777" w:rsidR="00AD03A0" w:rsidRDefault="000F0F75">
      <w:pPr>
        <w:ind w:left="-5" w:right="52"/>
      </w:pPr>
      <w:r>
        <w:t xml:space="preserve">Un lot peut être constitué d’engins révisés et réparés individuellement ou d’engins dits reconditionnés suivant une procédure systématique. </w:t>
      </w:r>
    </w:p>
    <w:p w14:paraId="7D80BE72" w14:textId="77777777" w:rsidR="00AD03A0" w:rsidRDefault="000F0F75">
      <w:pPr>
        <w:spacing w:after="148" w:line="259" w:lineRule="auto"/>
        <w:ind w:left="0" w:right="0" w:firstLine="0"/>
        <w:jc w:val="left"/>
      </w:pPr>
      <w:r>
        <w:rPr>
          <w:rFonts w:ascii="Times New Roman" w:eastAsia="Times New Roman" w:hAnsi="Times New Roman" w:cs="Times New Roman"/>
          <w:sz w:val="24"/>
        </w:rPr>
        <w:t xml:space="preserve"> </w:t>
      </w:r>
    </w:p>
    <w:p w14:paraId="4F172701" w14:textId="51E1BC2D" w:rsidR="00AD03A0" w:rsidRDefault="000F0F75" w:rsidP="00E77D46">
      <w:pPr>
        <w:pStyle w:val="Titre3"/>
      </w:pPr>
      <w:r>
        <w:rPr>
          <w:rFonts w:eastAsia="Times New Roman" w:cs="Times New Roman"/>
          <w:sz w:val="24"/>
        </w:rPr>
        <w:t xml:space="preserve"> </w:t>
      </w:r>
      <w:bookmarkStart w:id="6" w:name="_Toc117501179"/>
      <w:bookmarkStart w:id="7" w:name="_Toc200038798"/>
      <w:r>
        <w:t>Cas des engins réparés et révisés</w:t>
      </w:r>
      <w:r w:rsidRPr="00E77D46">
        <w:rPr>
          <w:sz w:val="24"/>
          <w:vertAlign w:val="superscript"/>
        </w:rPr>
        <w:t>1</w:t>
      </w:r>
      <w:bookmarkEnd w:id="6"/>
      <w:bookmarkEnd w:id="7"/>
    </w:p>
    <w:p w14:paraId="46403A7D" w14:textId="77777777" w:rsidR="00AD03A0" w:rsidRDefault="000F0F75">
      <w:pPr>
        <w:spacing w:after="0" w:line="259" w:lineRule="auto"/>
        <w:ind w:left="110" w:right="0" w:firstLine="0"/>
        <w:jc w:val="left"/>
      </w:pPr>
      <w:r>
        <w:rPr>
          <w:rFonts w:ascii="Times New Roman" w:eastAsia="Times New Roman" w:hAnsi="Times New Roman" w:cs="Times New Roman"/>
          <w:sz w:val="24"/>
        </w:rPr>
        <w:t xml:space="preserve"> </w:t>
      </w:r>
    </w:p>
    <w:p w14:paraId="2910A12F" w14:textId="77777777" w:rsidR="00AD03A0" w:rsidRDefault="000F0F75">
      <w:pPr>
        <w:ind w:left="-5" w:right="52"/>
      </w:pPr>
      <w:r>
        <w:t xml:space="preserve">Le contrôle technique des lots d’engins révisés ou réparés est réalisé comme suit : </w:t>
      </w:r>
    </w:p>
    <w:p w14:paraId="7E043E65"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03DA9CFC" w14:textId="4A3CF874" w:rsidR="00AD03A0" w:rsidRDefault="000F0F75">
      <w:pPr>
        <w:numPr>
          <w:ilvl w:val="0"/>
          <w:numId w:val="5"/>
        </w:numPr>
        <w:ind w:right="52" w:hanging="360"/>
      </w:pPr>
      <w:r>
        <w:t xml:space="preserve">Le demandeur </w:t>
      </w:r>
      <w:r w:rsidR="00C4529D">
        <w:t xml:space="preserve">formule </w:t>
      </w:r>
      <w:r>
        <w:t>une demande de renouvellement par lot</w:t>
      </w:r>
      <w:r>
        <w:rPr>
          <w:vertAlign w:val="superscript"/>
        </w:rPr>
        <w:footnoteReference w:id="1"/>
      </w:r>
      <w:r>
        <w:t xml:space="preserve"> auprès </w:t>
      </w:r>
      <w:r w:rsidR="00C4529D">
        <w:t xml:space="preserve">du délégataire et </w:t>
      </w:r>
      <w:r>
        <w:t>de la station d’essai officielle. Cette demande liste chacun des engins constituant le lot. Elle est</w:t>
      </w:r>
      <w:r w:rsidR="003A6A11">
        <w:t xml:space="preserve"> </w:t>
      </w:r>
      <w:r>
        <w:t xml:space="preserve">accompagnée de la carte grise et de l’attestation en cours de validité de chaque engin. </w:t>
      </w:r>
      <w:r w:rsidR="00C4529D">
        <w:t>Le délégataire</w:t>
      </w:r>
      <w:r>
        <w:t xml:space="preserve"> vérifie que les engins relèvent </w:t>
      </w:r>
      <w:r w:rsidR="00752690">
        <w:t>du même rapport d’essai</w:t>
      </w:r>
      <w:r>
        <w:t xml:space="preserve"> et de la même année de production (12 mois consécutifs). </w:t>
      </w:r>
    </w:p>
    <w:p w14:paraId="74C51F6C" w14:textId="77777777" w:rsidR="00AD03A0" w:rsidRDefault="000F0F75">
      <w:pPr>
        <w:numPr>
          <w:ilvl w:val="0"/>
          <w:numId w:val="5"/>
        </w:numPr>
        <w:ind w:right="52" w:hanging="360"/>
      </w:pPr>
      <w:r>
        <w:t xml:space="preserve">Des engins sont sélectionnés par tirage au sort selon la norme d’échantillonnage ISO 2859-1, selon le Tableau 2A de niveau III de contrôle général normal, par la station ATP. Le nombre d’engins tirés au sort dépend de la taille du lot et figure dans le tableau ci-dessous : </w:t>
      </w:r>
    </w:p>
    <w:p w14:paraId="4953750F" w14:textId="77777777" w:rsidR="00AD03A0" w:rsidRDefault="000F0F75">
      <w:pPr>
        <w:spacing w:after="0" w:line="259" w:lineRule="auto"/>
        <w:ind w:left="0" w:right="0" w:firstLine="0"/>
        <w:jc w:val="left"/>
      </w:pPr>
      <w:r>
        <w:t xml:space="preserve"> </w:t>
      </w:r>
    </w:p>
    <w:tbl>
      <w:tblPr>
        <w:tblStyle w:val="TableGrid"/>
        <w:tblW w:w="5137" w:type="dxa"/>
        <w:tblInd w:w="1808" w:type="dxa"/>
        <w:tblCellMar>
          <w:top w:w="54" w:type="dxa"/>
          <w:left w:w="80" w:type="dxa"/>
          <w:right w:w="25" w:type="dxa"/>
        </w:tblCellMar>
        <w:tblLook w:val="04A0" w:firstRow="1" w:lastRow="0" w:firstColumn="1" w:lastColumn="0" w:noHBand="0" w:noVBand="1"/>
      </w:tblPr>
      <w:tblGrid>
        <w:gridCol w:w="2447"/>
        <w:gridCol w:w="2690"/>
      </w:tblGrid>
      <w:tr w:rsidR="00AD03A0" w14:paraId="5881C2AA" w14:textId="77777777">
        <w:trPr>
          <w:trHeight w:val="767"/>
        </w:trPr>
        <w:tc>
          <w:tcPr>
            <w:tcW w:w="2447" w:type="dxa"/>
            <w:tcBorders>
              <w:top w:val="single" w:sz="5" w:space="0" w:color="000000"/>
              <w:left w:val="single" w:sz="5" w:space="0" w:color="000000"/>
              <w:bottom w:val="single" w:sz="5" w:space="0" w:color="000000"/>
              <w:right w:val="single" w:sz="5" w:space="0" w:color="000000"/>
            </w:tcBorders>
            <w:shd w:val="clear" w:color="auto" w:fill="DAEEF3"/>
            <w:vAlign w:val="center"/>
          </w:tcPr>
          <w:p w14:paraId="21BE9FFC" w14:textId="77777777" w:rsidR="00AD03A0" w:rsidRDefault="000F0F75">
            <w:pPr>
              <w:spacing w:after="0" w:line="259" w:lineRule="auto"/>
              <w:ind w:left="0" w:right="0" w:firstLine="0"/>
              <w:jc w:val="center"/>
            </w:pPr>
            <w:r>
              <w:rPr>
                <w:rFonts w:ascii="Times New Roman" w:eastAsia="Times New Roman" w:hAnsi="Times New Roman" w:cs="Times New Roman"/>
                <w:b/>
              </w:rPr>
              <w:t>Effectif du lot isolé à contrôler</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shd w:val="clear" w:color="auto" w:fill="DAEEF3"/>
            <w:vAlign w:val="center"/>
          </w:tcPr>
          <w:p w14:paraId="290C50BA" w14:textId="77777777" w:rsidR="00AD03A0" w:rsidRDefault="000F0F75">
            <w:pPr>
              <w:spacing w:after="0" w:line="259" w:lineRule="auto"/>
              <w:ind w:left="0" w:right="0" w:firstLine="0"/>
              <w:jc w:val="center"/>
            </w:pPr>
            <w:r>
              <w:rPr>
                <w:rFonts w:ascii="Times New Roman" w:eastAsia="Times New Roman" w:hAnsi="Times New Roman" w:cs="Times New Roman"/>
                <w:b/>
              </w:rPr>
              <w:t>Nombre d’engins à tirer au sort pour lots réparés</w:t>
            </w:r>
            <w:r>
              <w:rPr>
                <w:rFonts w:ascii="Times New Roman" w:eastAsia="Times New Roman" w:hAnsi="Times New Roman" w:cs="Times New Roman"/>
              </w:rPr>
              <w:t xml:space="preserve"> </w:t>
            </w:r>
          </w:p>
        </w:tc>
      </w:tr>
      <w:tr w:rsidR="00AD03A0" w14:paraId="3AC70067" w14:textId="77777777">
        <w:trPr>
          <w:trHeight w:val="263"/>
        </w:trPr>
        <w:tc>
          <w:tcPr>
            <w:tcW w:w="2447" w:type="dxa"/>
            <w:tcBorders>
              <w:top w:val="single" w:sz="5" w:space="0" w:color="000000"/>
              <w:left w:val="single" w:sz="5" w:space="0" w:color="000000"/>
              <w:bottom w:val="single" w:sz="5" w:space="0" w:color="000000"/>
              <w:right w:val="single" w:sz="5" w:space="0" w:color="000000"/>
            </w:tcBorders>
          </w:tcPr>
          <w:p w14:paraId="0515DE76" w14:textId="77777777" w:rsidR="00AD03A0" w:rsidRDefault="000F0F75">
            <w:pPr>
              <w:spacing w:after="0" w:line="259" w:lineRule="auto"/>
              <w:ind w:left="0" w:right="55" w:firstLine="0"/>
              <w:jc w:val="center"/>
            </w:pPr>
            <w:r>
              <w:rPr>
                <w:rFonts w:ascii="Times New Roman" w:eastAsia="Times New Roman" w:hAnsi="Times New Roman" w:cs="Times New Roman"/>
                <w:b/>
              </w:rPr>
              <w:t xml:space="preserve">2 à 8 </w:t>
            </w:r>
          </w:p>
        </w:tc>
        <w:tc>
          <w:tcPr>
            <w:tcW w:w="2690" w:type="dxa"/>
            <w:tcBorders>
              <w:top w:val="single" w:sz="5" w:space="0" w:color="000000"/>
              <w:left w:val="single" w:sz="5" w:space="0" w:color="000000"/>
              <w:bottom w:val="single" w:sz="5" w:space="0" w:color="000000"/>
              <w:right w:val="single" w:sz="5" w:space="0" w:color="000000"/>
            </w:tcBorders>
          </w:tcPr>
          <w:p w14:paraId="3303FB28" w14:textId="77777777" w:rsidR="00AD03A0" w:rsidRDefault="000F0F75">
            <w:pPr>
              <w:spacing w:after="0" w:line="259" w:lineRule="auto"/>
              <w:ind w:left="0" w:right="55" w:firstLine="0"/>
              <w:jc w:val="center"/>
            </w:pPr>
            <w:r>
              <w:rPr>
                <w:rFonts w:ascii="Times New Roman" w:eastAsia="Times New Roman" w:hAnsi="Times New Roman" w:cs="Times New Roman"/>
                <w:b/>
              </w:rPr>
              <w:t>2</w:t>
            </w:r>
            <w:r>
              <w:rPr>
                <w:rFonts w:ascii="Times New Roman" w:eastAsia="Times New Roman" w:hAnsi="Times New Roman" w:cs="Times New Roman"/>
              </w:rPr>
              <w:t xml:space="preserve"> </w:t>
            </w:r>
          </w:p>
        </w:tc>
      </w:tr>
      <w:tr w:rsidR="00AD03A0" w14:paraId="4E667599"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7F674535" w14:textId="77777777" w:rsidR="00AD03A0" w:rsidRDefault="000F0F75">
            <w:pPr>
              <w:spacing w:after="0" w:line="259" w:lineRule="auto"/>
              <w:ind w:left="0" w:right="55" w:firstLine="0"/>
              <w:jc w:val="center"/>
            </w:pPr>
            <w:r>
              <w:rPr>
                <w:rFonts w:ascii="Times New Roman" w:eastAsia="Times New Roman" w:hAnsi="Times New Roman" w:cs="Times New Roman"/>
                <w:b/>
              </w:rPr>
              <w:t xml:space="preserve">9 à 15 </w:t>
            </w:r>
          </w:p>
        </w:tc>
        <w:tc>
          <w:tcPr>
            <w:tcW w:w="2690" w:type="dxa"/>
            <w:tcBorders>
              <w:top w:val="single" w:sz="5" w:space="0" w:color="000000"/>
              <w:left w:val="single" w:sz="5" w:space="0" w:color="000000"/>
              <w:bottom w:val="single" w:sz="5" w:space="0" w:color="000000"/>
              <w:right w:val="single" w:sz="5" w:space="0" w:color="000000"/>
            </w:tcBorders>
          </w:tcPr>
          <w:p w14:paraId="37D701A2" w14:textId="77777777" w:rsidR="00AD03A0" w:rsidRDefault="000F0F75">
            <w:pPr>
              <w:spacing w:after="0" w:line="259" w:lineRule="auto"/>
              <w:ind w:left="0" w:right="55" w:firstLine="0"/>
              <w:jc w:val="center"/>
            </w:pPr>
            <w:r>
              <w:rPr>
                <w:rFonts w:ascii="Times New Roman" w:eastAsia="Times New Roman" w:hAnsi="Times New Roman" w:cs="Times New Roman"/>
                <w:b/>
              </w:rPr>
              <w:t>3</w:t>
            </w:r>
            <w:r>
              <w:rPr>
                <w:rFonts w:ascii="Times New Roman" w:eastAsia="Times New Roman" w:hAnsi="Times New Roman" w:cs="Times New Roman"/>
              </w:rPr>
              <w:t xml:space="preserve"> </w:t>
            </w:r>
          </w:p>
        </w:tc>
      </w:tr>
      <w:tr w:rsidR="00AD03A0" w14:paraId="71112228"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4BBA4EF0" w14:textId="77777777" w:rsidR="00AD03A0" w:rsidRDefault="000F0F75">
            <w:pPr>
              <w:spacing w:after="0" w:line="259" w:lineRule="auto"/>
              <w:ind w:left="0" w:right="57" w:firstLine="0"/>
              <w:jc w:val="center"/>
            </w:pPr>
            <w:r>
              <w:rPr>
                <w:rFonts w:ascii="Times New Roman" w:eastAsia="Times New Roman" w:hAnsi="Times New Roman" w:cs="Times New Roman"/>
                <w:b/>
              </w:rPr>
              <w:t>16 à 25</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45733DA8" w14:textId="77777777" w:rsidR="00AD03A0" w:rsidRDefault="000F0F75">
            <w:pPr>
              <w:spacing w:after="0" w:line="259" w:lineRule="auto"/>
              <w:ind w:left="0" w:right="55" w:firstLine="0"/>
              <w:jc w:val="center"/>
            </w:pPr>
            <w:r>
              <w:rPr>
                <w:rFonts w:ascii="Times New Roman" w:eastAsia="Times New Roman" w:hAnsi="Times New Roman" w:cs="Times New Roman"/>
                <w:b/>
              </w:rPr>
              <w:t>5</w:t>
            </w:r>
            <w:r>
              <w:rPr>
                <w:rFonts w:ascii="Times New Roman" w:eastAsia="Times New Roman" w:hAnsi="Times New Roman" w:cs="Times New Roman"/>
              </w:rPr>
              <w:t xml:space="preserve"> </w:t>
            </w:r>
          </w:p>
        </w:tc>
      </w:tr>
      <w:tr w:rsidR="00AD03A0" w14:paraId="062BEDB9" w14:textId="77777777">
        <w:trPr>
          <w:trHeight w:val="262"/>
        </w:trPr>
        <w:tc>
          <w:tcPr>
            <w:tcW w:w="2447" w:type="dxa"/>
            <w:tcBorders>
              <w:top w:val="single" w:sz="5" w:space="0" w:color="000000"/>
              <w:left w:val="single" w:sz="5" w:space="0" w:color="000000"/>
              <w:bottom w:val="single" w:sz="5" w:space="0" w:color="000000"/>
              <w:right w:val="single" w:sz="5" w:space="0" w:color="000000"/>
            </w:tcBorders>
          </w:tcPr>
          <w:p w14:paraId="3958475A" w14:textId="77777777" w:rsidR="00AD03A0" w:rsidRDefault="000F0F75">
            <w:pPr>
              <w:spacing w:after="0" w:line="259" w:lineRule="auto"/>
              <w:ind w:left="0" w:right="57" w:firstLine="0"/>
              <w:jc w:val="center"/>
            </w:pPr>
            <w:r>
              <w:rPr>
                <w:rFonts w:ascii="Times New Roman" w:eastAsia="Times New Roman" w:hAnsi="Times New Roman" w:cs="Times New Roman"/>
                <w:b/>
              </w:rPr>
              <w:t>26 à 50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0AB6140D" w14:textId="77777777" w:rsidR="00AD03A0" w:rsidRDefault="000F0F75">
            <w:pPr>
              <w:spacing w:after="0" w:line="259" w:lineRule="auto"/>
              <w:ind w:left="0" w:right="55" w:firstLine="0"/>
              <w:jc w:val="center"/>
            </w:pPr>
            <w:r>
              <w:rPr>
                <w:rFonts w:ascii="Times New Roman" w:eastAsia="Times New Roman" w:hAnsi="Times New Roman" w:cs="Times New Roman"/>
                <w:b/>
              </w:rPr>
              <w:t>8</w:t>
            </w:r>
            <w:r>
              <w:rPr>
                <w:rFonts w:ascii="Times New Roman" w:eastAsia="Times New Roman" w:hAnsi="Times New Roman" w:cs="Times New Roman"/>
              </w:rPr>
              <w:t xml:space="preserve"> </w:t>
            </w:r>
          </w:p>
        </w:tc>
      </w:tr>
      <w:tr w:rsidR="00AD03A0" w14:paraId="4B0C6020"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5E4B921F" w14:textId="77777777" w:rsidR="00AD03A0" w:rsidRDefault="000F0F75">
            <w:pPr>
              <w:spacing w:after="0" w:line="259" w:lineRule="auto"/>
              <w:ind w:left="0" w:right="57" w:firstLine="0"/>
              <w:jc w:val="center"/>
            </w:pPr>
            <w:r>
              <w:rPr>
                <w:rFonts w:ascii="Times New Roman" w:eastAsia="Times New Roman" w:hAnsi="Times New Roman" w:cs="Times New Roman"/>
                <w:b/>
              </w:rPr>
              <w:t>51 à 90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143186C8" w14:textId="77777777" w:rsidR="00AD03A0" w:rsidRDefault="000F0F75">
            <w:pPr>
              <w:spacing w:after="0" w:line="259" w:lineRule="auto"/>
              <w:ind w:left="0" w:right="55" w:firstLine="0"/>
              <w:jc w:val="center"/>
            </w:pPr>
            <w:r>
              <w:rPr>
                <w:rFonts w:ascii="Times New Roman" w:eastAsia="Times New Roman" w:hAnsi="Times New Roman" w:cs="Times New Roman"/>
                <w:b/>
              </w:rPr>
              <w:t>13</w:t>
            </w:r>
            <w:r>
              <w:rPr>
                <w:rFonts w:ascii="Times New Roman" w:eastAsia="Times New Roman" w:hAnsi="Times New Roman" w:cs="Times New Roman"/>
              </w:rPr>
              <w:t xml:space="preserve"> </w:t>
            </w:r>
          </w:p>
        </w:tc>
      </w:tr>
      <w:tr w:rsidR="00AD03A0" w14:paraId="5DB49E7C" w14:textId="77777777">
        <w:trPr>
          <w:trHeight w:val="264"/>
        </w:trPr>
        <w:tc>
          <w:tcPr>
            <w:tcW w:w="2447" w:type="dxa"/>
            <w:tcBorders>
              <w:top w:val="single" w:sz="5" w:space="0" w:color="000000"/>
              <w:left w:val="single" w:sz="5" w:space="0" w:color="000000"/>
              <w:bottom w:val="single" w:sz="5" w:space="0" w:color="000000"/>
              <w:right w:val="single" w:sz="5" w:space="0" w:color="000000"/>
            </w:tcBorders>
          </w:tcPr>
          <w:p w14:paraId="34D091AE" w14:textId="77777777" w:rsidR="00AD03A0" w:rsidRDefault="000F0F75">
            <w:pPr>
              <w:spacing w:after="0" w:line="259" w:lineRule="auto"/>
              <w:ind w:left="0" w:right="59" w:firstLine="0"/>
              <w:jc w:val="center"/>
            </w:pPr>
            <w:r>
              <w:rPr>
                <w:rFonts w:ascii="Times New Roman" w:eastAsia="Times New Roman" w:hAnsi="Times New Roman" w:cs="Times New Roman"/>
                <w:b/>
              </w:rPr>
              <w:t>91 à 150</w:t>
            </w:r>
            <w:r>
              <w:rPr>
                <w:rFonts w:ascii="Times New Roman" w:eastAsia="Times New Roman" w:hAnsi="Times New Roman" w:cs="Times New Roman"/>
              </w:rPr>
              <w:t xml:space="preserve"> </w:t>
            </w:r>
          </w:p>
        </w:tc>
        <w:tc>
          <w:tcPr>
            <w:tcW w:w="2690" w:type="dxa"/>
            <w:tcBorders>
              <w:top w:val="single" w:sz="5" w:space="0" w:color="000000"/>
              <w:left w:val="single" w:sz="5" w:space="0" w:color="000000"/>
              <w:bottom w:val="single" w:sz="5" w:space="0" w:color="000000"/>
              <w:right w:val="single" w:sz="5" w:space="0" w:color="000000"/>
            </w:tcBorders>
          </w:tcPr>
          <w:p w14:paraId="407182D3" w14:textId="77777777" w:rsidR="00AD03A0" w:rsidRDefault="000F0F75">
            <w:pPr>
              <w:spacing w:after="0" w:line="259" w:lineRule="auto"/>
              <w:ind w:left="0" w:right="55" w:firstLine="0"/>
              <w:jc w:val="center"/>
            </w:pPr>
            <w:r>
              <w:rPr>
                <w:rFonts w:ascii="Times New Roman" w:eastAsia="Times New Roman" w:hAnsi="Times New Roman" w:cs="Times New Roman"/>
                <w:b/>
              </w:rPr>
              <w:t>20</w:t>
            </w:r>
            <w:r>
              <w:rPr>
                <w:rFonts w:ascii="Times New Roman" w:eastAsia="Times New Roman" w:hAnsi="Times New Roman" w:cs="Times New Roman"/>
              </w:rPr>
              <w:t xml:space="preserve"> </w:t>
            </w:r>
          </w:p>
        </w:tc>
      </w:tr>
    </w:tbl>
    <w:p w14:paraId="7530DFF9" w14:textId="77777777" w:rsidR="00AD03A0" w:rsidRDefault="000F0F75">
      <w:pPr>
        <w:spacing w:after="0" w:line="259" w:lineRule="auto"/>
        <w:ind w:left="1178" w:right="0" w:firstLine="0"/>
        <w:jc w:val="left"/>
      </w:pPr>
      <w:r>
        <w:rPr>
          <w:rFonts w:ascii="Times New Roman" w:eastAsia="Times New Roman" w:hAnsi="Times New Roman" w:cs="Times New Roman"/>
        </w:rPr>
        <w:t xml:space="preserve"> </w:t>
      </w:r>
    </w:p>
    <w:p w14:paraId="6AC389D7" w14:textId="087866BA" w:rsidR="002E7BA9" w:rsidRDefault="000F0F75">
      <w:pPr>
        <w:numPr>
          <w:ilvl w:val="0"/>
          <w:numId w:val="5"/>
        </w:numPr>
        <w:ind w:right="52" w:hanging="360"/>
      </w:pPr>
      <w:proofErr w:type="gramStart"/>
      <w:r>
        <w:t>les</w:t>
      </w:r>
      <w:proofErr w:type="gramEnd"/>
      <w:r>
        <w:t xml:space="preserve"> engins sélectionnés sont soumis en station d’essai officielle</w:t>
      </w:r>
      <w:r>
        <w:rPr>
          <w:rFonts w:ascii="Times New Roman" w:eastAsia="Times New Roman" w:hAnsi="Times New Roman" w:cs="Times New Roman"/>
          <w:b/>
          <w:sz w:val="24"/>
        </w:rPr>
        <w:t xml:space="preserve"> </w:t>
      </w:r>
      <w:r>
        <w:t>à une mesure du coefficient K et, le cas échéant, à une détermination de l’efficacité du dispositif de production de froid.</w:t>
      </w:r>
    </w:p>
    <w:p w14:paraId="0E09A83E" w14:textId="77777777" w:rsidR="002E7BA9" w:rsidRDefault="002E7BA9" w:rsidP="002E7BA9">
      <w:pPr>
        <w:ind w:right="52"/>
      </w:pPr>
    </w:p>
    <w:p w14:paraId="6F0D46FE" w14:textId="01428CC2" w:rsidR="00AD03A0" w:rsidRDefault="000F0F75">
      <w:pPr>
        <w:numPr>
          <w:ilvl w:val="0"/>
          <w:numId w:val="5"/>
        </w:numPr>
        <w:ind w:right="52" w:hanging="360"/>
      </w:pPr>
      <w:r>
        <w:t>Si l’un des résultats d’essai est non conforme, le lot est rejeté</w:t>
      </w:r>
      <w:r>
        <w:rPr>
          <w:rFonts w:ascii="Times New Roman" w:eastAsia="Times New Roman" w:hAnsi="Times New Roman" w:cs="Times New Roman"/>
          <w:sz w:val="24"/>
        </w:rPr>
        <w:t xml:space="preserve">. </w:t>
      </w:r>
      <w:r>
        <w:t>Toutefois les engins du lot ayant subi un essai conforme en station d’essai et eux seuls, peuvent voir leur attestation</w:t>
      </w:r>
      <w:r w:rsidR="002B3429">
        <w:t xml:space="preserve"> renouvelée à titre individuel.</w:t>
      </w:r>
    </w:p>
    <w:p w14:paraId="6B698212" w14:textId="77777777" w:rsidR="00AD03A0" w:rsidRDefault="000F0F75">
      <w:pPr>
        <w:spacing w:after="0" w:line="259" w:lineRule="auto"/>
        <w:ind w:left="720" w:right="0" w:firstLine="0"/>
        <w:jc w:val="left"/>
      </w:pPr>
      <w:r>
        <w:rPr>
          <w:rFonts w:ascii="Times New Roman" w:eastAsia="Times New Roman" w:hAnsi="Times New Roman" w:cs="Times New Roman"/>
          <w:sz w:val="24"/>
        </w:rPr>
        <w:t xml:space="preserve"> </w:t>
      </w:r>
    </w:p>
    <w:p w14:paraId="49AFD9DC" w14:textId="28B86ED5" w:rsidR="00AD03A0" w:rsidRDefault="000F0F75">
      <w:pPr>
        <w:numPr>
          <w:ilvl w:val="0"/>
          <w:numId w:val="5"/>
        </w:numPr>
        <w:ind w:right="52" w:hanging="360"/>
      </w:pPr>
      <w:r>
        <w:t>Par défaut, la classe techniquement la plus contraignante à respecter est visée, néanmoins c’est le résultat le plus défavorable en termes d’isothermie qui conditionnera la classe d’isoth</w:t>
      </w:r>
      <w:r w:rsidR="002B3429">
        <w:t>ermie affectée au lot complet.</w:t>
      </w:r>
    </w:p>
    <w:p w14:paraId="7A45A75B"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D32577A" w14:textId="00957C7B" w:rsidR="00AD03A0" w:rsidRPr="00C77CC7" w:rsidRDefault="000F0F75">
      <w:pPr>
        <w:numPr>
          <w:ilvl w:val="0"/>
          <w:numId w:val="5"/>
        </w:numPr>
        <w:ind w:right="52" w:hanging="360"/>
      </w:pPr>
      <w:r w:rsidRPr="00C77CC7">
        <w:t>Les autres engins du lot non testés par la station d’essai officielle subissent un contrôle visuel et, le cas échéant, un test de descente ou de maintien en température dans un centre de test</w:t>
      </w:r>
      <w:r w:rsidR="00E9710A" w:rsidRPr="00C77CC7">
        <w:t>s</w:t>
      </w:r>
      <w:r w:rsidRPr="00C77CC7">
        <w:t>. Le centre de test</w:t>
      </w:r>
      <w:r w:rsidR="00E9710A" w:rsidRPr="00C77CC7">
        <w:t>s</w:t>
      </w:r>
      <w:r w:rsidRPr="00C77CC7">
        <w:t xml:space="preserve"> réalise le test selon les procédures du référentiel centre de tests en vigueur. Ce test ne fait pas l’objet de saisie </w:t>
      </w:r>
      <w:r w:rsidR="00672BFE" w:rsidRPr="00C77CC7">
        <w:t>dans la base de données</w:t>
      </w:r>
      <w:r w:rsidRPr="00C77CC7">
        <w:t xml:space="preserve"> par le centre de tests et les rapports de chacun de ces tests sont transmis </w:t>
      </w:r>
      <w:r w:rsidR="00C77CC7" w:rsidRPr="00C77CC7">
        <w:t>au délégataire</w:t>
      </w:r>
      <w:r w:rsidR="002B3429" w:rsidRPr="00C77CC7">
        <w:t>.</w:t>
      </w:r>
    </w:p>
    <w:p w14:paraId="6F52C240" w14:textId="77777777" w:rsidR="00AD03A0" w:rsidRPr="00C77CC7" w:rsidRDefault="000F0F75">
      <w:pPr>
        <w:spacing w:after="0" w:line="259" w:lineRule="auto"/>
        <w:ind w:left="1178" w:right="0" w:firstLine="0"/>
        <w:jc w:val="left"/>
      </w:pPr>
      <w:r w:rsidRPr="00C77CC7">
        <w:rPr>
          <w:rFonts w:ascii="Times New Roman" w:eastAsia="Times New Roman" w:hAnsi="Times New Roman" w:cs="Times New Roman"/>
          <w:sz w:val="24"/>
        </w:rPr>
        <w:t xml:space="preserve"> </w:t>
      </w:r>
    </w:p>
    <w:p w14:paraId="54F316C5" w14:textId="1C8BC7A3" w:rsidR="00AD03A0" w:rsidRDefault="000F0F75">
      <w:pPr>
        <w:numPr>
          <w:ilvl w:val="0"/>
          <w:numId w:val="5"/>
        </w:numPr>
        <w:ind w:right="52" w:hanging="360"/>
      </w:pPr>
      <w:r w:rsidRPr="00C77CC7">
        <w:lastRenderedPageBreak/>
        <w:t xml:space="preserve">Lorsque </w:t>
      </w:r>
      <w:r w:rsidR="00C77CC7" w:rsidRPr="00C77CC7">
        <w:t>le délégataire</w:t>
      </w:r>
      <w:r w:rsidRPr="00C77CC7">
        <w:t xml:space="preserve"> dispose des résultats des tests selon les dates d’échéance des engins, elle vérifie que ceux-ci sont conformes et </w:t>
      </w:r>
      <w:r w:rsidR="00C77CC7" w:rsidRPr="00C77CC7">
        <w:t>procède au</w:t>
      </w:r>
      <w:r w:rsidRPr="00C77CC7">
        <w:t xml:space="preserve"> renouvellement des attestations. La classe et le coefficient sont déterminés sur la base des résultats obtenus les plus défavorables</w:t>
      </w:r>
      <w:r>
        <w:t xml:space="preserve"> issus des engins testés en </w:t>
      </w:r>
      <w:r w:rsidR="00152D73">
        <w:t>station d’essai officielle</w:t>
      </w:r>
      <w:r>
        <w:t>, les attestations délivrées font mention des nouvea</w:t>
      </w:r>
      <w:r w:rsidR="007B4584">
        <w:t>ux rapports d’essais délivrés.</w:t>
      </w:r>
    </w:p>
    <w:p w14:paraId="0CBD77C9"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BA902EE" w14:textId="1DB8006C" w:rsidR="00AD03A0" w:rsidRDefault="000F0F75">
      <w:pPr>
        <w:numPr>
          <w:ilvl w:val="0"/>
          <w:numId w:val="5"/>
        </w:numPr>
        <w:ind w:right="52" w:hanging="360"/>
      </w:pPr>
      <w:r>
        <w:t>Dans le cas où les résultats du centre de tests sont défavorables pour un ou plusieurs engins, ce ou ces derniers sont exclus du lo</w:t>
      </w:r>
      <w:r w:rsidR="00A947E5">
        <w:t>t et leurs attestations ne sont</w:t>
      </w:r>
      <w:r>
        <w:t xml:space="preserve"> pas renouvelées dans le cadre de cette procédure sans que cela remette en cause le renouvellement des attestations des engins dont les essais en station d’essai ou les tests en cent</w:t>
      </w:r>
      <w:r w:rsidR="002B3429">
        <w:t>re de tests ont été favorables.</w:t>
      </w:r>
    </w:p>
    <w:p w14:paraId="7DE2450A" w14:textId="77777777" w:rsidR="00AD03A0" w:rsidRDefault="000F0F75">
      <w:pPr>
        <w:spacing w:after="152" w:line="259" w:lineRule="auto"/>
        <w:ind w:left="110" w:right="0" w:firstLine="0"/>
        <w:jc w:val="left"/>
      </w:pPr>
      <w:r>
        <w:rPr>
          <w:rFonts w:ascii="Times New Roman" w:eastAsia="Times New Roman" w:hAnsi="Times New Roman" w:cs="Times New Roman"/>
          <w:sz w:val="24"/>
        </w:rPr>
        <w:t xml:space="preserve"> </w:t>
      </w:r>
    </w:p>
    <w:p w14:paraId="6C7F9601" w14:textId="77777777" w:rsidR="00AD03A0" w:rsidRDefault="000F0F75" w:rsidP="00E77D46">
      <w:pPr>
        <w:pStyle w:val="Titre3"/>
      </w:pPr>
      <w:bookmarkStart w:id="8" w:name="_Toc117501180"/>
      <w:bookmarkStart w:id="9" w:name="_Toc200038799"/>
      <w:r>
        <w:t>Cas des engins reconditionnés</w:t>
      </w:r>
      <w:r>
        <w:rPr>
          <w:vertAlign w:val="superscript"/>
        </w:rPr>
        <w:footnoteReference w:id="2"/>
      </w:r>
      <w:bookmarkEnd w:id="8"/>
      <w:bookmarkEnd w:id="9"/>
      <w:r>
        <w:t xml:space="preserve"> </w:t>
      </w:r>
    </w:p>
    <w:p w14:paraId="75AA8A7D" w14:textId="77777777" w:rsidR="00AD03A0" w:rsidRDefault="000F0F75">
      <w:pPr>
        <w:spacing w:after="0" w:line="259" w:lineRule="auto"/>
        <w:ind w:left="0" w:right="0" w:firstLine="0"/>
        <w:jc w:val="left"/>
      </w:pPr>
      <w:r>
        <w:rPr>
          <w:rFonts w:ascii="Times New Roman" w:eastAsia="Times New Roman" w:hAnsi="Times New Roman" w:cs="Times New Roman"/>
          <w:b/>
          <w:sz w:val="24"/>
        </w:rPr>
        <w:t xml:space="preserve"> </w:t>
      </w:r>
    </w:p>
    <w:p w14:paraId="2A8FCD6E" w14:textId="342E0C45" w:rsidR="00AD03A0" w:rsidRDefault="000F0F75">
      <w:pPr>
        <w:ind w:left="-5" w:right="52"/>
      </w:pPr>
      <w:r>
        <w:t xml:space="preserve">L’entreprise réalisant des reconditionnements devra être habilitée par </w:t>
      </w:r>
      <w:r w:rsidR="00C10A34">
        <w:t>le délégataire</w:t>
      </w:r>
      <w:r>
        <w:t xml:space="preserve"> suivant la dernière révision du référentiel </w:t>
      </w:r>
      <w:r w:rsidR="009B5D75">
        <w:t xml:space="preserve">technique </w:t>
      </w:r>
      <w:r>
        <w:t xml:space="preserve">d’habilitation « Constructeurs, </w:t>
      </w:r>
      <w:proofErr w:type="spellStart"/>
      <w:r>
        <w:t>reconditionneurs</w:t>
      </w:r>
      <w:proofErr w:type="spellEnd"/>
      <w:r>
        <w:t xml:space="preserve">, </w:t>
      </w:r>
      <w:proofErr w:type="spellStart"/>
      <w:r>
        <w:t>recalorifugeurs</w:t>
      </w:r>
      <w:proofErr w:type="spellEnd"/>
      <w:r>
        <w:t xml:space="preserve"> d’engins de transport de denrées périssables et des mandataires demandeurs d’attestation ».</w:t>
      </w:r>
    </w:p>
    <w:p w14:paraId="69C8BDB7"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5522FDA1" w14:textId="6E55253E" w:rsidR="00AD03A0" w:rsidRDefault="000F0F75">
      <w:pPr>
        <w:ind w:left="-5" w:right="52"/>
      </w:pPr>
      <w:r>
        <w:t xml:space="preserve">L’entreprise habilitée </w:t>
      </w:r>
      <w:r w:rsidR="00C10A34">
        <w:t>formule</w:t>
      </w:r>
      <w:r>
        <w:t xml:space="preserve"> les demandes d’attestation et constitue les lots d’engins reconditionnés comme suit : </w:t>
      </w:r>
    </w:p>
    <w:p w14:paraId="3A68F5C3"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67A8FF5F" w14:textId="77777777" w:rsidR="00AD03A0" w:rsidRDefault="000F0F75">
      <w:pPr>
        <w:numPr>
          <w:ilvl w:val="0"/>
          <w:numId w:val="6"/>
        </w:numPr>
        <w:ind w:right="52" w:hanging="360"/>
      </w:pPr>
      <w:proofErr w:type="gramStart"/>
      <w:r>
        <w:t>un</w:t>
      </w:r>
      <w:proofErr w:type="gramEnd"/>
      <w:r>
        <w:t xml:space="preserve"> lot d’engins à reconditionner est constitué selon les critères définis au chapitre II paragraphe 3. </w:t>
      </w:r>
    </w:p>
    <w:p w14:paraId="5959CEEE" w14:textId="77777777" w:rsidR="00AD03A0" w:rsidRDefault="000F0F75">
      <w:pPr>
        <w:spacing w:after="0" w:line="259" w:lineRule="auto"/>
        <w:ind w:left="720" w:right="0" w:firstLine="0"/>
        <w:jc w:val="left"/>
      </w:pPr>
      <w:r>
        <w:rPr>
          <w:rFonts w:ascii="Times New Roman" w:eastAsia="Times New Roman" w:hAnsi="Times New Roman" w:cs="Times New Roman"/>
          <w:sz w:val="24"/>
        </w:rPr>
        <w:t xml:space="preserve"> </w:t>
      </w:r>
    </w:p>
    <w:p w14:paraId="65645E1F" w14:textId="77777777" w:rsidR="00AD03A0" w:rsidRDefault="000F0F75">
      <w:pPr>
        <w:numPr>
          <w:ilvl w:val="0"/>
          <w:numId w:val="6"/>
        </w:numPr>
        <w:ind w:right="52" w:hanging="360"/>
      </w:pPr>
      <w:proofErr w:type="gramStart"/>
      <w:r>
        <w:t>une</w:t>
      </w:r>
      <w:proofErr w:type="gramEnd"/>
      <w:r>
        <w:t xml:space="preserve"> « tête de série » du lot à reconditionner (le premier engin reconditionné en général) fait l’objet d’un essai de type en station d’essai officielle afin de mesurer son coefficient K et, le cas échéant, de vérifier l’efficacité du dispositif de production de froid. </w:t>
      </w:r>
    </w:p>
    <w:p w14:paraId="567BA70C" w14:textId="77777777" w:rsidR="00AD03A0" w:rsidRDefault="000F0F75">
      <w:pPr>
        <w:spacing w:after="0" w:line="259" w:lineRule="auto"/>
        <w:ind w:left="720" w:right="0" w:firstLine="0"/>
        <w:jc w:val="left"/>
      </w:pPr>
      <w:r>
        <w:t xml:space="preserve"> </w:t>
      </w:r>
    </w:p>
    <w:p w14:paraId="60C464C1" w14:textId="181A3496" w:rsidR="00AD03A0" w:rsidRDefault="000F0F75">
      <w:pPr>
        <w:numPr>
          <w:ilvl w:val="0"/>
          <w:numId w:val="6"/>
        </w:numPr>
        <w:ind w:right="52" w:hanging="360"/>
      </w:pPr>
      <w:proofErr w:type="gramStart"/>
      <w:r>
        <w:t>au</w:t>
      </w:r>
      <w:proofErr w:type="gramEnd"/>
      <w:r>
        <w:t xml:space="preserve"> cours des opérations de reconditionnement, et par tranche complète ou incomplète de 20 engins reconditionnés, </w:t>
      </w:r>
      <w:r w:rsidR="00C56B0D">
        <w:t>le délégataire</w:t>
      </w:r>
      <w:r>
        <w:t xml:space="preserve">, tire au sort 1 engin. </w:t>
      </w:r>
    </w:p>
    <w:p w14:paraId="695A2171" w14:textId="77777777" w:rsidR="00AD03A0" w:rsidRDefault="000F0F75">
      <w:pPr>
        <w:spacing w:after="0" w:line="259" w:lineRule="auto"/>
        <w:ind w:left="720" w:right="0" w:firstLine="0"/>
        <w:jc w:val="left"/>
      </w:pPr>
      <w:r>
        <w:t xml:space="preserve"> </w:t>
      </w:r>
    </w:p>
    <w:p w14:paraId="41C1EA61" w14:textId="29B36D8E" w:rsidR="00AD03A0" w:rsidRDefault="000F0F75">
      <w:pPr>
        <w:numPr>
          <w:ilvl w:val="0"/>
          <w:numId w:val="6"/>
        </w:numPr>
        <w:ind w:right="52" w:hanging="360"/>
      </w:pPr>
      <w:proofErr w:type="gramStart"/>
      <w:r>
        <w:t>l’engin</w:t>
      </w:r>
      <w:proofErr w:type="gramEnd"/>
      <w:r>
        <w:t xml:space="preserve"> tiré au sort passe en station d’essai officielle ATP pour une vérification du coefficient K et, le cas échéant, une détermination de l’efficacité du dispositif de production de froid. La tête de série du lot ne pourra pas être tirée au sort et détermine la première tranche de 20 engins.</w:t>
      </w:r>
    </w:p>
    <w:p w14:paraId="47496E85"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6721B1A4" w14:textId="1B6022E3" w:rsidR="00AD03A0" w:rsidRDefault="000F0F75">
      <w:pPr>
        <w:numPr>
          <w:ilvl w:val="0"/>
          <w:numId w:val="6"/>
        </w:numPr>
        <w:ind w:right="52" w:hanging="360"/>
      </w:pPr>
      <w:proofErr w:type="gramStart"/>
      <w:r>
        <w:t>les</w:t>
      </w:r>
      <w:proofErr w:type="gramEnd"/>
      <w:r>
        <w:t xml:space="preserve"> autres engins subissent un contrôle visuel et, le cas échéant, un test de descente ou de maintien en te</w:t>
      </w:r>
      <w:r w:rsidR="00E9710A">
        <w:t>mpérature en station d’essai</w:t>
      </w:r>
      <w:r>
        <w:t xml:space="preserve"> officielle</w:t>
      </w:r>
      <w:r w:rsidR="00E9710A">
        <w:t xml:space="preserve"> ATP</w:t>
      </w:r>
      <w:r>
        <w:t>,</w:t>
      </w:r>
      <w:r>
        <w:rPr>
          <w:rFonts w:ascii="Times New Roman" w:eastAsia="Times New Roman" w:hAnsi="Times New Roman" w:cs="Times New Roman"/>
        </w:rPr>
        <w:t xml:space="preserve"> </w:t>
      </w:r>
      <w:r>
        <w:t>ou dans un centre de test</w:t>
      </w:r>
      <w:r w:rsidR="00E9710A">
        <w:t>s</w:t>
      </w:r>
      <w:r>
        <w:t xml:space="preserve"> </w:t>
      </w:r>
      <w:r w:rsidR="00E9710A">
        <w:t>reconnu</w:t>
      </w:r>
      <w:r>
        <w:t xml:space="preserve"> qui transmettra les résultats des tests à la station d’essai officielle. </w:t>
      </w:r>
    </w:p>
    <w:p w14:paraId="12A8CBCE"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709F4E89" w14:textId="40602CDE" w:rsidR="00AD03A0" w:rsidRDefault="00C56B0D">
      <w:pPr>
        <w:ind w:left="-5" w:right="52"/>
      </w:pPr>
      <w:r>
        <w:t>Le délégataire</w:t>
      </w:r>
      <w:r w:rsidR="000F0F75">
        <w:t xml:space="preserve"> instruit la demande de renouvellement des engins du lot comme suit : </w:t>
      </w:r>
    </w:p>
    <w:p w14:paraId="2A94E085"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2C7626CF" w14:textId="334D3F57" w:rsidR="00AD03A0" w:rsidRDefault="00C56B0D">
      <w:pPr>
        <w:ind w:left="-5" w:right="52"/>
      </w:pPr>
      <w:r>
        <w:t>Le délégataire</w:t>
      </w:r>
      <w:r w:rsidR="000F0F75">
        <w:t xml:space="preserve"> dispose p</w:t>
      </w:r>
      <w:r w:rsidR="002B3429">
        <w:t>our délivrer les attestations :</w:t>
      </w:r>
    </w:p>
    <w:p w14:paraId="4BBB9A88"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77242A3F" w14:textId="44A61A56" w:rsidR="00AD03A0" w:rsidRDefault="000F0F75">
      <w:pPr>
        <w:numPr>
          <w:ilvl w:val="1"/>
          <w:numId w:val="6"/>
        </w:numPr>
        <w:ind w:right="52" w:hanging="137"/>
      </w:pPr>
      <w:proofErr w:type="gramStart"/>
      <w:r>
        <w:t>du</w:t>
      </w:r>
      <w:proofErr w:type="gramEnd"/>
      <w:r>
        <w:t xml:space="preserve"> dossier de demande</w:t>
      </w:r>
      <w:r>
        <w:rPr>
          <w:color w:val="FF0000"/>
        </w:rPr>
        <w:t xml:space="preserve"> </w:t>
      </w:r>
      <w:r>
        <w:t xml:space="preserve">qui comprend en particulier la liste des engins ; </w:t>
      </w:r>
    </w:p>
    <w:p w14:paraId="4175A0BB" w14:textId="1FE53E15" w:rsidR="00AD03A0" w:rsidRDefault="000F0F75">
      <w:pPr>
        <w:numPr>
          <w:ilvl w:val="1"/>
          <w:numId w:val="6"/>
        </w:numPr>
        <w:ind w:right="52" w:hanging="137"/>
      </w:pPr>
      <w:proofErr w:type="gramStart"/>
      <w:r>
        <w:t>des</w:t>
      </w:r>
      <w:proofErr w:type="gramEnd"/>
      <w:r>
        <w:t xml:space="preserve"> rapports </w:t>
      </w:r>
      <w:r w:rsidR="00752690">
        <w:t>d’essai</w:t>
      </w:r>
      <w:r>
        <w:t xml:space="preserve"> de la tête de série et des engi</w:t>
      </w:r>
      <w:r w:rsidR="00E9710A">
        <w:t>ns testés en station d’essai</w:t>
      </w:r>
      <w:r>
        <w:t xml:space="preserve"> officielle</w:t>
      </w:r>
      <w:r w:rsidR="00E9710A">
        <w:t xml:space="preserve"> ATP</w:t>
      </w:r>
      <w:r>
        <w:t xml:space="preserve"> ; </w:t>
      </w:r>
    </w:p>
    <w:p w14:paraId="58A40ADC" w14:textId="061DBBF4" w:rsidR="00AD03A0" w:rsidRDefault="000F0F75">
      <w:pPr>
        <w:numPr>
          <w:ilvl w:val="1"/>
          <w:numId w:val="6"/>
        </w:numPr>
        <w:ind w:right="52" w:hanging="137"/>
      </w:pPr>
      <w:proofErr w:type="gramStart"/>
      <w:r>
        <w:t>des</w:t>
      </w:r>
      <w:proofErr w:type="gramEnd"/>
      <w:r>
        <w:t xml:space="preserve"> rapports de tests réalisés par </w:t>
      </w:r>
      <w:r w:rsidR="002B3429">
        <w:t>les centres de test habilités ;</w:t>
      </w:r>
    </w:p>
    <w:p w14:paraId="28418D77" w14:textId="2013D4BE" w:rsidR="00AD03A0" w:rsidRDefault="000F0F75">
      <w:pPr>
        <w:numPr>
          <w:ilvl w:val="1"/>
          <w:numId w:val="6"/>
        </w:numPr>
        <w:ind w:right="52" w:hanging="137"/>
      </w:pPr>
      <w:proofErr w:type="gramStart"/>
      <w:r>
        <w:lastRenderedPageBreak/>
        <w:t>du</w:t>
      </w:r>
      <w:proofErr w:type="gramEnd"/>
      <w:r>
        <w:t xml:space="preserve"> rapport d’expertise qui comprend en particulier la liste des engins avec la proposition de classement pour chacun d’entre eux. </w:t>
      </w:r>
    </w:p>
    <w:p w14:paraId="75DCC526" w14:textId="77777777" w:rsidR="00AD03A0" w:rsidRDefault="000F0F75">
      <w:pPr>
        <w:spacing w:after="0" w:line="259" w:lineRule="auto"/>
        <w:ind w:left="0" w:right="0" w:firstLine="0"/>
        <w:jc w:val="left"/>
      </w:pPr>
      <w:r>
        <w:rPr>
          <w:rFonts w:ascii="Times New Roman" w:eastAsia="Times New Roman" w:hAnsi="Times New Roman" w:cs="Times New Roman"/>
        </w:rPr>
        <w:t xml:space="preserve"> </w:t>
      </w:r>
    </w:p>
    <w:p w14:paraId="3184487A" w14:textId="3EC8404D" w:rsidR="00AD03A0" w:rsidRDefault="000F0F75">
      <w:pPr>
        <w:ind w:left="-5" w:right="52"/>
      </w:pPr>
      <w:r>
        <w:t>Les résultats sont analysés de la manière suivante :</w:t>
      </w:r>
    </w:p>
    <w:p w14:paraId="3ADD4BF5" w14:textId="77777777" w:rsidR="00AD03A0" w:rsidRDefault="000F0F75">
      <w:pPr>
        <w:spacing w:after="20" w:line="259" w:lineRule="auto"/>
        <w:ind w:left="0" w:right="0" w:firstLine="0"/>
        <w:jc w:val="left"/>
      </w:pPr>
      <w:r>
        <w:rPr>
          <w:rFonts w:ascii="Times New Roman" w:eastAsia="Times New Roman" w:hAnsi="Times New Roman" w:cs="Times New Roman"/>
        </w:rPr>
        <w:t xml:space="preserve"> </w:t>
      </w:r>
    </w:p>
    <w:p w14:paraId="56B7D576" w14:textId="53947B63" w:rsidR="00AD03A0" w:rsidRDefault="000F0F75">
      <w:pPr>
        <w:numPr>
          <w:ilvl w:val="0"/>
          <w:numId w:val="6"/>
        </w:numPr>
        <w:ind w:right="52" w:hanging="360"/>
      </w:pPr>
      <w:proofErr w:type="gramStart"/>
      <w:r>
        <w:t>si</w:t>
      </w:r>
      <w:proofErr w:type="gramEnd"/>
      <w:r>
        <w:t xml:space="preserve"> l’un des engins testés en station d’essai officielle</w:t>
      </w:r>
      <w:r w:rsidR="00E9710A">
        <w:t xml:space="preserve"> ATP</w:t>
      </w:r>
      <w:r>
        <w:t xml:space="preserve"> après tirage au sort ne relève plus d’une classe ATP : toute la tranche de 20 engins ou moins est rejetée.</w:t>
      </w:r>
      <w:r>
        <w:rPr>
          <w:rFonts w:ascii="Times New Roman" w:eastAsia="Times New Roman" w:hAnsi="Times New Roman" w:cs="Times New Roman"/>
          <w:b/>
        </w:rPr>
        <w:t xml:space="preserve"> </w:t>
      </w:r>
      <w:r>
        <w:t>Cependant, les autres engins du lot peuvent être testés individu</w:t>
      </w:r>
      <w:r w:rsidR="00E9710A">
        <w:t xml:space="preserve">ellement en station d’essai </w:t>
      </w:r>
      <w:r>
        <w:t>officiell</w:t>
      </w:r>
      <w:r w:rsidR="002B3429">
        <w:t>e</w:t>
      </w:r>
      <w:r w:rsidR="00E9710A">
        <w:t xml:space="preserve"> ATP</w:t>
      </w:r>
      <w:r w:rsidR="002B3429">
        <w:t xml:space="preserve"> à la demande du propriétaire.</w:t>
      </w:r>
    </w:p>
    <w:p w14:paraId="6584F970" w14:textId="77777777" w:rsidR="00AD03A0" w:rsidRDefault="000F0F75">
      <w:pPr>
        <w:spacing w:after="20" w:line="259" w:lineRule="auto"/>
        <w:ind w:left="0" w:right="0" w:firstLine="0"/>
        <w:jc w:val="left"/>
      </w:pPr>
      <w:r>
        <w:rPr>
          <w:rFonts w:ascii="Times New Roman" w:eastAsia="Times New Roman" w:hAnsi="Times New Roman" w:cs="Times New Roman"/>
        </w:rPr>
        <w:t xml:space="preserve"> </w:t>
      </w:r>
    </w:p>
    <w:p w14:paraId="39623B45" w14:textId="5FFCC4A5" w:rsidR="00AD03A0" w:rsidRDefault="000F0F75">
      <w:pPr>
        <w:numPr>
          <w:ilvl w:val="0"/>
          <w:numId w:val="6"/>
        </w:numPr>
        <w:ind w:right="52" w:hanging="360"/>
      </w:pPr>
      <w:proofErr w:type="gramStart"/>
      <w:r>
        <w:t>si</w:t>
      </w:r>
      <w:proofErr w:type="gramEnd"/>
      <w:r>
        <w:t xml:space="preserve"> l’ensemble des engins testés est conforme à une classe ATP, les données de l’attestation s</w:t>
      </w:r>
      <w:r w:rsidR="002B3429">
        <w:t>ont définies comme ci-dessous :</w:t>
      </w:r>
    </w:p>
    <w:p w14:paraId="08888A08"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7923FEB7" w14:textId="6C67CB3B" w:rsidR="00AD03A0" w:rsidRDefault="000F0F75">
      <w:pPr>
        <w:numPr>
          <w:ilvl w:val="2"/>
          <w:numId w:val="7"/>
        </w:numPr>
        <w:ind w:right="52" w:hanging="360"/>
      </w:pPr>
      <w:proofErr w:type="gramStart"/>
      <w:r>
        <w:t>le</w:t>
      </w:r>
      <w:proofErr w:type="gramEnd"/>
      <w:r>
        <w:t xml:space="preserve"> coefficient K retenu est le coefficient le plus élevé entre celui de la tête de série et celui tiré au sort pour chaque tranche. La catégorie d’isothermie </w:t>
      </w:r>
      <w:r w:rsidR="002B3429">
        <w:t>est induite par ce coefficient.</w:t>
      </w:r>
    </w:p>
    <w:p w14:paraId="74EF99F4"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26F22000" w14:textId="757EF2ED" w:rsidR="00AD03A0" w:rsidRDefault="000F0F75">
      <w:pPr>
        <w:numPr>
          <w:ilvl w:val="2"/>
          <w:numId w:val="7"/>
        </w:numPr>
        <w:ind w:right="52" w:hanging="360"/>
      </w:pPr>
      <w:proofErr w:type="gramStart"/>
      <w:r>
        <w:t>en</w:t>
      </w:r>
      <w:proofErr w:type="gramEnd"/>
      <w:r>
        <w:t xml:space="preserve"> fonction de cette catégorie, la classe de l’engin (A, B, C …) est définie pour chaque engin en fonction des résultats des engins de référence passés en </w:t>
      </w:r>
      <w:r w:rsidR="00E9710A">
        <w:t>station d’essai</w:t>
      </w:r>
      <w:r w:rsidR="002B3429">
        <w:t xml:space="preserve"> officielle</w:t>
      </w:r>
      <w:r w:rsidR="00E9710A">
        <w:t xml:space="preserve"> ATP</w:t>
      </w:r>
      <w:r w:rsidR="002B3429">
        <w:t>.</w:t>
      </w:r>
    </w:p>
    <w:p w14:paraId="31C26B4E" w14:textId="77777777" w:rsidR="00AD03A0" w:rsidRDefault="000F0F75">
      <w:pPr>
        <w:spacing w:after="0" w:line="259" w:lineRule="auto"/>
        <w:ind w:left="720" w:right="0" w:firstLine="0"/>
        <w:jc w:val="left"/>
      </w:pPr>
      <w:r>
        <w:rPr>
          <w:rFonts w:ascii="Times New Roman" w:eastAsia="Times New Roman" w:hAnsi="Times New Roman" w:cs="Times New Roman"/>
        </w:rPr>
        <w:t xml:space="preserve"> </w:t>
      </w:r>
    </w:p>
    <w:p w14:paraId="0A9B57DF" w14:textId="4CF14CE2" w:rsidR="00AD03A0" w:rsidRDefault="00C56B0D">
      <w:pPr>
        <w:numPr>
          <w:ilvl w:val="2"/>
          <w:numId w:val="7"/>
        </w:numPr>
        <w:ind w:right="52" w:hanging="360"/>
      </w:pPr>
      <w:proofErr w:type="gramStart"/>
      <w:r>
        <w:t>le</w:t>
      </w:r>
      <w:proofErr w:type="gramEnd"/>
      <w:r>
        <w:t xml:space="preserve"> délégataire</w:t>
      </w:r>
      <w:r w:rsidR="000F0F75">
        <w:t xml:space="preserve"> délivre une nouvelle att</w:t>
      </w:r>
      <w:r w:rsidR="002603C0">
        <w:t>estation de conformité</w:t>
      </w:r>
      <w:r w:rsidR="000F0F75">
        <w:t xml:space="preserve"> pour chaque engin du lot, valable 6 années maximum et renouvelable uniquement après un passage en station d’essai </w:t>
      </w:r>
      <w:r w:rsidR="00E9710A">
        <w:t>o</w:t>
      </w:r>
      <w:r w:rsidR="000F0F75">
        <w:t>fficielle</w:t>
      </w:r>
      <w:r w:rsidR="00E9710A">
        <w:t xml:space="preserve"> ATP</w:t>
      </w:r>
      <w:r w:rsidR="000F0F75">
        <w:t xml:space="preserve">. </w:t>
      </w:r>
    </w:p>
    <w:p w14:paraId="0486B2E6" w14:textId="6D8E39D1" w:rsidR="00AD03A0" w:rsidRDefault="00AD03A0" w:rsidP="007B4584">
      <w:pPr>
        <w:ind w:left="1637" w:right="52" w:firstLine="0"/>
      </w:pPr>
    </w:p>
    <w:p w14:paraId="1313BE3E" w14:textId="601F5AFB" w:rsidR="00F45690" w:rsidRDefault="007B4584" w:rsidP="007B4584">
      <w:pPr>
        <w:ind w:right="52"/>
      </w:pPr>
      <w:r>
        <w:t>L</w:t>
      </w:r>
      <w:r w:rsidR="000F0F75">
        <w:t xml:space="preserve">es résultats des tests et des essais sont saisis dans </w:t>
      </w:r>
      <w:r w:rsidR="00672BFE">
        <w:t>la base de données</w:t>
      </w:r>
      <w:r w:rsidR="00E9710A">
        <w:t xml:space="preserve"> </w:t>
      </w:r>
      <w:r w:rsidR="000F0F75">
        <w:t>pour chaque engin reconditionné sous forme de demande d’attestation, ou par un demandeur habilité qui en aurait fait la demande a</w:t>
      </w:r>
      <w:r w:rsidR="00F45690">
        <w:t xml:space="preserve">uprès </w:t>
      </w:r>
      <w:r w:rsidR="00C56B0D">
        <w:t>du délégataire</w:t>
      </w:r>
      <w:r w:rsidR="00F45690">
        <w:t>.</w:t>
      </w:r>
    </w:p>
    <w:p w14:paraId="6541E680" w14:textId="16C8272B" w:rsidR="00F45690" w:rsidRDefault="00F45690" w:rsidP="00F45690">
      <w:pPr>
        <w:spacing w:after="225" w:line="259" w:lineRule="auto"/>
        <w:ind w:left="0" w:right="0" w:firstLine="0"/>
        <w:jc w:val="left"/>
      </w:pPr>
    </w:p>
    <w:p w14:paraId="32CFC5B3" w14:textId="4C0356A1" w:rsidR="00AD03A0" w:rsidRDefault="00E77D46" w:rsidP="00B6164B">
      <w:pPr>
        <w:pStyle w:val="Titre1"/>
      </w:pPr>
      <w:bookmarkStart w:id="10" w:name="_Toc200038800"/>
      <w:r>
        <w:t>III</w:t>
      </w:r>
      <w:r w:rsidR="002B3429">
        <w:t>-</w:t>
      </w:r>
      <w:r>
        <w:t xml:space="preserve"> MODALITES PARTICULIERES A APP</w:t>
      </w:r>
      <w:r w:rsidR="00C17EB3">
        <w:t>LIQUER PAR LES STATIONS D’ESSAI</w:t>
      </w:r>
      <w:r>
        <w:t xml:space="preserve"> OFFICIELLES </w:t>
      </w:r>
      <w:r w:rsidR="00C17EB3">
        <w:t xml:space="preserve">ATP </w:t>
      </w:r>
      <w:r>
        <w:t>POUR LE RENOUVELLEMENT DE L’ATTESTATION DE CONFORMITE DES CITERNES TOUS LES 6 ANS APRES LA PREMIERE MISE EN SERVICE</w:t>
      </w:r>
      <w:bookmarkEnd w:id="10"/>
    </w:p>
    <w:p w14:paraId="5F576B2C" w14:textId="77777777" w:rsidR="00B6164B" w:rsidRPr="00B6164B" w:rsidRDefault="00B6164B" w:rsidP="00B6164B"/>
    <w:p w14:paraId="20D4BDC5" w14:textId="75503524" w:rsidR="00AD03A0" w:rsidRDefault="000F0F75" w:rsidP="00E77D46">
      <w:pPr>
        <w:pStyle w:val="Titre2"/>
      </w:pPr>
      <w:bookmarkStart w:id="11" w:name="_Toc200038801"/>
      <w:r>
        <w:rPr>
          <w:rFonts w:eastAsia="Cambria"/>
          <w:sz w:val="24"/>
        </w:rPr>
        <w:t>1</w:t>
      </w:r>
      <w:r>
        <w:rPr>
          <w:sz w:val="24"/>
        </w:rPr>
        <w:t xml:space="preserve"> </w:t>
      </w:r>
      <w:r>
        <w:rPr>
          <w:rFonts w:eastAsia="Cambria"/>
          <w:sz w:val="24"/>
        </w:rPr>
        <w:t>E</w:t>
      </w:r>
      <w:r>
        <w:rPr>
          <w:rFonts w:eastAsia="Cambria"/>
        </w:rPr>
        <w:t>NGINS CONCERNES</w:t>
      </w:r>
      <w:bookmarkEnd w:id="11"/>
    </w:p>
    <w:p w14:paraId="50B42E3F" w14:textId="77777777" w:rsidR="003A6A11" w:rsidRDefault="003A6A11" w:rsidP="003A6A11">
      <w:pPr>
        <w:spacing w:after="0" w:line="259" w:lineRule="auto"/>
        <w:ind w:right="0"/>
        <w:jc w:val="left"/>
      </w:pPr>
    </w:p>
    <w:p w14:paraId="4B3DEF1C" w14:textId="77777777" w:rsidR="003A6A11" w:rsidRDefault="000F0F75">
      <w:pPr>
        <w:spacing w:line="438" w:lineRule="auto"/>
        <w:ind w:left="345" w:right="3097" w:hanging="360"/>
      </w:pPr>
      <w:r>
        <w:t>Citernes isothermes, frigorifiq</w:t>
      </w:r>
      <w:r w:rsidR="003A6A11">
        <w:t>ues pour liquides alimentaires.</w:t>
      </w:r>
    </w:p>
    <w:p w14:paraId="1B71A35F" w14:textId="26600589" w:rsidR="00AD03A0" w:rsidRDefault="000F0F75" w:rsidP="00E77D46">
      <w:pPr>
        <w:pStyle w:val="Titre2"/>
        <w:rPr>
          <w:rFonts w:eastAsia="Cambria"/>
        </w:rPr>
      </w:pPr>
      <w:bookmarkStart w:id="12" w:name="_Toc200038802"/>
      <w:r>
        <w:rPr>
          <w:rFonts w:eastAsia="Cambria"/>
          <w:sz w:val="24"/>
        </w:rPr>
        <w:t>2</w:t>
      </w:r>
      <w:r>
        <w:rPr>
          <w:sz w:val="24"/>
        </w:rPr>
        <w:t xml:space="preserve"> </w:t>
      </w:r>
      <w:r>
        <w:rPr>
          <w:rFonts w:eastAsia="Cambria"/>
          <w:sz w:val="24"/>
        </w:rPr>
        <w:t>M</w:t>
      </w:r>
      <w:r>
        <w:rPr>
          <w:rFonts w:eastAsia="Cambria"/>
        </w:rPr>
        <w:t xml:space="preserve">ODALITES DE RENOUVELLEMENT A PARTIR DE </w:t>
      </w:r>
      <w:r>
        <w:rPr>
          <w:rFonts w:eastAsia="Cambria"/>
          <w:sz w:val="24"/>
        </w:rPr>
        <w:t>6</w:t>
      </w:r>
      <w:r w:rsidR="00E77D46">
        <w:rPr>
          <w:rFonts w:eastAsia="Cambria"/>
        </w:rPr>
        <w:t xml:space="preserve"> ANS</w:t>
      </w:r>
      <w:bookmarkEnd w:id="12"/>
    </w:p>
    <w:p w14:paraId="4CC12160" w14:textId="77777777" w:rsidR="00E77D46" w:rsidRPr="00E77D46" w:rsidRDefault="00E77D46" w:rsidP="00E77D46"/>
    <w:p w14:paraId="71953B5E" w14:textId="135CE107" w:rsidR="00AD03A0" w:rsidRDefault="000F0F75">
      <w:pPr>
        <w:ind w:left="-5" w:right="52"/>
      </w:pPr>
      <w:r>
        <w:t xml:space="preserve">La demande de renouvellement </w:t>
      </w:r>
      <w:r w:rsidR="002603C0">
        <w:t>des attestations de conformité</w:t>
      </w:r>
      <w:r>
        <w:t xml:space="preserve"> des citernes alimentaires est réalisée par le demandeur </w:t>
      </w:r>
      <w:r w:rsidR="00E9710A">
        <w:t xml:space="preserve">auprès </w:t>
      </w:r>
      <w:r w:rsidR="00E04297">
        <w:t>du délégataire et de la</w:t>
      </w:r>
      <w:r w:rsidR="00E9710A">
        <w:t xml:space="preserve"> station d’essai</w:t>
      </w:r>
      <w:r>
        <w:t xml:space="preserve"> officielle</w:t>
      </w:r>
      <w:r w:rsidR="00E9710A">
        <w:t xml:space="preserve"> ATP</w:t>
      </w:r>
      <w:r>
        <w:t xml:space="preserve">. </w:t>
      </w:r>
      <w:r w:rsidR="00E04297">
        <w:t>A</w:t>
      </w:r>
      <w:r>
        <w:t xml:space="preserve"> l’issue d’un essai d’isothermie</w:t>
      </w:r>
      <w:r w:rsidR="00E04297">
        <w:t xml:space="preserve"> isothermie conforme, l</w:t>
      </w:r>
      <w:r>
        <w:t xml:space="preserve">a station d’essai </w:t>
      </w:r>
      <w:r w:rsidR="00E04297">
        <w:t>établit un rapport d’essai qu’elle transmet au délégataire. Le délégataire délivre la nouvelle a</w:t>
      </w:r>
      <w:r>
        <w:t xml:space="preserve">ttestation pour une durée de 6 ans. Le nouveau coefficient K figure sur l’attestation renouvelée. Lorsque la citerne ne satisfait pas aux conditions techniques de l’ATP, l’engin est déclassé et aucune attestation n’est délivrée (marquage d’identification à retirer). Cet engin peut circuler pour le transport de lait et crème destiné à l’industrie sur une distance inférieure à 200 kilomètres sans rupture de charge. </w:t>
      </w:r>
    </w:p>
    <w:p w14:paraId="05136669" w14:textId="77777777" w:rsidR="00AD03A0" w:rsidRDefault="000F0F75">
      <w:pPr>
        <w:spacing w:after="0" w:line="259" w:lineRule="auto"/>
        <w:ind w:left="0" w:right="0" w:firstLine="0"/>
        <w:jc w:val="left"/>
      </w:pPr>
      <w:r>
        <w:t xml:space="preserve"> </w:t>
      </w:r>
    </w:p>
    <w:p w14:paraId="544C74ED" w14:textId="58859D39" w:rsidR="00AD03A0" w:rsidRDefault="000F0F75">
      <w:pPr>
        <w:ind w:left="-5" w:right="52"/>
      </w:pPr>
      <w:r>
        <w:t xml:space="preserve">Les attestations de conformité des citernes peuvent être renouvelées par lot tous les 6 ans conformément à la procédure susmentionnée appliquée aux autres engins à 12 ans à l’exception </w:t>
      </w:r>
      <w:r>
        <w:lastRenderedPageBreak/>
        <w:t xml:space="preserve">des </w:t>
      </w:r>
      <w:r w:rsidR="00040FF2">
        <w:t>tests</w:t>
      </w:r>
      <w:r>
        <w:t xml:space="preserve"> réalisés par les centres de tests pour les engins non tirés au sort du lot qui sont remplacés par un contrôle visuel ré</w:t>
      </w:r>
      <w:r w:rsidR="00E9710A">
        <w:t>alisé par la station d’essai</w:t>
      </w:r>
      <w:r>
        <w:t xml:space="preserve"> officielle</w:t>
      </w:r>
      <w:r w:rsidR="00E9710A">
        <w:t xml:space="preserve"> ATP</w:t>
      </w:r>
      <w:r>
        <w:t xml:space="preserve">. </w:t>
      </w:r>
    </w:p>
    <w:p w14:paraId="142E9D70" w14:textId="77777777" w:rsidR="00AD03A0" w:rsidRDefault="000F0F75">
      <w:pPr>
        <w:spacing w:after="0" w:line="259" w:lineRule="auto"/>
        <w:ind w:left="0" w:right="0" w:firstLine="0"/>
        <w:jc w:val="left"/>
      </w:pPr>
      <w:r>
        <w:t xml:space="preserve"> </w:t>
      </w:r>
    </w:p>
    <w:p w14:paraId="3D48902F" w14:textId="0BFF85BE" w:rsidR="00AD03A0" w:rsidRDefault="000F0F75" w:rsidP="00E77D46">
      <w:pPr>
        <w:spacing w:after="47"/>
        <w:ind w:left="-5" w:right="52"/>
      </w:pPr>
      <w:r>
        <w:t xml:space="preserve">Un synoptique de cette procédure figure en annexe 3. </w:t>
      </w:r>
    </w:p>
    <w:p w14:paraId="64BA8F55" w14:textId="77777777" w:rsidR="00E77D46" w:rsidRDefault="00E77D46" w:rsidP="00E77D46">
      <w:pPr>
        <w:spacing w:after="47"/>
        <w:ind w:left="-5" w:right="52"/>
      </w:pPr>
    </w:p>
    <w:p w14:paraId="23D03FB4" w14:textId="77777777" w:rsidR="00AD03A0" w:rsidRDefault="000F0F75" w:rsidP="00E77D46">
      <w:pPr>
        <w:pStyle w:val="Titre2"/>
      </w:pPr>
      <w:bookmarkStart w:id="13" w:name="_Toc200038803"/>
      <w:r>
        <w:rPr>
          <w:rFonts w:eastAsia="Cambria"/>
          <w:sz w:val="24"/>
        </w:rPr>
        <w:t>3</w:t>
      </w:r>
      <w:r>
        <w:rPr>
          <w:sz w:val="24"/>
        </w:rPr>
        <w:t xml:space="preserve"> </w:t>
      </w:r>
      <w:r>
        <w:rPr>
          <w:rFonts w:eastAsia="Cambria"/>
          <w:sz w:val="24"/>
        </w:rPr>
        <w:t>M</w:t>
      </w:r>
      <w:r>
        <w:rPr>
          <w:rFonts w:eastAsia="Cambria"/>
        </w:rPr>
        <w:t>ODALITES DE RENOUVELLEMENT DES ENGINS RECALORIFUGES</w:t>
      </w:r>
      <w:bookmarkEnd w:id="13"/>
      <w:r>
        <w:rPr>
          <w:rFonts w:eastAsia="Cambria"/>
          <w:sz w:val="24"/>
        </w:rPr>
        <w:t xml:space="preserve"> </w:t>
      </w:r>
    </w:p>
    <w:p w14:paraId="0728B40F" w14:textId="77777777" w:rsidR="00AD03A0" w:rsidRDefault="000F0F75">
      <w:pPr>
        <w:spacing w:after="0" w:line="259" w:lineRule="auto"/>
        <w:ind w:left="677" w:right="0" w:firstLine="0"/>
        <w:jc w:val="left"/>
      </w:pPr>
      <w:r>
        <w:rPr>
          <w:rFonts w:ascii="Times New Roman" w:eastAsia="Times New Roman" w:hAnsi="Times New Roman" w:cs="Times New Roman"/>
          <w:sz w:val="24"/>
        </w:rPr>
        <w:t xml:space="preserve"> </w:t>
      </w:r>
    </w:p>
    <w:p w14:paraId="3F906ADB" w14:textId="5D3EBAAA" w:rsidR="00AD03A0" w:rsidRDefault="000F0F75">
      <w:pPr>
        <w:ind w:left="-5" w:right="52"/>
      </w:pPr>
      <w:r>
        <w:t xml:space="preserve">Les entreprises qui réalisent le </w:t>
      </w:r>
      <w:proofErr w:type="spellStart"/>
      <w:r>
        <w:t>recalorifugeage</w:t>
      </w:r>
      <w:proofErr w:type="spellEnd"/>
      <w:r>
        <w:t xml:space="preserve"> des citernes isothermes en service peuvent être habilitées selon les dispositions du référentiel d’habilitation constructeur engins neufs. A ce titre, elles peuvent réaliser pour le compte de leur client les demandes de renouvellement des atte</w:t>
      </w:r>
      <w:r w:rsidR="002603C0">
        <w:t>stations de conformité</w:t>
      </w:r>
      <w:r>
        <w:t xml:space="preserve"> des citernes recalorifugées dans leurs établissements. </w:t>
      </w:r>
    </w:p>
    <w:p w14:paraId="2260315F" w14:textId="7BBEDF88" w:rsidR="00AD03A0" w:rsidRDefault="00AD03A0">
      <w:pPr>
        <w:spacing w:after="0" w:line="259" w:lineRule="auto"/>
        <w:ind w:left="0" w:right="0" w:firstLine="0"/>
        <w:jc w:val="left"/>
      </w:pPr>
    </w:p>
    <w:p w14:paraId="64925A57" w14:textId="77777777" w:rsidR="00F61CA9" w:rsidRDefault="00F61CA9">
      <w:pPr>
        <w:spacing w:after="0" w:line="259" w:lineRule="auto"/>
        <w:ind w:left="0" w:right="0" w:firstLine="0"/>
        <w:jc w:val="left"/>
      </w:pPr>
    </w:p>
    <w:p w14:paraId="05641F66" w14:textId="125E53D0" w:rsidR="00AD03A0" w:rsidRDefault="001854B8" w:rsidP="001854B8">
      <w:pPr>
        <w:pStyle w:val="Titre1"/>
      </w:pPr>
      <w:bookmarkStart w:id="14" w:name="_Toc200038804"/>
      <w:r>
        <w:t>IV</w:t>
      </w:r>
      <w:r w:rsidR="002B3429">
        <w:t>-</w:t>
      </w:r>
      <w:r>
        <w:t xml:space="preserve"> </w:t>
      </w:r>
      <w:r w:rsidRPr="001854B8">
        <w:t>MODALITES A APPLIQUER POUR LA DELIVRANCE DES ATTESTATIONS DE CONFORMITE DES ENGINS EN PROVENANCE DE L’ETRANGER</w:t>
      </w:r>
      <w:bookmarkEnd w:id="14"/>
    </w:p>
    <w:p w14:paraId="6D152DB2" w14:textId="77777777" w:rsidR="00AD03A0" w:rsidRDefault="000F0F75">
      <w:pPr>
        <w:spacing w:after="0" w:line="259" w:lineRule="auto"/>
        <w:ind w:left="0" w:right="0" w:firstLine="0"/>
        <w:jc w:val="left"/>
      </w:pPr>
      <w:r>
        <w:rPr>
          <w:rFonts w:ascii="Times New Roman" w:eastAsia="Times New Roman" w:hAnsi="Times New Roman" w:cs="Times New Roman"/>
          <w:sz w:val="28"/>
        </w:rPr>
        <w:t xml:space="preserve"> </w:t>
      </w:r>
    </w:p>
    <w:p w14:paraId="6086F4DB" w14:textId="77777777" w:rsidR="00AD03A0" w:rsidRDefault="000F0F75">
      <w:pPr>
        <w:ind w:left="-5" w:right="52"/>
      </w:pPr>
      <w:r>
        <w:t xml:space="preserve">Deux cas peuvent se présenter : </w:t>
      </w:r>
    </w:p>
    <w:p w14:paraId="346C64AE" w14:textId="77777777" w:rsidR="00AD03A0" w:rsidRDefault="000F0F75">
      <w:pPr>
        <w:spacing w:after="0" w:line="259" w:lineRule="auto"/>
        <w:ind w:left="110" w:right="0" w:firstLine="0"/>
        <w:jc w:val="left"/>
      </w:pPr>
      <w:r>
        <w:rPr>
          <w:rFonts w:ascii="Times New Roman" w:eastAsia="Times New Roman" w:hAnsi="Times New Roman" w:cs="Times New Roman"/>
        </w:rPr>
        <w:t xml:space="preserve"> </w:t>
      </w:r>
    </w:p>
    <w:p w14:paraId="3D5F2900" w14:textId="4F1D1FF4" w:rsidR="00AD03A0" w:rsidRDefault="000F0F75">
      <w:pPr>
        <w:numPr>
          <w:ilvl w:val="0"/>
          <w:numId w:val="8"/>
        </w:numPr>
        <w:ind w:right="52" w:hanging="360"/>
      </w:pPr>
      <w:r>
        <w:t xml:space="preserve">L’engin dispose d’une attestation ATP délivrée </w:t>
      </w:r>
      <w:r w:rsidR="00802B64">
        <w:t>par le</w:t>
      </w:r>
      <w:r>
        <w:t xml:space="preserve"> pays d’origine (pays contractant à l’accord ATP). Cette attestation dispose d’une validité limitée définie par l’accord ATP à compter de la fin du mois d’importation en France. </w:t>
      </w:r>
    </w:p>
    <w:p w14:paraId="06B4AAE9" w14:textId="276BCADC" w:rsidR="00AD03A0" w:rsidRDefault="000F0F75">
      <w:pPr>
        <w:numPr>
          <w:ilvl w:val="0"/>
          <w:numId w:val="8"/>
        </w:numPr>
        <w:spacing w:after="255"/>
        <w:ind w:right="52" w:hanging="360"/>
      </w:pPr>
      <w:r>
        <w:t>L’engin ne dispose pas d’attestation ATP du pays d’origine (pays cont</w:t>
      </w:r>
      <w:r w:rsidR="003D60FD">
        <w:t>ractant ou non à l’accord ATP).</w:t>
      </w:r>
    </w:p>
    <w:p w14:paraId="5C0D722D" w14:textId="18E7342F" w:rsidR="00AD03A0" w:rsidRDefault="000F0F75" w:rsidP="00E77D46">
      <w:pPr>
        <w:pStyle w:val="Titre2"/>
      </w:pPr>
      <w:bookmarkStart w:id="15" w:name="_Toc200038805"/>
      <w:r>
        <w:rPr>
          <w:rFonts w:eastAsia="Cambria"/>
          <w:sz w:val="24"/>
        </w:rPr>
        <w:t>1</w:t>
      </w:r>
      <w:r>
        <w:rPr>
          <w:sz w:val="24"/>
        </w:rPr>
        <w:t xml:space="preserve"> </w:t>
      </w:r>
      <w:r>
        <w:rPr>
          <w:rFonts w:eastAsia="Cambria"/>
          <w:sz w:val="24"/>
        </w:rPr>
        <w:t>C</w:t>
      </w:r>
      <w:r w:rsidR="00E77D46">
        <w:rPr>
          <w:rFonts w:eastAsia="Cambria"/>
        </w:rPr>
        <w:t xml:space="preserve">AS </w:t>
      </w:r>
      <w:r>
        <w:rPr>
          <w:rFonts w:eastAsia="Cambria"/>
        </w:rPr>
        <w:t>DES ENGINS DISPOSANT D</w:t>
      </w:r>
      <w:r>
        <w:rPr>
          <w:rFonts w:eastAsia="Cambria"/>
          <w:sz w:val="24"/>
        </w:rPr>
        <w:t>’</w:t>
      </w:r>
      <w:r>
        <w:rPr>
          <w:rFonts w:eastAsia="Cambria"/>
        </w:rPr>
        <w:t xml:space="preserve">UNE ATTESTATION </w:t>
      </w:r>
      <w:r>
        <w:rPr>
          <w:rFonts w:eastAsia="Cambria"/>
          <w:sz w:val="24"/>
        </w:rPr>
        <w:t>ATP</w:t>
      </w:r>
      <w:r>
        <w:rPr>
          <w:rFonts w:eastAsia="Cambria"/>
        </w:rPr>
        <w:t xml:space="preserve"> DU PAYS D</w:t>
      </w:r>
      <w:r>
        <w:rPr>
          <w:rFonts w:eastAsia="Cambria"/>
          <w:sz w:val="24"/>
        </w:rPr>
        <w:t>’</w:t>
      </w:r>
      <w:r>
        <w:rPr>
          <w:rFonts w:eastAsia="Cambria"/>
        </w:rPr>
        <w:t>ORIGINE</w:t>
      </w:r>
      <w:bookmarkEnd w:id="15"/>
      <w:r>
        <w:rPr>
          <w:rFonts w:eastAsia="Cambria"/>
          <w:sz w:val="24"/>
        </w:rPr>
        <w:t xml:space="preserve"> </w:t>
      </w:r>
    </w:p>
    <w:p w14:paraId="0AE217C5" w14:textId="77777777" w:rsidR="00AD03A0" w:rsidRDefault="000F0F75">
      <w:pPr>
        <w:spacing w:after="0" w:line="259" w:lineRule="auto"/>
        <w:ind w:left="0" w:right="0" w:firstLine="0"/>
        <w:jc w:val="left"/>
      </w:pPr>
      <w:r>
        <w:t xml:space="preserve"> </w:t>
      </w:r>
    </w:p>
    <w:p w14:paraId="1EB697DE" w14:textId="33F43AF6" w:rsidR="00AD03A0" w:rsidRDefault="000F0F75">
      <w:pPr>
        <w:ind w:left="-5" w:right="52"/>
      </w:pPr>
      <w:r>
        <w:t xml:space="preserve">Le demandeur mandaté, constructeur ou centre de tests, transmet </w:t>
      </w:r>
      <w:r w:rsidR="003F3EAA">
        <w:t>au délégataire</w:t>
      </w:r>
      <w:r>
        <w:t xml:space="preserve"> le dossier de demande d’attestation dont le modè</w:t>
      </w:r>
      <w:r w:rsidR="00185CF5">
        <w:t xml:space="preserve">le est disponible sur le site </w:t>
      </w:r>
      <w:r w:rsidR="003F3EAA">
        <w:t>internet de ce dernier</w:t>
      </w:r>
      <w:r w:rsidR="002603C0">
        <w:t>.</w:t>
      </w:r>
      <w:r>
        <w:t xml:space="preserve"> </w:t>
      </w:r>
    </w:p>
    <w:p w14:paraId="5DECD512" w14:textId="77777777" w:rsidR="00AD03A0" w:rsidRDefault="000F0F75">
      <w:pPr>
        <w:spacing w:after="0" w:line="259" w:lineRule="auto"/>
        <w:ind w:left="0" w:right="0" w:firstLine="0"/>
        <w:jc w:val="left"/>
      </w:pPr>
      <w:r>
        <w:t xml:space="preserve"> </w:t>
      </w:r>
    </w:p>
    <w:p w14:paraId="61B700EF" w14:textId="6B33092C" w:rsidR="00AD03A0" w:rsidRDefault="000F0F75">
      <w:pPr>
        <w:ind w:left="-5" w:right="52"/>
      </w:pPr>
      <w:r>
        <w:t xml:space="preserve">Cette demande </w:t>
      </w:r>
      <w:r w:rsidR="00A947E5">
        <w:t>contient</w:t>
      </w:r>
      <w:r>
        <w:t xml:space="preserve"> notamment : </w:t>
      </w:r>
    </w:p>
    <w:p w14:paraId="44ABB228" w14:textId="77777777" w:rsidR="00AD03A0" w:rsidRDefault="000F0F75">
      <w:pPr>
        <w:spacing w:after="0" w:line="259" w:lineRule="auto"/>
        <w:ind w:left="0" w:right="0" w:firstLine="0"/>
        <w:jc w:val="left"/>
      </w:pPr>
      <w:r>
        <w:t xml:space="preserve"> </w:t>
      </w:r>
    </w:p>
    <w:p w14:paraId="09DE8080" w14:textId="2522DB75" w:rsidR="00AD03A0" w:rsidRDefault="000F0F75">
      <w:pPr>
        <w:numPr>
          <w:ilvl w:val="0"/>
          <w:numId w:val="9"/>
        </w:numPr>
        <w:ind w:right="52" w:hanging="360"/>
      </w:pPr>
      <w:proofErr w:type="gramStart"/>
      <w:r>
        <w:t>dans</w:t>
      </w:r>
      <w:proofErr w:type="gramEnd"/>
      <w:r>
        <w:t xml:space="preserve"> tous les cas le(s) rapport(s) d'essai(s) de l'engin lui-même ou, s'il s'agit d'un engin fabriqué en série, de l'engin de référence (cellule et le cas échéant source de froid); </w:t>
      </w:r>
    </w:p>
    <w:p w14:paraId="37F46B6B" w14:textId="47C9EB6D" w:rsidR="00AD03A0" w:rsidRDefault="000F0F75">
      <w:pPr>
        <w:numPr>
          <w:ilvl w:val="0"/>
          <w:numId w:val="9"/>
        </w:numPr>
        <w:ind w:right="52" w:hanging="360"/>
      </w:pPr>
      <w:proofErr w:type="gramStart"/>
      <w:r>
        <w:t>dans</w:t>
      </w:r>
      <w:proofErr w:type="gramEnd"/>
      <w:r>
        <w:t xml:space="preserve"> tous les cas l'attestation ATP délivrée </w:t>
      </w:r>
      <w:r w:rsidR="003E6A2B">
        <w:t>par le</w:t>
      </w:r>
      <w:r>
        <w:t xml:space="preserve"> pays de fabrication ou, s'il s'agit d'engins en service, du pays d'immatriculation. Cette attestation sera traitée comme une attestation provisoire, si nécessaire, valable pour la durée définie par l’accord ATP ; </w:t>
      </w:r>
    </w:p>
    <w:p w14:paraId="36C9B533" w14:textId="77777777" w:rsidR="00AD03A0" w:rsidRDefault="000F0F75">
      <w:pPr>
        <w:numPr>
          <w:ilvl w:val="0"/>
          <w:numId w:val="9"/>
        </w:numPr>
        <w:ind w:right="52" w:hanging="360"/>
      </w:pPr>
      <w:proofErr w:type="gramStart"/>
      <w:r>
        <w:t>s'il</w:t>
      </w:r>
      <w:proofErr w:type="gramEnd"/>
      <w:r>
        <w:t xml:space="preserve"> s'agit d'un engin fabriqué en série, la fiche des spécifications techniques de l'engin pour lequel il y a lieu d'établir l'attestation, délivrée par le constructeur de l’engin ou son représentant dûment habilité (ces spécifications devront porter sur les mêmes éléments que les pages descriptives relatives à l'engin qui figurent dans le rapport  d'essai et devront être rédigées dans au moins une des trois langues officielles de l’accord ATP). </w:t>
      </w:r>
    </w:p>
    <w:p w14:paraId="73392A62" w14:textId="77777777" w:rsidR="00AD03A0" w:rsidRDefault="000F0F75">
      <w:pPr>
        <w:spacing w:after="0" w:line="259" w:lineRule="auto"/>
        <w:ind w:left="708" w:right="0" w:firstLine="0"/>
        <w:jc w:val="left"/>
      </w:pPr>
      <w:r>
        <w:rPr>
          <w:rFonts w:ascii="Times New Roman" w:eastAsia="Times New Roman" w:hAnsi="Times New Roman" w:cs="Times New Roman"/>
        </w:rPr>
        <w:t xml:space="preserve"> </w:t>
      </w:r>
    </w:p>
    <w:p w14:paraId="731BEF07" w14:textId="34FFD344" w:rsidR="00AD03A0" w:rsidRDefault="003F3EAA">
      <w:pPr>
        <w:ind w:left="-5" w:right="52"/>
      </w:pPr>
      <w:r>
        <w:t>Le délégataire</w:t>
      </w:r>
      <w:r w:rsidR="000F0F75">
        <w:t xml:space="preserve"> vérifie la validité des documents fournis et délivre l’attestation après avoir saisi les do</w:t>
      </w:r>
      <w:r w:rsidR="00672BFE">
        <w:t>nnées de l’engin dans la base de données.</w:t>
      </w:r>
    </w:p>
    <w:p w14:paraId="11ADE272"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41F400C6" w14:textId="5558B6C9" w:rsidR="00AD03A0" w:rsidRDefault="000F0F75" w:rsidP="007B4584">
      <w:pPr>
        <w:ind w:left="-5" w:right="52"/>
      </w:pPr>
      <w:r>
        <w:rPr>
          <w:b/>
        </w:rPr>
        <w:t>Cas particuliers</w:t>
      </w:r>
      <w:r>
        <w:t xml:space="preserve"> : pour les entreprises ayant un volume de demandes le justifiant, </w:t>
      </w:r>
      <w:r w:rsidR="003F3EAA">
        <w:t>le délégataire</w:t>
      </w:r>
      <w:r>
        <w:t xml:space="preserve"> peut donner un accès à </w:t>
      </w:r>
      <w:r w:rsidR="00672BFE">
        <w:t>la base de données</w:t>
      </w:r>
      <w:r>
        <w:t xml:space="preserve"> pour permettre au demandeur de saisir directement le</w:t>
      </w:r>
      <w:r w:rsidR="007B4584">
        <w:t>s données relatives à l’engin.</w:t>
      </w:r>
    </w:p>
    <w:p w14:paraId="631C07F4" w14:textId="77777777" w:rsidR="007B4584" w:rsidRDefault="007B4584" w:rsidP="007B4584">
      <w:pPr>
        <w:ind w:left="-5" w:right="52"/>
      </w:pPr>
    </w:p>
    <w:p w14:paraId="48CE8385" w14:textId="545697AF" w:rsidR="00AD03A0" w:rsidRDefault="000F0F75">
      <w:pPr>
        <w:ind w:left="-5" w:right="52"/>
      </w:pPr>
      <w:r>
        <w:t xml:space="preserve">L'engin importé peut faire l'objet d'un contrôle visuel pour vérifier sa conformité avant </w:t>
      </w:r>
      <w:r w:rsidR="00C56B0D">
        <w:t>la délivrance d’une attestation de conformité dans le</w:t>
      </w:r>
      <w:r>
        <w:t xml:space="preserve"> pays </w:t>
      </w:r>
      <w:r w:rsidR="00C56B0D">
        <w:t>au sein du</w:t>
      </w:r>
      <w:r>
        <w:t>quel il doit être immatriculé ou enregistré. En outre, de</w:t>
      </w:r>
      <w:r w:rsidR="00E9710A">
        <w:t xml:space="preserve">s essais en station d’essai </w:t>
      </w:r>
      <w:r>
        <w:t xml:space="preserve">officielle </w:t>
      </w:r>
      <w:r w:rsidR="00E9710A">
        <w:t xml:space="preserve">ATP </w:t>
      </w:r>
      <w:r>
        <w:t xml:space="preserve">ou des tests en centre de tests peuvent être </w:t>
      </w:r>
      <w:r>
        <w:lastRenderedPageBreak/>
        <w:t xml:space="preserve">exigés sur demande </w:t>
      </w:r>
      <w:r w:rsidR="002422B2">
        <w:t>du ministère chargé de l’agriculture</w:t>
      </w:r>
      <w:r>
        <w:t xml:space="preserve">, compte tenu des observations dont </w:t>
      </w:r>
      <w:r w:rsidR="002422B2">
        <w:t xml:space="preserve">il </w:t>
      </w:r>
      <w:r>
        <w:t xml:space="preserve">a pu avoir connaissance. Ces prestations d’évaluation sont à la charge du demandeur d’attestation. </w:t>
      </w:r>
    </w:p>
    <w:p w14:paraId="35986C1E" w14:textId="77777777" w:rsidR="00AD03A0" w:rsidRDefault="000F0F75">
      <w:pPr>
        <w:spacing w:after="0" w:line="259" w:lineRule="auto"/>
        <w:ind w:left="708" w:right="0" w:firstLine="0"/>
        <w:jc w:val="left"/>
      </w:pPr>
      <w:r>
        <w:rPr>
          <w:rFonts w:ascii="Times New Roman" w:eastAsia="Times New Roman" w:hAnsi="Times New Roman" w:cs="Times New Roman"/>
        </w:rPr>
        <w:t xml:space="preserve"> </w:t>
      </w:r>
    </w:p>
    <w:p w14:paraId="33789CD5" w14:textId="1906015F" w:rsidR="00AD03A0" w:rsidRDefault="003F3EAA">
      <w:pPr>
        <w:ind w:left="-5" w:right="52"/>
      </w:pPr>
      <w:r>
        <w:t>Le délégataire</w:t>
      </w:r>
      <w:r w:rsidR="000F0F75">
        <w:t xml:space="preserve"> vérifie systématiquement, lors de la saisie des données relatives aux engins, la cohérence des différents documents et leur concordance avec les caractéristiques physiques et les performances de l’engin (attestations ATP et rapports d’essai) et par échantillonnage et autant que de besoin, notamment lors de suspicion légitime. </w:t>
      </w:r>
    </w:p>
    <w:p w14:paraId="35255A5E"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2EA524CC" w14:textId="2AE6D107" w:rsidR="003A6A11" w:rsidRDefault="000F0F75">
      <w:pPr>
        <w:spacing w:after="37"/>
        <w:ind w:left="-5" w:right="52"/>
      </w:pPr>
      <w:r>
        <w:t xml:space="preserve">Les principes de l’échantillonnage sont les mêmes que ceux définis dans la procédure générale d’audit (application de la norme NF EN ISO 2859-1 : le lot d’engins correspond au nombre d’engins présentés sur une période, le comptage du nombre d’engins non conformes </w:t>
      </w:r>
      <w:r w:rsidR="00A947E5">
        <w:t>à</w:t>
      </w:r>
      <w:r>
        <w:t xml:space="preserve"> une application d’un niveau de qualité acceptable</w:t>
      </w:r>
      <w:r w:rsidR="003A6A11">
        <w:t xml:space="preserve"> de 2,5%).</w:t>
      </w:r>
    </w:p>
    <w:p w14:paraId="028105D3" w14:textId="77777777" w:rsidR="003A6A11" w:rsidRDefault="003A6A11">
      <w:pPr>
        <w:spacing w:after="37"/>
        <w:ind w:left="-5" w:right="52"/>
      </w:pPr>
    </w:p>
    <w:p w14:paraId="75088A75" w14:textId="53AA56C5" w:rsidR="00AD03A0" w:rsidRDefault="000F0F75" w:rsidP="00E77D46">
      <w:pPr>
        <w:pStyle w:val="Titre2"/>
      </w:pPr>
      <w:bookmarkStart w:id="16" w:name="_Toc200038806"/>
      <w:r>
        <w:rPr>
          <w:rFonts w:eastAsia="Cambria"/>
          <w:sz w:val="24"/>
        </w:rPr>
        <w:t>2</w:t>
      </w:r>
      <w:r>
        <w:rPr>
          <w:sz w:val="24"/>
        </w:rPr>
        <w:t xml:space="preserve"> </w:t>
      </w:r>
      <w:r>
        <w:rPr>
          <w:rFonts w:eastAsia="Cambria"/>
          <w:sz w:val="24"/>
        </w:rPr>
        <w:t>C</w:t>
      </w:r>
      <w:r>
        <w:rPr>
          <w:rFonts w:eastAsia="Cambria"/>
        </w:rPr>
        <w:t>AS DES ENGINS NE DISPOSANT PAS D</w:t>
      </w:r>
      <w:r>
        <w:rPr>
          <w:rFonts w:eastAsia="Cambria"/>
          <w:sz w:val="24"/>
        </w:rPr>
        <w:t>’</w:t>
      </w:r>
      <w:r>
        <w:rPr>
          <w:rFonts w:eastAsia="Cambria"/>
        </w:rPr>
        <w:t xml:space="preserve">ATTESTATION </w:t>
      </w:r>
      <w:r>
        <w:rPr>
          <w:rFonts w:eastAsia="Cambria"/>
          <w:sz w:val="24"/>
        </w:rPr>
        <w:t>ATP</w:t>
      </w:r>
      <w:r>
        <w:rPr>
          <w:rFonts w:eastAsia="Cambria"/>
        </w:rPr>
        <w:t xml:space="preserve"> DU PAYS D</w:t>
      </w:r>
      <w:r>
        <w:rPr>
          <w:rFonts w:eastAsia="Cambria"/>
          <w:sz w:val="24"/>
        </w:rPr>
        <w:t>’</w:t>
      </w:r>
      <w:r>
        <w:rPr>
          <w:rFonts w:eastAsia="Cambria"/>
        </w:rPr>
        <w:t>ORIGINE</w:t>
      </w:r>
      <w:bookmarkEnd w:id="16"/>
    </w:p>
    <w:p w14:paraId="63B4A130" w14:textId="77777777" w:rsidR="00AD03A0" w:rsidRDefault="000F0F75">
      <w:pPr>
        <w:spacing w:after="0" w:line="259" w:lineRule="auto"/>
        <w:ind w:left="0" w:right="0" w:firstLine="0"/>
        <w:jc w:val="left"/>
      </w:pPr>
      <w:r>
        <w:rPr>
          <w:rFonts w:ascii="Times New Roman" w:eastAsia="Times New Roman" w:hAnsi="Times New Roman" w:cs="Times New Roman"/>
          <w:sz w:val="24"/>
        </w:rPr>
        <w:t xml:space="preserve"> </w:t>
      </w:r>
    </w:p>
    <w:p w14:paraId="2398A3DA" w14:textId="1E3940E1" w:rsidR="00AD03A0" w:rsidRDefault="000F0F75">
      <w:pPr>
        <w:numPr>
          <w:ilvl w:val="0"/>
          <w:numId w:val="10"/>
        </w:numPr>
        <w:ind w:right="52" w:hanging="360"/>
      </w:pPr>
      <w:proofErr w:type="gramStart"/>
      <w:r>
        <w:t>soit</w:t>
      </w:r>
      <w:proofErr w:type="gramEnd"/>
      <w:r>
        <w:t xml:space="preserve"> l’engin concerné correspond à un engin de référence disposa</w:t>
      </w:r>
      <w:r w:rsidR="00752690">
        <w:t>nt d’un rapport d’essai</w:t>
      </w:r>
      <w:r>
        <w:t xml:space="preserve"> reconnu. Dans ce cas la demande est traitée comme une demande de reconnaissance d’une attestation du pays d’origine en vérifiant l’équivalence de l’engin concerné avec l’engin de référence décrit par </w:t>
      </w:r>
      <w:r w:rsidR="00752690">
        <w:t>le rapport d’essai</w:t>
      </w:r>
      <w:r w:rsidR="00F61CA9">
        <w:t>,</w:t>
      </w:r>
    </w:p>
    <w:p w14:paraId="31D2ADE0" w14:textId="77777777" w:rsidR="00AD03A0" w:rsidRDefault="000F0F75">
      <w:pPr>
        <w:spacing w:after="0" w:line="259" w:lineRule="auto"/>
        <w:ind w:left="470" w:right="0" w:firstLine="0"/>
        <w:jc w:val="left"/>
      </w:pPr>
      <w:r>
        <w:t xml:space="preserve"> </w:t>
      </w:r>
    </w:p>
    <w:p w14:paraId="7A652F61" w14:textId="4179C7AA" w:rsidR="00AD03A0" w:rsidRDefault="000F0F75">
      <w:pPr>
        <w:numPr>
          <w:ilvl w:val="0"/>
          <w:numId w:val="10"/>
        </w:numPr>
        <w:ind w:right="52" w:hanging="360"/>
      </w:pPr>
      <w:proofErr w:type="gramStart"/>
      <w:r>
        <w:t>soit</w:t>
      </w:r>
      <w:proofErr w:type="gramEnd"/>
      <w:r>
        <w:t xml:space="preserve"> l’engin concerné ne correspond pas à un engin de référence disposa</w:t>
      </w:r>
      <w:r w:rsidR="00752690">
        <w:t>nt d’un rapport d’essai</w:t>
      </w:r>
      <w:r>
        <w:t xml:space="preserve"> reconnu. Dans ce cas, la délivrance d’une attestation de conformité est subordonnée aux résultats d’un essai à la station d’essai officielle </w:t>
      </w:r>
      <w:r w:rsidR="00E9710A">
        <w:t xml:space="preserve">ATP </w:t>
      </w:r>
      <w:r>
        <w:t xml:space="preserve">conformément aux prescriptions de l’ATP. </w:t>
      </w:r>
    </w:p>
    <w:p w14:paraId="7DA0C4A0" w14:textId="36E6B553" w:rsidR="00AD03A0" w:rsidRDefault="00AD03A0">
      <w:pPr>
        <w:spacing w:after="0" w:line="259" w:lineRule="auto"/>
        <w:ind w:left="0" w:right="0" w:firstLine="0"/>
        <w:jc w:val="left"/>
        <w:rPr>
          <w:rFonts w:ascii="Times New Roman" w:eastAsia="Times New Roman" w:hAnsi="Times New Roman" w:cs="Times New Roman"/>
          <w:b/>
        </w:rPr>
      </w:pPr>
    </w:p>
    <w:p w14:paraId="4BC714A8" w14:textId="77777777" w:rsidR="00F95E0F" w:rsidRDefault="00F95E0F">
      <w:pPr>
        <w:spacing w:after="0" w:line="259" w:lineRule="auto"/>
        <w:ind w:left="0" w:right="0" w:firstLine="0"/>
        <w:jc w:val="left"/>
      </w:pPr>
    </w:p>
    <w:p w14:paraId="044EA3C0" w14:textId="415210B9" w:rsidR="00AD03A0" w:rsidRDefault="00F25D8E" w:rsidP="00B6164B">
      <w:pPr>
        <w:pStyle w:val="Titre1"/>
      </w:pPr>
      <w:bookmarkStart w:id="17" w:name="_Toc200038807"/>
      <w:r>
        <w:t>V</w:t>
      </w:r>
      <w:r w:rsidR="002B3429">
        <w:t>-</w:t>
      </w:r>
      <w:r>
        <w:t xml:space="preserve"> </w:t>
      </w:r>
      <w:r w:rsidR="00B6164B" w:rsidRPr="00B6164B">
        <w:t>TRAITEMENT DES DEMANDES DE DE</w:t>
      </w:r>
      <w:r w:rsidR="00B6164B">
        <w:t>ROGATIONS RELEVANT DE L’ARTICLE</w:t>
      </w:r>
      <w:r w:rsidR="00B6164B" w:rsidRPr="00B6164B">
        <w:t xml:space="preserve"> 3 DE L’ARRETE DU 27 NOVEMBRE 2020</w:t>
      </w:r>
      <w:bookmarkEnd w:id="17"/>
    </w:p>
    <w:p w14:paraId="644452E4" w14:textId="67C58531" w:rsidR="00B6164B" w:rsidRDefault="00B6164B">
      <w:pPr>
        <w:spacing w:after="0" w:line="259" w:lineRule="auto"/>
        <w:ind w:left="0" w:right="0" w:firstLine="0"/>
        <w:jc w:val="left"/>
      </w:pPr>
    </w:p>
    <w:p w14:paraId="57ECA908" w14:textId="0D0438F6" w:rsidR="00AD03A0" w:rsidRDefault="000F0F75">
      <w:pPr>
        <w:ind w:left="-5" w:right="52"/>
      </w:pPr>
      <w:r>
        <w:t xml:space="preserve">Certains constructeurs sont amenés à solliciter une dérogation en application de l’article </w:t>
      </w:r>
      <w:r w:rsidR="00680991">
        <w:t>3 de l’arrêté du 27 novembre 2020</w:t>
      </w:r>
      <w:r>
        <w:t xml:space="preserve"> lorsqu’ils produisent un engin ne pouvant être reconnu strictement conforme à un engin de référence au sens du point 6 de l’an</w:t>
      </w:r>
      <w:r w:rsidR="0014104D">
        <w:t xml:space="preserve">nexe 1, </w:t>
      </w:r>
      <w:r w:rsidR="003D60FD">
        <w:t>appendice 1 de l’ATP.</w:t>
      </w:r>
    </w:p>
    <w:p w14:paraId="2D1D7F29" w14:textId="77777777" w:rsidR="00AD03A0" w:rsidRDefault="000F0F75">
      <w:pPr>
        <w:spacing w:after="0" w:line="259" w:lineRule="auto"/>
        <w:ind w:left="0" w:right="0" w:firstLine="0"/>
        <w:jc w:val="left"/>
      </w:pPr>
      <w:r>
        <w:t xml:space="preserve"> </w:t>
      </w:r>
    </w:p>
    <w:p w14:paraId="3E1D2429" w14:textId="66CD41CD" w:rsidR="00F61CA9" w:rsidRDefault="000F0F75" w:rsidP="00D432AD">
      <w:pPr>
        <w:ind w:left="-5" w:right="52"/>
      </w:pPr>
      <w:r>
        <w:t xml:space="preserve">Lorsque cette éventualité répond à une nécessité technologique et sous réserve que les différences n’entraînent pas une augmentation du coefficient K, </w:t>
      </w:r>
      <w:r w:rsidR="003F3EAA">
        <w:t>le délégataire</w:t>
      </w:r>
      <w:r>
        <w:t xml:space="preserve"> peut délivrer une attestation, après </w:t>
      </w:r>
      <w:r w:rsidR="00D432AD">
        <w:t>consultation et validation du ministère chargé de l’agriculture.</w:t>
      </w:r>
    </w:p>
    <w:p w14:paraId="6E0D5C4D" w14:textId="77777777" w:rsidR="00F61CA9" w:rsidRDefault="00F61CA9">
      <w:pPr>
        <w:spacing w:after="160" w:line="259" w:lineRule="auto"/>
        <w:ind w:left="0" w:right="0" w:firstLine="0"/>
        <w:jc w:val="left"/>
      </w:pPr>
      <w:r>
        <w:br w:type="page"/>
      </w:r>
    </w:p>
    <w:p w14:paraId="403F9C0D" w14:textId="77777777" w:rsidR="00F95E0F" w:rsidRDefault="00F95E0F" w:rsidP="00F61CA9">
      <w:pPr>
        <w:ind w:left="-5" w:right="52"/>
      </w:pPr>
    </w:p>
    <w:p w14:paraId="0079903E" w14:textId="30F7766F" w:rsidR="00AD03A0" w:rsidRDefault="00F95E0F" w:rsidP="00B6164B">
      <w:pPr>
        <w:pStyle w:val="Titre4"/>
      </w:pPr>
      <w:r>
        <w:rPr>
          <w:rFonts w:eastAsia="Times New Roman"/>
        </w:rPr>
        <w:t xml:space="preserve">Annexe.1 </w:t>
      </w:r>
      <w:r w:rsidR="00B6164B" w:rsidRPr="00B6164B">
        <w:rPr>
          <w:rFonts w:eastAsia="Times New Roman"/>
        </w:rPr>
        <w:t>Définitions</w:t>
      </w:r>
    </w:p>
    <w:p w14:paraId="3A6A2856" w14:textId="77777777" w:rsidR="00B6164B" w:rsidRDefault="00B6164B">
      <w:pPr>
        <w:ind w:left="-5" w:right="52"/>
      </w:pPr>
    </w:p>
    <w:p w14:paraId="529F52A5" w14:textId="4119A6C1" w:rsidR="00AD03A0" w:rsidRDefault="000F0F75">
      <w:pPr>
        <w:ind w:left="-5" w:right="52"/>
      </w:pPr>
      <w:r>
        <w:t>On utilisera les définitions ci-après en</w:t>
      </w:r>
      <w:r w:rsidR="00752690">
        <w:t xml:space="preserve"> complément des termes</w:t>
      </w:r>
      <w:r>
        <w:t xml:space="preserve"> de l’ATP : </w:t>
      </w:r>
    </w:p>
    <w:p w14:paraId="388C7B8F" w14:textId="5729C8D6" w:rsidR="00AD03A0" w:rsidRDefault="00AD03A0" w:rsidP="00F95E0F">
      <w:pPr>
        <w:spacing w:after="0" w:line="259" w:lineRule="auto"/>
        <w:ind w:right="0"/>
        <w:jc w:val="left"/>
      </w:pPr>
    </w:p>
    <w:p w14:paraId="006CFA64" w14:textId="77777777" w:rsidR="00AD03A0" w:rsidRDefault="000F0F75">
      <w:pPr>
        <w:ind w:left="-5" w:right="52"/>
      </w:pPr>
      <w:r>
        <w:rPr>
          <w:b/>
        </w:rPr>
        <w:t xml:space="preserve">Engin de référence </w:t>
      </w:r>
      <w:r>
        <w:t xml:space="preserve">: engin considéré comme représentatif d’un lot. </w:t>
      </w:r>
    </w:p>
    <w:p w14:paraId="6FCE6ED8" w14:textId="77777777" w:rsidR="00AD03A0" w:rsidRDefault="000F0F75">
      <w:pPr>
        <w:spacing w:after="0" w:line="259" w:lineRule="auto"/>
        <w:ind w:left="0" w:right="0" w:firstLine="0"/>
        <w:jc w:val="left"/>
      </w:pPr>
      <w:r>
        <w:rPr>
          <w:b/>
        </w:rPr>
        <w:t xml:space="preserve"> </w:t>
      </w:r>
    </w:p>
    <w:p w14:paraId="648D8B38" w14:textId="24AFE1F1" w:rsidR="00503E11" w:rsidRDefault="000F0F75" w:rsidP="0003038E">
      <w:pPr>
        <w:ind w:left="-5" w:right="52"/>
      </w:pPr>
      <w:r>
        <w:rPr>
          <w:b/>
        </w:rPr>
        <w:t xml:space="preserve">Lot </w:t>
      </w:r>
      <w:r>
        <w:t xml:space="preserve">: </w:t>
      </w:r>
      <w:r w:rsidR="003E6A2B">
        <w:t>u</w:t>
      </w:r>
      <w:r w:rsidR="0003038E" w:rsidRPr="0003038E">
        <w:t>n lot est constitué d’engins de la même série de fabrication</w:t>
      </w:r>
      <w:r w:rsidR="00A92C39">
        <w:t>,</w:t>
      </w:r>
      <w:r w:rsidR="0003038E" w:rsidRPr="0003038E">
        <w:t xml:space="preserve"> appartenant à un même propriétaire</w:t>
      </w:r>
      <w:r w:rsidR="00A92C39">
        <w:t>,</w:t>
      </w:r>
      <w:r w:rsidR="0003038E" w:rsidRPr="0003038E">
        <w:t xml:space="preserve"> définie conformément à l’alinéa 6.6 ii de l’annexe 1 appendice 2 de l’accord ATP</w:t>
      </w:r>
      <w:r w:rsidR="0003038E">
        <w:t>.</w:t>
      </w:r>
    </w:p>
    <w:p w14:paraId="77E8F2E4" w14:textId="7B436BDA" w:rsidR="00AD03A0" w:rsidRDefault="000F0F75" w:rsidP="0003038E">
      <w:pPr>
        <w:ind w:left="-5" w:right="52"/>
      </w:pPr>
      <w:r>
        <w:rPr>
          <w:rFonts w:ascii="Times New Roman" w:eastAsia="Times New Roman" w:hAnsi="Times New Roman" w:cs="Times New Roman"/>
          <w:b/>
        </w:rPr>
        <w:t xml:space="preserve"> </w:t>
      </w:r>
    </w:p>
    <w:p w14:paraId="3EBAFD47" w14:textId="77777777" w:rsidR="00AD03A0" w:rsidRDefault="000F0F75">
      <w:pPr>
        <w:ind w:left="-5" w:right="52"/>
      </w:pPr>
      <w:r>
        <w:rPr>
          <w:b/>
        </w:rPr>
        <w:t xml:space="preserve">Série </w:t>
      </w:r>
      <w:r>
        <w:t xml:space="preserve">: groupe d'engins provenant d’un même constructeur pour un même utilisateur, de la même année de fabrication, et dont le mode de construction est similaire, notamment en ce qui concerne le matériau isolant et la technique d'isolation, ainsi qu’au moins une même épaisseur d'isolant, les mêmes équipements ou simplifiés, un nombre égal ou inférieur d’ouvertures (portes, trappes et/ou autres). </w:t>
      </w:r>
    </w:p>
    <w:p w14:paraId="26936EBA"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010B988F" w14:textId="77777777" w:rsidR="00AD03A0" w:rsidRDefault="000F0F75">
      <w:pPr>
        <w:ind w:left="-5" w:right="52"/>
      </w:pPr>
      <w:r>
        <w:rPr>
          <w:b/>
        </w:rPr>
        <w:t xml:space="preserve">Propriétaire / Détenteur : </w:t>
      </w:r>
      <w:r>
        <w:t xml:space="preserve">dans le cas d’une location financière, avec option d’achat ou non, l’entreprise locataire de l’organisme financier est considérée comme propriétaire de l’engin au sens du présent protocole. </w:t>
      </w:r>
    </w:p>
    <w:p w14:paraId="34E86843"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52F4A2AA" w14:textId="031E42E5" w:rsidR="00AD03A0" w:rsidRDefault="000F0F75">
      <w:pPr>
        <w:ind w:left="-5" w:right="52"/>
      </w:pPr>
      <w:r>
        <w:rPr>
          <w:b/>
        </w:rPr>
        <w:t xml:space="preserve">Reconditionnement </w:t>
      </w:r>
      <w:r>
        <w:t xml:space="preserve">: </w:t>
      </w:r>
      <w:r w:rsidR="00D432AD">
        <w:t>l</w:t>
      </w:r>
      <w:r>
        <w:t xml:space="preserve">e reconditionnement est une opération systématique consistant à effectuer les mêmes opérations (changement d’un certain nombre d’éléments d’un engin) sur tous les engins d’un lot. Il repose sur des procédures écrites et un contrôle qualité. Le reconditionnement inclut également une révision et, le cas échéant, une réparation adaptée à chaque engin. </w:t>
      </w:r>
    </w:p>
    <w:p w14:paraId="0E112E50"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442A6710" w14:textId="77777777" w:rsidR="00AD03A0" w:rsidRDefault="000F0F75">
      <w:pPr>
        <w:ind w:left="-5" w:right="52"/>
      </w:pPr>
      <w:r>
        <w:rPr>
          <w:b/>
        </w:rPr>
        <w:t xml:space="preserve">Réparation </w:t>
      </w:r>
      <w:r>
        <w:t xml:space="preserve">: opération de correction de défauts constatés sur un engin. La réparation est individuelle et adaptée à chaque engin. </w:t>
      </w:r>
    </w:p>
    <w:p w14:paraId="29C0ACE7" w14:textId="77777777" w:rsidR="00AD03A0" w:rsidRDefault="000F0F75">
      <w:pPr>
        <w:spacing w:after="0" w:line="259" w:lineRule="auto"/>
        <w:ind w:left="110" w:right="0" w:firstLine="0"/>
        <w:jc w:val="left"/>
      </w:pPr>
      <w:r>
        <w:rPr>
          <w:rFonts w:ascii="Times New Roman" w:eastAsia="Times New Roman" w:hAnsi="Times New Roman" w:cs="Times New Roman"/>
          <w:b/>
        </w:rPr>
        <w:t xml:space="preserve"> </w:t>
      </w:r>
    </w:p>
    <w:p w14:paraId="5FB5D675" w14:textId="77777777" w:rsidR="00AD03A0" w:rsidRDefault="000F0F75">
      <w:pPr>
        <w:spacing w:after="34"/>
        <w:ind w:left="-5" w:right="52"/>
      </w:pPr>
      <w:r>
        <w:rPr>
          <w:b/>
        </w:rPr>
        <w:t xml:space="preserve">Révision </w:t>
      </w:r>
      <w:r>
        <w:t xml:space="preserve">: opération de contrôle, d’entretien et de réglage d’un engin. La révision est individuelle et adaptée à chaque engin. </w:t>
      </w:r>
    </w:p>
    <w:p w14:paraId="5DF13DB7" w14:textId="1E706895" w:rsidR="00AD03A0" w:rsidRDefault="00AD03A0">
      <w:pPr>
        <w:spacing w:after="0" w:line="259" w:lineRule="auto"/>
        <w:ind w:left="0" w:right="0" w:firstLine="0"/>
        <w:jc w:val="left"/>
      </w:pPr>
    </w:p>
    <w:p w14:paraId="2BB98639" w14:textId="56B98796" w:rsidR="00AD03A0" w:rsidRDefault="00B6164B" w:rsidP="00B6164B">
      <w:pPr>
        <w:pStyle w:val="Titre4"/>
      </w:pPr>
      <w:r>
        <w:rPr>
          <w:rFonts w:eastAsia="Cambria"/>
        </w:rPr>
        <w:t>Annexe.2</w:t>
      </w:r>
      <w:r w:rsidR="00F95E0F">
        <w:t xml:space="preserve"> </w:t>
      </w:r>
      <w:r>
        <w:rPr>
          <w:rFonts w:eastAsia="Cambria"/>
        </w:rPr>
        <w:t>Références l’échantillonnage</w:t>
      </w:r>
    </w:p>
    <w:p w14:paraId="048CCFA4" w14:textId="77777777" w:rsidR="00B6164B" w:rsidRDefault="00B6164B">
      <w:pPr>
        <w:ind w:left="-5" w:right="52"/>
      </w:pPr>
    </w:p>
    <w:p w14:paraId="075F104D" w14:textId="28C7657A" w:rsidR="00AD03A0" w:rsidRDefault="000F0F75">
      <w:pPr>
        <w:ind w:left="-5" w:right="52"/>
      </w:pPr>
      <w:r>
        <w:t xml:space="preserve">Les textes de référence sont les normes AFNOR portant sur le contrôle statistique des lots : </w:t>
      </w:r>
    </w:p>
    <w:p w14:paraId="65011A69" w14:textId="77777777" w:rsidR="00AD03A0" w:rsidRDefault="000F0F75">
      <w:pPr>
        <w:spacing w:after="0" w:line="259" w:lineRule="auto"/>
        <w:ind w:left="0" w:right="0" w:firstLine="0"/>
        <w:jc w:val="left"/>
      </w:pPr>
      <w:r>
        <w:rPr>
          <w:sz w:val="24"/>
        </w:rPr>
        <w:t xml:space="preserve"> </w:t>
      </w:r>
    </w:p>
    <w:p w14:paraId="765F1013" w14:textId="77777777" w:rsidR="00AD03A0" w:rsidRDefault="000F0F75">
      <w:pPr>
        <w:numPr>
          <w:ilvl w:val="0"/>
          <w:numId w:val="12"/>
        </w:numPr>
        <w:ind w:right="52" w:hanging="360"/>
      </w:pPr>
      <w:r>
        <w:t>NF EN ISO 2859 -1 (Avril 00</w:t>
      </w:r>
      <w:proofErr w:type="gramStart"/>
      <w:r>
        <w:t>):</w:t>
      </w:r>
      <w:proofErr w:type="gramEnd"/>
      <w:r>
        <w:t xml:space="preserve"> Règles d’échantillonnage pour les contrôles par attributs - Partie 1 : procédure d’échantillonnage pour les contrôles lot par lot, indexés d’après le niveau de qualité acceptable ; </w:t>
      </w:r>
    </w:p>
    <w:p w14:paraId="37F89241" w14:textId="77777777" w:rsidR="00AD03A0" w:rsidRDefault="000F0F75">
      <w:pPr>
        <w:spacing w:after="0" w:line="259" w:lineRule="auto"/>
        <w:ind w:left="0" w:right="0" w:firstLine="0"/>
        <w:jc w:val="left"/>
      </w:pPr>
      <w:r>
        <w:rPr>
          <w:sz w:val="24"/>
        </w:rPr>
        <w:t xml:space="preserve"> </w:t>
      </w:r>
    </w:p>
    <w:p w14:paraId="73741F7D" w14:textId="3375D5E2" w:rsidR="00AD03A0" w:rsidRDefault="000F0F75" w:rsidP="001854B8">
      <w:pPr>
        <w:numPr>
          <w:ilvl w:val="0"/>
          <w:numId w:val="12"/>
        </w:numPr>
        <w:ind w:right="52" w:hanging="360"/>
      </w:pPr>
      <w:r>
        <w:t xml:space="preserve">NF X 06-026 (Juin 87) : Contrôle par comptage de la proportion d’individus ou du nombre moyen ou non-conformité par unités : Méthodes générales pour la construction d’un plan d’échantillonnage. </w:t>
      </w:r>
    </w:p>
    <w:p w14:paraId="48E8E67C" w14:textId="2729E904" w:rsidR="00AD03A0" w:rsidRDefault="000F0F75" w:rsidP="00B6164B">
      <w:pPr>
        <w:pStyle w:val="Titre4"/>
      </w:pPr>
      <w:bookmarkStart w:id="18" w:name="_Toc117501181"/>
      <w:r>
        <w:lastRenderedPageBreak/>
        <w:t>Annexe.3 Renouvellement d’engins par échantillonnage</w:t>
      </w:r>
      <w:bookmarkEnd w:id="18"/>
    </w:p>
    <w:p w14:paraId="29DF086D" w14:textId="3B38CDF3" w:rsidR="00AD03A0" w:rsidRDefault="00A02C72">
      <w:pPr>
        <w:spacing w:after="0" w:line="259" w:lineRule="auto"/>
        <w:ind w:left="0" w:right="399" w:firstLine="0"/>
        <w:jc w:val="right"/>
      </w:pPr>
      <w:ins w:id="19" w:author="Cécile RASTOUL" w:date="2025-05-30T17:21:00Z">
        <w:r>
          <w:rPr>
            <w:noProof/>
          </w:rPr>
          <w:drawing>
            <wp:inline distT="0" distB="0" distL="0" distR="0" wp14:anchorId="4CDA07EA" wp14:editId="0D41C6C9">
              <wp:extent cx="5486400" cy="834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8343900"/>
                      </a:xfrm>
                      <a:prstGeom prst="rect">
                        <a:avLst/>
                      </a:prstGeom>
                      <a:noFill/>
                      <a:ln>
                        <a:noFill/>
                      </a:ln>
                    </pic:spPr>
                  </pic:pic>
                </a:graphicData>
              </a:graphic>
            </wp:inline>
          </w:drawing>
        </w:r>
      </w:ins>
      <w:r w:rsidR="000F0F75">
        <w:t xml:space="preserve"> </w:t>
      </w:r>
    </w:p>
    <w:p w14:paraId="6C530E38" w14:textId="6B302047" w:rsidR="00AD03A0" w:rsidRDefault="00A03C61">
      <w:pPr>
        <w:spacing w:after="0" w:line="259" w:lineRule="auto"/>
        <w:ind w:left="2" w:right="0" w:firstLine="0"/>
      </w:pPr>
      <w:r>
        <w:rPr>
          <w:noProof/>
        </w:rPr>
        <w:lastRenderedPageBreak/>
        <w:drawing>
          <wp:inline distT="0" distB="0" distL="0" distR="0" wp14:anchorId="7B8EC877" wp14:editId="37DB17E3">
            <wp:extent cx="5753100" cy="6972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6972300"/>
                    </a:xfrm>
                    <a:prstGeom prst="rect">
                      <a:avLst/>
                    </a:prstGeom>
                    <a:noFill/>
                    <a:ln>
                      <a:noFill/>
                    </a:ln>
                  </pic:spPr>
                </pic:pic>
              </a:graphicData>
            </a:graphic>
          </wp:inline>
        </w:drawing>
      </w:r>
      <w:r w:rsidR="000F0F75">
        <w:t xml:space="preserve"> </w:t>
      </w:r>
    </w:p>
    <w:sectPr w:rsidR="00AD03A0" w:rsidSect="007B4584">
      <w:headerReference w:type="even" r:id="rId10"/>
      <w:headerReference w:type="default" r:id="rId11"/>
      <w:footerReference w:type="even" r:id="rId12"/>
      <w:footerReference w:type="default" r:id="rId13"/>
      <w:headerReference w:type="first" r:id="rId14"/>
      <w:footerReference w:type="first" r:id="rId15"/>
      <w:pgSz w:w="11900" w:h="16840"/>
      <w:pgMar w:top="612" w:right="985" w:bottom="1424"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AE5AB" w14:textId="77777777" w:rsidR="00D82286" w:rsidRDefault="00D82286">
      <w:pPr>
        <w:spacing w:after="0" w:line="240" w:lineRule="auto"/>
      </w:pPr>
      <w:r>
        <w:separator/>
      </w:r>
    </w:p>
  </w:endnote>
  <w:endnote w:type="continuationSeparator" w:id="0">
    <w:p w14:paraId="059C0114" w14:textId="77777777" w:rsidR="00D82286" w:rsidRDefault="00D82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422E" w14:textId="77777777" w:rsidR="00F45690" w:rsidRDefault="00F45690">
    <w:pPr>
      <w:tabs>
        <w:tab w:val="right" w:pos="9132"/>
      </w:tabs>
      <w:spacing w:after="0" w:line="259" w:lineRule="auto"/>
      <w:ind w:left="0" w:right="0" w:firstLine="0"/>
      <w:jc w:val="left"/>
    </w:pPr>
    <w:r>
      <w:t xml:space="preserve">Version V7 5/05/2015 </w:t>
    </w:r>
    <w:r>
      <w:tab/>
    </w:r>
    <w:r>
      <w:fldChar w:fldCharType="begin"/>
    </w:r>
    <w:r>
      <w:instrText xml:space="preserve"> PAGE   \* MERGEFORMAT </w:instrText>
    </w:r>
    <w:r>
      <w:fldChar w:fldCharType="separate"/>
    </w:r>
    <w:r>
      <w:t>2</w:t>
    </w:r>
    <w:r>
      <w:fldChar w:fldCharType="end"/>
    </w:r>
    <w:r>
      <w:t xml:space="preserve">/ </w:t>
    </w:r>
    <w:r w:rsidR="008544A1">
      <w:fldChar w:fldCharType="begin"/>
    </w:r>
    <w:r w:rsidR="008544A1">
      <w:instrText xml:space="preserve"> NUMPAGES   \* MERGEFORMAT </w:instrText>
    </w:r>
    <w:r w:rsidR="008544A1">
      <w:fldChar w:fldCharType="separate"/>
    </w:r>
    <w:r>
      <w:t>17</w:t>
    </w:r>
    <w:r w:rsidR="008544A1">
      <w:fldChar w:fldCharType="end"/>
    </w:r>
    <w:r>
      <w:t xml:space="preserve"> </w:t>
    </w:r>
  </w:p>
  <w:p w14:paraId="7394A657" w14:textId="77777777" w:rsidR="00F45690" w:rsidRDefault="00F45690">
    <w:pPr>
      <w:spacing w:after="0" w:line="259" w:lineRule="auto"/>
      <w:ind w:left="0" w:right="3" w:firstLine="0"/>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6093A" w14:textId="53312C71" w:rsidR="00F45690" w:rsidRDefault="00F45690" w:rsidP="00A10DB6">
    <w:pPr>
      <w:tabs>
        <w:tab w:val="right" w:pos="9132"/>
      </w:tabs>
      <w:spacing w:after="0" w:line="259" w:lineRule="auto"/>
      <w:ind w:left="0" w:right="0" w:firstLine="0"/>
      <w:jc w:val="left"/>
    </w:pPr>
    <w:r>
      <w:tab/>
    </w:r>
    <w:r>
      <w:fldChar w:fldCharType="begin"/>
    </w:r>
    <w:r>
      <w:instrText xml:space="preserve"> PAGE   \* MERGEFORMAT </w:instrText>
    </w:r>
    <w:r>
      <w:fldChar w:fldCharType="separate"/>
    </w:r>
    <w:r w:rsidR="002549AC">
      <w:rPr>
        <w:noProof/>
      </w:rPr>
      <w:t>3</w:t>
    </w:r>
    <w:r>
      <w:fldChar w:fldCharType="end"/>
    </w:r>
    <w:r>
      <w:t>/</w:t>
    </w:r>
    <w:r w:rsidR="008544A1">
      <w:fldChar w:fldCharType="begin"/>
    </w:r>
    <w:r w:rsidR="008544A1">
      <w:instrText xml:space="preserve"> NUMPAGES   \* MERGEFORMAT </w:instrText>
    </w:r>
    <w:r w:rsidR="008544A1">
      <w:fldChar w:fldCharType="separate"/>
    </w:r>
    <w:r w:rsidR="002549AC">
      <w:rPr>
        <w:noProof/>
      </w:rPr>
      <w:t>12</w:t>
    </w:r>
    <w:r w:rsidR="008544A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0FDA" w14:textId="77777777" w:rsidR="00F45690" w:rsidRDefault="00F45690">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42A4" w14:textId="77777777" w:rsidR="00D82286" w:rsidRDefault="00D82286">
      <w:pPr>
        <w:spacing w:after="0" w:line="259" w:lineRule="auto"/>
        <w:ind w:left="0" w:right="0" w:firstLine="0"/>
        <w:jc w:val="left"/>
      </w:pPr>
      <w:r>
        <w:separator/>
      </w:r>
    </w:p>
  </w:footnote>
  <w:footnote w:type="continuationSeparator" w:id="0">
    <w:p w14:paraId="69773D44" w14:textId="77777777" w:rsidR="00D82286" w:rsidRDefault="00D82286">
      <w:pPr>
        <w:spacing w:after="0" w:line="259" w:lineRule="auto"/>
        <w:ind w:left="0" w:right="0" w:firstLine="0"/>
        <w:jc w:val="left"/>
      </w:pPr>
      <w:r>
        <w:continuationSeparator/>
      </w:r>
    </w:p>
  </w:footnote>
  <w:footnote w:id="1">
    <w:p w14:paraId="45D7C5ED" w14:textId="77777777" w:rsidR="00F45690" w:rsidRDefault="00F45690">
      <w:pPr>
        <w:pStyle w:val="footnotedescription"/>
      </w:pPr>
      <w:r>
        <w:rPr>
          <w:rStyle w:val="footnotemark"/>
        </w:rPr>
        <w:footnoteRef/>
      </w:r>
      <w:r>
        <w:t xml:space="preserve"> voir définition en Annexe.1</w:t>
      </w:r>
      <w:r>
        <w:rPr>
          <w:rFonts w:ascii="Arial" w:eastAsia="Arial" w:hAnsi="Arial" w:cs="Arial"/>
          <w:b w:val="0"/>
          <w:sz w:val="20"/>
        </w:rPr>
        <w:t xml:space="preserve"> </w:t>
      </w:r>
    </w:p>
  </w:footnote>
  <w:footnote w:id="2">
    <w:p w14:paraId="01D0DDA2" w14:textId="77777777" w:rsidR="00F45690" w:rsidRDefault="00F45690">
      <w:pPr>
        <w:pStyle w:val="footnotedescription"/>
      </w:pPr>
      <w:r>
        <w:rPr>
          <w:rStyle w:val="footnotemark"/>
        </w:rPr>
        <w:footnoteRef/>
      </w:r>
      <w:r>
        <w:t xml:space="preserve"> voir définition en Annexe.1</w:t>
      </w:r>
      <w:r>
        <w:rPr>
          <w:rFonts w:ascii="Arial" w:eastAsia="Arial" w:hAnsi="Arial" w:cs="Arial"/>
          <w:b w:val="0"/>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C4341" w14:textId="77777777" w:rsidR="00F45690" w:rsidRDefault="00F45690">
    <w:pPr>
      <w:spacing w:after="0" w:line="259" w:lineRule="auto"/>
      <w:ind w:left="0" w:right="-453"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98BBEEB" wp14:editId="31283CFA">
              <wp:simplePos x="0" y="0"/>
              <wp:positionH relativeFrom="page">
                <wp:posOffset>880872</wp:posOffset>
              </wp:positionH>
              <wp:positionV relativeFrom="page">
                <wp:posOffset>673603</wp:posOffset>
              </wp:positionV>
              <wp:extent cx="5794248" cy="6097"/>
              <wp:effectExtent l="0" t="0" r="0" b="0"/>
              <wp:wrapSquare wrapText="bothSides"/>
              <wp:docPr id="16250" name="Group 16250"/>
              <wp:cNvGraphicFramePr/>
              <a:graphic xmlns:a="http://schemas.openxmlformats.org/drawingml/2006/main">
                <a:graphicData uri="http://schemas.microsoft.com/office/word/2010/wordprocessingGroup">
                  <wpg:wgp>
                    <wpg:cNvGrpSpPr/>
                    <wpg:grpSpPr>
                      <a:xfrm>
                        <a:off x="0" y="0"/>
                        <a:ext cx="5794248" cy="6097"/>
                        <a:chOff x="0" y="0"/>
                        <a:chExt cx="5794248" cy="6097"/>
                      </a:xfrm>
                    </wpg:grpSpPr>
                    <wps:wsp>
                      <wps:cNvPr id="16742" name="Shape 16742"/>
                      <wps:cNvSpPr/>
                      <wps:spPr>
                        <a:xfrm>
                          <a:off x="0" y="0"/>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50" style="width:456.24pt;height:0.480042pt;position:absolute;mso-position-horizontal-relative:page;mso-position-horizontal:absolute;margin-left:69.36pt;mso-position-vertical-relative:page;margin-top:53.0396pt;" coordsize="57942,60">
              <v:shape id="Shape 16743" style="position:absolute;width:57942;height:91;left:0;top:0;" coordsize="5794248,9144" path="m0,0l5794248,0l5794248,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b/>
        <w:sz w:val="14"/>
      </w:rPr>
      <w:t>Modalités particulières d’application de l’article R. 231-59-2 du code rural et de la pêche maritime concernant certaines attestations de conformité technique</w:t>
    </w:r>
    <w:r>
      <w:rPr>
        <w:rFonts w:ascii="Times New Roman" w:eastAsia="Times New Roman" w:hAnsi="Times New Roman" w:cs="Times New Roman"/>
        <w:b/>
      </w:rPr>
      <w:t xml:space="preserve"> </w:t>
    </w:r>
  </w:p>
  <w:p w14:paraId="462D162A" w14:textId="77777777" w:rsidR="00F45690" w:rsidRDefault="00F45690">
    <w:pPr>
      <w:spacing w:after="0" w:line="259" w:lineRule="auto"/>
      <w:ind w:left="0" w:right="0" w:firstLine="0"/>
      <w:jc w:val="lef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83E1" w14:textId="26D29774" w:rsidR="00F45690" w:rsidRDefault="00F45690" w:rsidP="002D1A25">
    <w:pPr>
      <w:spacing w:after="0" w:line="259" w:lineRule="auto"/>
      <w:ind w:left="0" w:right="-453"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6FB8031B" wp14:editId="015C1D2C">
              <wp:simplePos x="0" y="0"/>
              <wp:positionH relativeFrom="page">
                <wp:posOffset>880872</wp:posOffset>
              </wp:positionH>
              <wp:positionV relativeFrom="page">
                <wp:posOffset>673603</wp:posOffset>
              </wp:positionV>
              <wp:extent cx="5794248" cy="6097"/>
              <wp:effectExtent l="0" t="0" r="0" b="0"/>
              <wp:wrapSquare wrapText="bothSides"/>
              <wp:docPr id="16224" name="Group 16224"/>
              <wp:cNvGraphicFramePr/>
              <a:graphic xmlns:a="http://schemas.openxmlformats.org/drawingml/2006/main">
                <a:graphicData uri="http://schemas.microsoft.com/office/word/2010/wordprocessingGroup">
                  <wpg:wgp>
                    <wpg:cNvGrpSpPr/>
                    <wpg:grpSpPr>
                      <a:xfrm>
                        <a:off x="0" y="0"/>
                        <a:ext cx="5794248" cy="6097"/>
                        <a:chOff x="0" y="0"/>
                        <a:chExt cx="5794248" cy="6097"/>
                      </a:xfrm>
                    </wpg:grpSpPr>
                    <wps:wsp>
                      <wps:cNvPr id="16740" name="Shape 16740"/>
                      <wps:cNvSpPr/>
                      <wps:spPr>
                        <a:xfrm>
                          <a:off x="0" y="0"/>
                          <a:ext cx="5794248" cy="9144"/>
                        </a:xfrm>
                        <a:custGeom>
                          <a:avLst/>
                          <a:gdLst/>
                          <a:ahLst/>
                          <a:cxnLst/>
                          <a:rect l="0" t="0" r="0" b="0"/>
                          <a:pathLst>
                            <a:path w="5794248" h="9144">
                              <a:moveTo>
                                <a:pt x="0" y="0"/>
                              </a:moveTo>
                              <a:lnTo>
                                <a:pt x="5794248" y="0"/>
                              </a:lnTo>
                              <a:lnTo>
                                <a:pt x="57942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24" style="width:456.24pt;height:0.480042pt;position:absolute;mso-position-horizontal-relative:page;mso-position-horizontal:absolute;margin-left:69.36pt;mso-position-vertical-relative:page;margin-top:53.0396pt;" coordsize="57942,60">
              <v:shape id="Shape 16741" style="position:absolute;width:57942;height:91;left:0;top:0;" coordsize="5794248,9144" path="m0,0l5794248,0l5794248,9144l0,9144l0,0">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b/>
        <w:sz w:val="14"/>
      </w:rPr>
      <w:t xml:space="preserve">Modalités particulières d’application de l’article R. 231-45 du code rural et de la pêche maritime concernant certaines attestations de conformité </w:t>
    </w:r>
  </w:p>
  <w:p w14:paraId="0B38F93A" w14:textId="77777777" w:rsidR="00F45690" w:rsidRDefault="00F45690">
    <w:pPr>
      <w:spacing w:after="0" w:line="259" w:lineRule="auto"/>
      <w:ind w:left="0" w:right="0" w:firstLine="0"/>
      <w:jc w:val="left"/>
    </w:pPr>
    <w:r>
      <w:rPr>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9B00A" w14:textId="77777777" w:rsidR="00F45690" w:rsidRDefault="00F45690">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17B4B"/>
    <w:multiLevelType w:val="hybridMultilevel"/>
    <w:tmpl w:val="85BAB178"/>
    <w:lvl w:ilvl="0" w:tplc="C026F1A4">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D85A77AA">
      <w:start w:val="1"/>
      <w:numFmt w:val="bullet"/>
      <w:lvlText w:val="o"/>
      <w:lvlJc w:val="left"/>
      <w:pPr>
        <w:ind w:left="9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FAC5AFC">
      <w:start w:val="1"/>
      <w:numFmt w:val="bullet"/>
      <w:lvlRestart w:val="0"/>
      <w:lvlText w:val="o"/>
      <w:lvlJc w:val="left"/>
      <w:pPr>
        <w:ind w:left="16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E6920C76">
      <w:start w:val="1"/>
      <w:numFmt w:val="bullet"/>
      <w:lvlText w:val="•"/>
      <w:lvlJc w:val="left"/>
      <w:pPr>
        <w:ind w:left="23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740E98C">
      <w:start w:val="1"/>
      <w:numFmt w:val="bullet"/>
      <w:lvlText w:val="o"/>
      <w:lvlJc w:val="left"/>
      <w:pPr>
        <w:ind w:left="307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946EC7A">
      <w:start w:val="1"/>
      <w:numFmt w:val="bullet"/>
      <w:lvlText w:val="▪"/>
      <w:lvlJc w:val="left"/>
      <w:pPr>
        <w:ind w:left="379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A786880">
      <w:start w:val="1"/>
      <w:numFmt w:val="bullet"/>
      <w:lvlText w:val="•"/>
      <w:lvlJc w:val="left"/>
      <w:pPr>
        <w:ind w:left="451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D588816">
      <w:start w:val="1"/>
      <w:numFmt w:val="bullet"/>
      <w:lvlText w:val="o"/>
      <w:lvlJc w:val="left"/>
      <w:pPr>
        <w:ind w:left="523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3AC0634">
      <w:start w:val="1"/>
      <w:numFmt w:val="bullet"/>
      <w:lvlText w:val="▪"/>
      <w:lvlJc w:val="left"/>
      <w:pPr>
        <w:ind w:left="595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0D6126"/>
    <w:multiLevelType w:val="hybridMultilevel"/>
    <w:tmpl w:val="61E4F148"/>
    <w:lvl w:ilvl="0" w:tplc="DFEC124A">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B2C3BE">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46F66">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6CF4C0">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A40610">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B5E3A8A">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FA6072">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664B80">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BCD2B0">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BA00D5C"/>
    <w:multiLevelType w:val="hybridMultilevel"/>
    <w:tmpl w:val="4718CD48"/>
    <w:lvl w:ilvl="0" w:tplc="F86626BC">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E58F6">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44E4E8">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7499B0">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5CF97E">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CC99CE">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764F50">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9269AA">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168910">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4BE367A"/>
    <w:multiLevelType w:val="hybridMultilevel"/>
    <w:tmpl w:val="39222B50"/>
    <w:lvl w:ilvl="0" w:tplc="EBFE2252">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76C804">
      <w:start w:val="1"/>
      <w:numFmt w:val="bullet"/>
      <w:lvlText w:val="o"/>
      <w:lvlJc w:val="left"/>
      <w:pPr>
        <w:ind w:left="1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D8C368">
      <w:start w:val="1"/>
      <w:numFmt w:val="bullet"/>
      <w:lvlText w:val="▪"/>
      <w:lvlJc w:val="left"/>
      <w:pPr>
        <w:ind w:left="2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E8FECA">
      <w:start w:val="1"/>
      <w:numFmt w:val="bullet"/>
      <w:lvlText w:val="•"/>
      <w:lvlJc w:val="left"/>
      <w:pPr>
        <w:ind w:left="2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1073BA">
      <w:start w:val="1"/>
      <w:numFmt w:val="bullet"/>
      <w:lvlText w:val="o"/>
      <w:lvlJc w:val="left"/>
      <w:pPr>
        <w:ind w:left="3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9C7910">
      <w:start w:val="1"/>
      <w:numFmt w:val="bullet"/>
      <w:lvlText w:val="▪"/>
      <w:lvlJc w:val="left"/>
      <w:pPr>
        <w:ind w:left="4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B05BF6">
      <w:start w:val="1"/>
      <w:numFmt w:val="bullet"/>
      <w:lvlText w:val="•"/>
      <w:lvlJc w:val="left"/>
      <w:pPr>
        <w:ind w:left="49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9675B6">
      <w:start w:val="1"/>
      <w:numFmt w:val="bullet"/>
      <w:lvlText w:val="o"/>
      <w:lvlJc w:val="left"/>
      <w:pPr>
        <w:ind w:left="5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DC5A10">
      <w:start w:val="1"/>
      <w:numFmt w:val="bullet"/>
      <w:lvlText w:val="▪"/>
      <w:lvlJc w:val="left"/>
      <w:pPr>
        <w:ind w:left="6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FF4A9E"/>
    <w:multiLevelType w:val="hybridMultilevel"/>
    <w:tmpl w:val="C6ECE084"/>
    <w:lvl w:ilvl="0" w:tplc="D75C746A">
      <w:start w:val="1"/>
      <w:numFmt w:val="upperRoman"/>
      <w:lvlText w:val="%1"/>
      <w:lvlJc w:val="left"/>
      <w:pPr>
        <w:ind w:left="43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7AE0727C">
      <w:start w:val="1"/>
      <w:numFmt w:val="decimal"/>
      <w:lvlText w:val="%2"/>
      <w:lvlJc w:val="left"/>
      <w:pPr>
        <w:ind w:left="6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F82D94C">
      <w:start w:val="1"/>
      <w:numFmt w:val="lowerRoman"/>
      <w:lvlText w:val="%3"/>
      <w:lvlJc w:val="left"/>
      <w:pPr>
        <w:ind w:left="13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FFA8F60">
      <w:start w:val="1"/>
      <w:numFmt w:val="decimal"/>
      <w:lvlText w:val="%4"/>
      <w:lvlJc w:val="left"/>
      <w:pPr>
        <w:ind w:left="20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7788966">
      <w:start w:val="1"/>
      <w:numFmt w:val="lowerLetter"/>
      <w:lvlText w:val="%5"/>
      <w:lvlJc w:val="left"/>
      <w:pPr>
        <w:ind w:left="27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6CAFC4">
      <w:start w:val="1"/>
      <w:numFmt w:val="lowerRoman"/>
      <w:lvlText w:val="%6"/>
      <w:lvlJc w:val="left"/>
      <w:pPr>
        <w:ind w:left="3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BA219E">
      <w:start w:val="1"/>
      <w:numFmt w:val="decimal"/>
      <w:lvlText w:val="%7"/>
      <w:lvlJc w:val="left"/>
      <w:pPr>
        <w:ind w:left="4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9AC280">
      <w:start w:val="1"/>
      <w:numFmt w:val="lowerLetter"/>
      <w:lvlText w:val="%8"/>
      <w:lvlJc w:val="left"/>
      <w:pPr>
        <w:ind w:left="4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A383A60">
      <w:start w:val="1"/>
      <w:numFmt w:val="lowerRoman"/>
      <w:lvlText w:val="%9"/>
      <w:lvlJc w:val="left"/>
      <w:pPr>
        <w:ind w:left="5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C5B57CA"/>
    <w:multiLevelType w:val="hybridMultilevel"/>
    <w:tmpl w:val="70A61ADA"/>
    <w:lvl w:ilvl="0" w:tplc="71D8DC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E0448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D8ECF8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32EEC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ECDF14">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2AD52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98F8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6CFE9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92947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AB24D15"/>
    <w:multiLevelType w:val="hybridMultilevel"/>
    <w:tmpl w:val="C0EC939E"/>
    <w:lvl w:ilvl="0" w:tplc="83C4865A">
      <w:start w:val="1"/>
      <w:numFmt w:val="bullet"/>
      <w:lvlText w:val="•"/>
      <w:lvlJc w:val="left"/>
      <w:pPr>
        <w:ind w:left="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B00236">
      <w:start w:val="1"/>
      <w:numFmt w:val="bullet"/>
      <w:lvlText w:val="o"/>
      <w:lvlJc w:val="left"/>
      <w:pPr>
        <w:ind w:left="1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40ED80">
      <w:start w:val="1"/>
      <w:numFmt w:val="bullet"/>
      <w:lvlText w:val="▪"/>
      <w:lvlJc w:val="left"/>
      <w:pPr>
        <w:ind w:left="1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9E2166">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902768">
      <w:start w:val="1"/>
      <w:numFmt w:val="bullet"/>
      <w:lvlText w:val="o"/>
      <w:lvlJc w:val="left"/>
      <w:pPr>
        <w:ind w:left="3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B4C8DC">
      <w:start w:val="1"/>
      <w:numFmt w:val="bullet"/>
      <w:lvlText w:val="▪"/>
      <w:lvlJc w:val="left"/>
      <w:pPr>
        <w:ind w:left="4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4C7694">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1EF0A0">
      <w:start w:val="1"/>
      <w:numFmt w:val="bullet"/>
      <w:lvlText w:val="o"/>
      <w:lvlJc w:val="left"/>
      <w:pPr>
        <w:ind w:left="5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3253DA">
      <w:start w:val="1"/>
      <w:numFmt w:val="bullet"/>
      <w:lvlText w:val="▪"/>
      <w:lvlJc w:val="left"/>
      <w:pPr>
        <w:ind w:left="6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0330346"/>
    <w:multiLevelType w:val="hybridMultilevel"/>
    <w:tmpl w:val="7EBEDAD4"/>
    <w:lvl w:ilvl="0" w:tplc="BB1CCA7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86AAEE">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3A9ED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99A524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7E46B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FE036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EEBE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FC9ED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50193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28D420F"/>
    <w:multiLevelType w:val="hybridMultilevel"/>
    <w:tmpl w:val="FAB8FDFE"/>
    <w:lvl w:ilvl="0" w:tplc="A06CFA7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FC73D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B2C7E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58ACD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3C1AE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2E771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DCC7F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0E35E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C0B73A">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53405C9"/>
    <w:multiLevelType w:val="hybridMultilevel"/>
    <w:tmpl w:val="1DC8C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65580"/>
    <w:multiLevelType w:val="hybridMultilevel"/>
    <w:tmpl w:val="CABE635E"/>
    <w:lvl w:ilvl="0" w:tplc="A13E4FC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AC2EC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A207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AAE9DB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C26A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AE12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0C86B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16F02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909A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9936B95"/>
    <w:multiLevelType w:val="hybridMultilevel"/>
    <w:tmpl w:val="FBCA2F9E"/>
    <w:lvl w:ilvl="0" w:tplc="06AC2F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427FAE">
      <w:start w:val="1"/>
      <w:numFmt w:val="bullet"/>
      <w:lvlText w:val="-"/>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1A7E2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B6255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28987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4E893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CE61D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6232E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04478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E440485"/>
    <w:multiLevelType w:val="hybridMultilevel"/>
    <w:tmpl w:val="17C89CC2"/>
    <w:lvl w:ilvl="0" w:tplc="62A6E19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4C5C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582EC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AC4E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E8A2E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DEB47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968F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7288A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9C7B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0"/>
  </w:num>
  <w:num w:numId="3">
    <w:abstractNumId w:val="12"/>
  </w:num>
  <w:num w:numId="4">
    <w:abstractNumId w:val="3"/>
  </w:num>
  <w:num w:numId="5">
    <w:abstractNumId w:val="8"/>
  </w:num>
  <w:num w:numId="6">
    <w:abstractNumId w:val="11"/>
  </w:num>
  <w:num w:numId="7">
    <w:abstractNumId w:val="0"/>
  </w:num>
  <w:num w:numId="8">
    <w:abstractNumId w:val="5"/>
  </w:num>
  <w:num w:numId="9">
    <w:abstractNumId w:val="7"/>
  </w:num>
  <w:num w:numId="10">
    <w:abstractNumId w:val="2"/>
  </w:num>
  <w:num w:numId="11">
    <w:abstractNumId w:val="6"/>
  </w:num>
  <w:num w:numId="12">
    <w:abstractNumId w:val="1"/>
  </w:num>
  <w:num w:numId="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écile RASTOUL">
    <w15:presenceInfo w15:providerId="None" w15:userId="Cécile RASTOU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3A0"/>
    <w:rsid w:val="00006A3A"/>
    <w:rsid w:val="0003038E"/>
    <w:rsid w:val="0003524F"/>
    <w:rsid w:val="00040FF2"/>
    <w:rsid w:val="00053007"/>
    <w:rsid w:val="00055422"/>
    <w:rsid w:val="000A0A3A"/>
    <w:rsid w:val="000F0F75"/>
    <w:rsid w:val="001348E5"/>
    <w:rsid w:val="0014104D"/>
    <w:rsid w:val="00152D73"/>
    <w:rsid w:val="001854B8"/>
    <w:rsid w:val="00185CF5"/>
    <w:rsid w:val="001E23AA"/>
    <w:rsid w:val="00202585"/>
    <w:rsid w:val="00211707"/>
    <w:rsid w:val="002422B2"/>
    <w:rsid w:val="00251C18"/>
    <w:rsid w:val="002549AC"/>
    <w:rsid w:val="002603C0"/>
    <w:rsid w:val="00264DCF"/>
    <w:rsid w:val="0026798D"/>
    <w:rsid w:val="002842B2"/>
    <w:rsid w:val="002B3429"/>
    <w:rsid w:val="002B3ED8"/>
    <w:rsid w:val="002D1A25"/>
    <w:rsid w:val="002D427A"/>
    <w:rsid w:val="002E7BA9"/>
    <w:rsid w:val="0030127B"/>
    <w:rsid w:val="00323AC6"/>
    <w:rsid w:val="00357BFD"/>
    <w:rsid w:val="003A6A11"/>
    <w:rsid w:val="003D60FD"/>
    <w:rsid w:val="003E6A2B"/>
    <w:rsid w:val="003F3EAA"/>
    <w:rsid w:val="00421B3F"/>
    <w:rsid w:val="00437DFC"/>
    <w:rsid w:val="00447A37"/>
    <w:rsid w:val="004A6074"/>
    <w:rsid w:val="004C54DB"/>
    <w:rsid w:val="004E10BC"/>
    <w:rsid w:val="004F0E91"/>
    <w:rsid w:val="00503E11"/>
    <w:rsid w:val="005139CA"/>
    <w:rsid w:val="00564B94"/>
    <w:rsid w:val="00571D85"/>
    <w:rsid w:val="00586711"/>
    <w:rsid w:val="0059342D"/>
    <w:rsid w:val="00670DF1"/>
    <w:rsid w:val="00672BFE"/>
    <w:rsid w:val="00680991"/>
    <w:rsid w:val="00712FBA"/>
    <w:rsid w:val="00747048"/>
    <w:rsid w:val="00752690"/>
    <w:rsid w:val="007661CD"/>
    <w:rsid w:val="0079377F"/>
    <w:rsid w:val="00796E77"/>
    <w:rsid w:val="007B4584"/>
    <w:rsid w:val="007D7583"/>
    <w:rsid w:val="007F6801"/>
    <w:rsid w:val="00802B64"/>
    <w:rsid w:val="008042AC"/>
    <w:rsid w:val="00813410"/>
    <w:rsid w:val="00847275"/>
    <w:rsid w:val="0085221A"/>
    <w:rsid w:val="008544A1"/>
    <w:rsid w:val="00862665"/>
    <w:rsid w:val="008C2AA6"/>
    <w:rsid w:val="008D1BCD"/>
    <w:rsid w:val="00954C18"/>
    <w:rsid w:val="00966431"/>
    <w:rsid w:val="009715B7"/>
    <w:rsid w:val="009B2C44"/>
    <w:rsid w:val="009B5D75"/>
    <w:rsid w:val="00A02C72"/>
    <w:rsid w:val="00A03C61"/>
    <w:rsid w:val="00A10DB6"/>
    <w:rsid w:val="00A52682"/>
    <w:rsid w:val="00A569E2"/>
    <w:rsid w:val="00A92C39"/>
    <w:rsid w:val="00A947E5"/>
    <w:rsid w:val="00AB2594"/>
    <w:rsid w:val="00AD03A0"/>
    <w:rsid w:val="00AE2CB2"/>
    <w:rsid w:val="00B6164B"/>
    <w:rsid w:val="00B9573B"/>
    <w:rsid w:val="00BD295D"/>
    <w:rsid w:val="00C10A34"/>
    <w:rsid w:val="00C17EB3"/>
    <w:rsid w:val="00C4529D"/>
    <w:rsid w:val="00C56B0D"/>
    <w:rsid w:val="00C729A1"/>
    <w:rsid w:val="00C7670A"/>
    <w:rsid w:val="00C77CC7"/>
    <w:rsid w:val="00CB7945"/>
    <w:rsid w:val="00CD4016"/>
    <w:rsid w:val="00CE208A"/>
    <w:rsid w:val="00D10391"/>
    <w:rsid w:val="00D3709F"/>
    <w:rsid w:val="00D414A1"/>
    <w:rsid w:val="00D432AD"/>
    <w:rsid w:val="00D60DF5"/>
    <w:rsid w:val="00D82286"/>
    <w:rsid w:val="00DB3ED1"/>
    <w:rsid w:val="00E04297"/>
    <w:rsid w:val="00E171FA"/>
    <w:rsid w:val="00E51A83"/>
    <w:rsid w:val="00E77CD4"/>
    <w:rsid w:val="00E77D46"/>
    <w:rsid w:val="00E9710A"/>
    <w:rsid w:val="00EC002A"/>
    <w:rsid w:val="00EE3CCA"/>
    <w:rsid w:val="00EF3737"/>
    <w:rsid w:val="00EF50A7"/>
    <w:rsid w:val="00F25D8E"/>
    <w:rsid w:val="00F45690"/>
    <w:rsid w:val="00F61CA9"/>
    <w:rsid w:val="00F718DF"/>
    <w:rsid w:val="00F7294F"/>
    <w:rsid w:val="00F76AB8"/>
    <w:rsid w:val="00F822FD"/>
    <w:rsid w:val="00F95E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AF9D91"/>
  <w15:docId w15:val="{0063A7B9-F39F-4800-95DC-2B386D6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584"/>
    <w:pPr>
      <w:spacing w:after="5" w:line="249" w:lineRule="auto"/>
      <w:ind w:left="10" w:right="67" w:hanging="10"/>
      <w:jc w:val="both"/>
    </w:pPr>
    <w:rPr>
      <w:rFonts w:ascii="Arial" w:eastAsia="Arial" w:hAnsi="Arial" w:cs="Arial"/>
      <w:color w:val="000000"/>
    </w:rPr>
  </w:style>
  <w:style w:type="paragraph" w:styleId="Titre1">
    <w:name w:val="heading 1"/>
    <w:basedOn w:val="Normal"/>
    <w:next w:val="Normal"/>
    <w:link w:val="Titre1Car"/>
    <w:uiPriority w:val="9"/>
    <w:unhideWhenUsed/>
    <w:qFormat/>
    <w:rsid w:val="00F25D8E"/>
    <w:pPr>
      <w:keepNext/>
      <w:keepLines/>
      <w:shd w:val="clear" w:color="auto" w:fill="DEEAF6" w:themeFill="accent1" w:themeFillTint="33"/>
      <w:spacing w:after="4"/>
      <w:outlineLvl w:val="0"/>
    </w:pPr>
    <w:rPr>
      <w:rFonts w:eastAsia="Cambria" w:cs="Cambria"/>
      <w:caps/>
      <w:color w:val="4F81BD"/>
    </w:rPr>
  </w:style>
  <w:style w:type="paragraph" w:styleId="Titre2">
    <w:name w:val="heading 2"/>
    <w:basedOn w:val="Normal"/>
    <w:next w:val="Normal"/>
    <w:link w:val="Titre2Car"/>
    <w:uiPriority w:val="9"/>
    <w:unhideWhenUsed/>
    <w:qFormat/>
    <w:rsid w:val="00F25D8E"/>
    <w:pPr>
      <w:keepNext/>
      <w:keepLines/>
      <w:spacing w:before="40" w:after="0"/>
      <w:outlineLvl w:val="1"/>
    </w:pPr>
    <w:rPr>
      <w:rFonts w:eastAsiaTheme="majorEastAsia" w:cstheme="majorBidi"/>
      <w:b/>
      <w:color w:val="2E74B5" w:themeColor="accent1" w:themeShade="BF"/>
      <w:sz w:val="20"/>
      <w:szCs w:val="26"/>
    </w:rPr>
  </w:style>
  <w:style w:type="paragraph" w:styleId="Titre3">
    <w:name w:val="heading 3"/>
    <w:basedOn w:val="Normal"/>
    <w:next w:val="Normal"/>
    <w:link w:val="Titre3Car"/>
    <w:uiPriority w:val="9"/>
    <w:unhideWhenUsed/>
    <w:qFormat/>
    <w:rsid w:val="00F25D8E"/>
    <w:pPr>
      <w:keepNext/>
      <w:keepLines/>
      <w:shd w:val="clear" w:color="auto" w:fill="DEEAF6" w:themeFill="accent1" w:themeFillTint="33"/>
      <w:spacing w:before="40" w:after="0" w:line="250" w:lineRule="auto"/>
      <w:ind w:left="11" w:right="68" w:hanging="11"/>
      <w:outlineLvl w:val="2"/>
    </w:pPr>
    <w:rPr>
      <w:rFonts w:eastAsiaTheme="majorEastAsia" w:cstheme="majorBidi"/>
      <w:caps/>
      <w:color w:val="1F4D78" w:themeColor="accent1" w:themeShade="7F"/>
      <w:szCs w:val="24"/>
    </w:rPr>
  </w:style>
  <w:style w:type="paragraph" w:styleId="Titre4">
    <w:name w:val="heading 4"/>
    <w:basedOn w:val="Normal"/>
    <w:next w:val="Normal"/>
    <w:link w:val="Titre4Car"/>
    <w:uiPriority w:val="9"/>
    <w:unhideWhenUsed/>
    <w:qFormat/>
    <w:rsid w:val="003D60FD"/>
    <w:pPr>
      <w:keepNext/>
      <w:keepLines/>
      <w:shd w:val="clear" w:color="auto" w:fill="DEEAF6" w:themeFill="accent1" w:themeFillTint="33"/>
      <w:spacing w:before="40" w:after="0"/>
      <w:outlineLvl w:val="3"/>
    </w:pPr>
    <w:rPr>
      <w:rFonts w:eastAsiaTheme="majorEastAsia" w:cstheme="majorBidi"/>
      <w:iCs/>
      <w:color w:val="1F4E79" w:themeColor="accent1" w:themeShade="8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25D8E"/>
    <w:rPr>
      <w:rFonts w:ascii="Arial" w:eastAsia="Cambria" w:hAnsi="Arial" w:cs="Cambria"/>
      <w:caps/>
      <w:color w:val="4F81BD"/>
      <w:shd w:val="clear" w:color="auto" w:fill="DEEAF6" w:themeFill="accent1" w:themeFillTint="33"/>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b/>
      <w:color w:val="000000"/>
      <w:sz w:val="24"/>
    </w:rPr>
  </w:style>
  <w:style w:type="character" w:customStyle="1" w:styleId="footnotedescriptionChar">
    <w:name w:val="footnote description Char"/>
    <w:link w:val="footnotedescription"/>
    <w:rPr>
      <w:rFonts w:ascii="Times New Roman" w:eastAsia="Times New Roman" w:hAnsi="Times New Roman" w:cs="Times New Roman"/>
      <w:b/>
      <w:color w:val="000000"/>
      <w:sz w:val="24"/>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A10DB6"/>
    <w:rPr>
      <w:sz w:val="16"/>
      <w:szCs w:val="16"/>
    </w:rPr>
  </w:style>
  <w:style w:type="paragraph" w:styleId="Commentaire">
    <w:name w:val="annotation text"/>
    <w:basedOn w:val="Normal"/>
    <w:link w:val="CommentaireCar"/>
    <w:uiPriority w:val="99"/>
    <w:semiHidden/>
    <w:unhideWhenUsed/>
    <w:rsid w:val="00A10DB6"/>
    <w:pPr>
      <w:spacing w:line="240" w:lineRule="auto"/>
    </w:pPr>
    <w:rPr>
      <w:sz w:val="20"/>
      <w:szCs w:val="20"/>
    </w:rPr>
  </w:style>
  <w:style w:type="character" w:customStyle="1" w:styleId="CommentaireCar">
    <w:name w:val="Commentaire Car"/>
    <w:basedOn w:val="Policepardfaut"/>
    <w:link w:val="Commentaire"/>
    <w:uiPriority w:val="99"/>
    <w:semiHidden/>
    <w:rsid w:val="00A10DB6"/>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A10DB6"/>
    <w:rPr>
      <w:b/>
      <w:bCs/>
    </w:rPr>
  </w:style>
  <w:style w:type="character" w:customStyle="1" w:styleId="ObjetducommentaireCar">
    <w:name w:val="Objet du commentaire Car"/>
    <w:basedOn w:val="CommentaireCar"/>
    <w:link w:val="Objetducommentaire"/>
    <w:uiPriority w:val="99"/>
    <w:semiHidden/>
    <w:rsid w:val="00A10DB6"/>
    <w:rPr>
      <w:rFonts w:ascii="Arial" w:eastAsia="Arial" w:hAnsi="Arial" w:cs="Arial"/>
      <w:b/>
      <w:bCs/>
      <w:color w:val="000000"/>
      <w:sz w:val="20"/>
      <w:szCs w:val="20"/>
    </w:rPr>
  </w:style>
  <w:style w:type="paragraph" w:styleId="Textedebulles">
    <w:name w:val="Balloon Text"/>
    <w:basedOn w:val="Normal"/>
    <w:link w:val="TextedebullesCar"/>
    <w:uiPriority w:val="99"/>
    <w:semiHidden/>
    <w:unhideWhenUsed/>
    <w:rsid w:val="00A10DB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0DB6"/>
    <w:rPr>
      <w:rFonts w:ascii="Segoe UI" w:eastAsia="Arial" w:hAnsi="Segoe UI" w:cs="Segoe UI"/>
      <w:color w:val="000000"/>
      <w:sz w:val="18"/>
      <w:szCs w:val="18"/>
    </w:rPr>
  </w:style>
  <w:style w:type="paragraph" w:styleId="En-ttedetabledesmatires">
    <w:name w:val="TOC Heading"/>
    <w:basedOn w:val="Titre1"/>
    <w:next w:val="Normal"/>
    <w:uiPriority w:val="39"/>
    <w:unhideWhenUsed/>
    <w:qFormat/>
    <w:rsid w:val="009715B7"/>
    <w:pPr>
      <w:shd w:val="clear" w:color="auto" w:fill="auto"/>
      <w:spacing w:before="240" w:after="0"/>
      <w:ind w:left="0" w:firstLine="0"/>
      <w:outlineLvl w:val="9"/>
    </w:pPr>
    <w:rPr>
      <w:rFonts w:asciiTheme="majorHAnsi" w:eastAsiaTheme="majorEastAsia" w:hAnsiTheme="majorHAnsi" w:cstheme="majorBidi"/>
      <w:b/>
      <w:i/>
      <w:color w:val="2E74B5" w:themeColor="accent1" w:themeShade="BF"/>
      <w:sz w:val="32"/>
      <w:szCs w:val="32"/>
    </w:rPr>
  </w:style>
  <w:style w:type="paragraph" w:styleId="TM1">
    <w:name w:val="toc 1"/>
    <w:basedOn w:val="Normal"/>
    <w:next w:val="Normal"/>
    <w:autoRedefine/>
    <w:uiPriority w:val="39"/>
    <w:unhideWhenUsed/>
    <w:rsid w:val="009715B7"/>
    <w:pPr>
      <w:spacing w:after="100"/>
      <w:ind w:left="0"/>
    </w:pPr>
  </w:style>
  <w:style w:type="character" w:styleId="Lienhypertexte">
    <w:name w:val="Hyperlink"/>
    <w:basedOn w:val="Policepardfaut"/>
    <w:uiPriority w:val="99"/>
    <w:unhideWhenUsed/>
    <w:rsid w:val="009715B7"/>
    <w:rPr>
      <w:color w:val="0563C1" w:themeColor="hyperlink"/>
      <w:u w:val="single"/>
    </w:rPr>
  </w:style>
  <w:style w:type="character" w:customStyle="1" w:styleId="Titre2Car">
    <w:name w:val="Titre 2 Car"/>
    <w:basedOn w:val="Policepardfaut"/>
    <w:link w:val="Titre2"/>
    <w:uiPriority w:val="9"/>
    <w:rsid w:val="00F25D8E"/>
    <w:rPr>
      <w:rFonts w:ascii="Arial" w:eastAsiaTheme="majorEastAsia" w:hAnsi="Arial" w:cstheme="majorBidi"/>
      <w:b/>
      <w:color w:val="2E74B5" w:themeColor="accent1" w:themeShade="BF"/>
      <w:sz w:val="20"/>
      <w:szCs w:val="26"/>
    </w:rPr>
  </w:style>
  <w:style w:type="character" w:customStyle="1" w:styleId="Titre3Car">
    <w:name w:val="Titre 3 Car"/>
    <w:basedOn w:val="Policepardfaut"/>
    <w:link w:val="Titre3"/>
    <w:uiPriority w:val="9"/>
    <w:rsid w:val="00F25D8E"/>
    <w:rPr>
      <w:rFonts w:ascii="Arial" w:eastAsiaTheme="majorEastAsia" w:hAnsi="Arial" w:cstheme="majorBidi"/>
      <w:caps/>
      <w:color w:val="1F4D78" w:themeColor="accent1" w:themeShade="7F"/>
      <w:szCs w:val="24"/>
      <w:shd w:val="clear" w:color="auto" w:fill="DEEAF6" w:themeFill="accent1" w:themeFillTint="33"/>
    </w:rPr>
  </w:style>
  <w:style w:type="paragraph" w:styleId="TM2">
    <w:name w:val="toc 2"/>
    <w:basedOn w:val="Normal"/>
    <w:next w:val="Normal"/>
    <w:autoRedefine/>
    <w:uiPriority w:val="39"/>
    <w:unhideWhenUsed/>
    <w:rsid w:val="00B6164B"/>
    <w:pPr>
      <w:spacing w:after="100"/>
      <w:ind w:left="220"/>
    </w:pPr>
  </w:style>
  <w:style w:type="paragraph" w:styleId="TM3">
    <w:name w:val="toc 3"/>
    <w:basedOn w:val="Normal"/>
    <w:next w:val="Normal"/>
    <w:autoRedefine/>
    <w:uiPriority w:val="39"/>
    <w:unhideWhenUsed/>
    <w:rsid w:val="00B6164B"/>
    <w:pPr>
      <w:spacing w:after="100"/>
      <w:ind w:left="440"/>
    </w:pPr>
  </w:style>
  <w:style w:type="character" w:customStyle="1" w:styleId="Titre4Car">
    <w:name w:val="Titre 4 Car"/>
    <w:basedOn w:val="Policepardfaut"/>
    <w:link w:val="Titre4"/>
    <w:uiPriority w:val="9"/>
    <w:rsid w:val="003D60FD"/>
    <w:rPr>
      <w:rFonts w:ascii="Arial" w:eastAsiaTheme="majorEastAsia" w:hAnsi="Arial" w:cstheme="majorBidi"/>
      <w:iCs/>
      <w:color w:val="1F4E79" w:themeColor="accent1" w:themeShade="80"/>
      <w:sz w:val="28"/>
      <w:shd w:val="clear" w:color="auto" w:fill="DEEAF6" w:themeFill="accent1" w:themeFillTint="33"/>
    </w:rPr>
  </w:style>
  <w:style w:type="paragraph" w:styleId="Paragraphedeliste">
    <w:name w:val="List Paragraph"/>
    <w:basedOn w:val="Normal"/>
    <w:uiPriority w:val="34"/>
    <w:qFormat/>
    <w:rsid w:val="00F45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40AB-C8BC-451A-8FE5-815E626B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11</Pages>
  <Words>3648</Words>
  <Characters>20065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Annexe 1 au CDC DGAL 2008 16</vt:lpstr>
    </vt:vector>
  </TitlesOfParts>
  <Company>Ministère de l'Agriculture et de l'Alimentation</Company>
  <LinksUpToDate>false</LinksUpToDate>
  <CharactersWithSpaces>23666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au CDC DGAL 2008 16</dc:title>
  <dc:subject/>
  <dc:creator>edevin</dc:creator>
  <cp:keywords/>
  <cp:lastModifiedBy>Victorien CHANTELOUP</cp:lastModifiedBy>
  <cp:revision>34</cp:revision>
  <cp:lastPrinted>2025-05-30T15:07:00Z</cp:lastPrinted>
  <dcterms:created xsi:type="dcterms:W3CDTF">2024-12-04T15:47:00Z</dcterms:created>
  <dcterms:modified xsi:type="dcterms:W3CDTF">2025-06-05T15:59:00Z</dcterms:modified>
</cp:coreProperties>
</file>