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9A8C3B" w14:textId="18B9776A" w:rsidR="00843C31" w:rsidRPr="00F821F0" w:rsidRDefault="00F821F0" w:rsidP="005F3BCC">
      <w:pPr>
        <w:pStyle w:val="RdaliaTitredossier"/>
        <w:widowControl w:val="0"/>
        <w:jc w:val="both"/>
        <w:rPr>
          <w:b/>
        </w:rPr>
      </w:pPr>
      <w:r w:rsidRPr="00F821F0">
        <w:rPr>
          <w:b/>
          <w:sz w:val="24"/>
          <w:szCs w:val="24"/>
        </w:rPr>
        <w:t xml:space="preserve">24290 - Fourniture d'un « Data Link Processor » de la liaison de données tactiques L22 pour aéronefs étatiques et MCO associé </w:t>
      </w: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proofErr w:type="spellStart"/>
      <w:r w:rsidR="004C5F74" w:rsidRPr="002625B4">
        <w:rPr>
          <w:b/>
          <w:sz w:val="28"/>
          <w:szCs w:val="28"/>
        </w:rPr>
        <w:t>emise</w:t>
      </w:r>
      <w:proofErr w:type="spellEnd"/>
      <w:r w:rsidR="004C5F74" w:rsidRPr="002625B4">
        <w:rPr>
          <w:b/>
          <w:sz w:val="28"/>
          <w:szCs w:val="28"/>
        </w:rPr>
        <w:t xml:space="preserv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 xml:space="preserve">L’opérateur économique doit déposer son pli via l’outil prévu à cet effet : le service de dépôt des plis PLACE accessible via l’onglet « dépôt » sur la plateforme PLACE. </w:t>
      </w:r>
      <w:proofErr w:type="gramStart"/>
      <w:r>
        <w:rPr>
          <w:b/>
        </w:rPr>
        <w:t>Il  est</w:t>
      </w:r>
      <w:proofErr w:type="gramEnd"/>
      <w:r>
        <w:rPr>
          <w:b/>
        </w:rPr>
        <w:t xml:space="preserve">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Les formats utilisés pour la transmission électronique (ou l’envoi sur support physique électronique) des candidatures doivent être choisis dans un format largement disponible : Word 2003, Excel 2003, PowerPoint 2003, PDF, JPG, ZIP (</w:t>
      </w:r>
      <w:proofErr w:type="spellStart"/>
      <w:r w:rsidRPr="002C5CCA">
        <w:rPr>
          <w:b w:val="0"/>
          <w:sz w:val="22"/>
          <w:szCs w:val="22"/>
        </w:rPr>
        <w:t>winzip</w:t>
      </w:r>
      <w:proofErr w:type="spellEnd"/>
      <w:r w:rsidRPr="002C5CCA">
        <w:rPr>
          <w:b w:val="0"/>
          <w:sz w:val="22"/>
          <w:szCs w:val="22"/>
        </w:rPr>
        <w:t xml:space="preserve">, </w:t>
      </w:r>
      <w:proofErr w:type="spellStart"/>
      <w:r w:rsidRPr="002C5CCA">
        <w:rPr>
          <w:b w:val="0"/>
          <w:sz w:val="22"/>
          <w:szCs w:val="22"/>
        </w:rPr>
        <w:t>filzip</w:t>
      </w:r>
      <w:proofErr w:type="spellEnd"/>
      <w:r w:rsidRPr="002C5CCA">
        <w:rPr>
          <w:b w:val="0"/>
          <w:sz w:val="22"/>
          <w:szCs w:val="22"/>
        </w:rPr>
        <w:t xml:space="preserve">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51154C2E" w14:textId="7A84AA0C" w:rsidR="00D624AA" w:rsidRPr="00F821F0" w:rsidRDefault="00F821F0" w:rsidP="00843C31">
            <w:pPr>
              <w:pStyle w:val="RedaliaNormal"/>
              <w:rPr>
                <w:szCs w:val="22"/>
              </w:rPr>
            </w:pPr>
            <w:r w:rsidRPr="00F821F0">
              <w:rPr>
                <w:b/>
                <w:szCs w:val="22"/>
              </w:rPr>
              <w:t>24290 - Fourniture d'un « Data Link Processor » de la liaison de données tactiques L22 pour aéronefs étatiques et MCO associé</w:t>
            </w:r>
            <w:bookmarkStart w:id="1" w:name="_GoBack"/>
            <w:bookmarkEnd w:id="1"/>
          </w:p>
          <w:p w14:paraId="56574488" w14:textId="77777777" w:rsidR="00FC18F0" w:rsidRPr="005F3BCC"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23D6076F" w:rsidR="00FC18F0" w:rsidRPr="00F821F0" w:rsidRDefault="00F821F0" w:rsidP="00843C31">
            <w:pPr>
              <w:pStyle w:val="RedaliaNormal"/>
              <w:rPr>
                <w:b/>
              </w:rPr>
            </w:pPr>
            <w:r w:rsidRPr="00F821F0">
              <w:rPr>
                <w:b/>
              </w:rPr>
              <w:t>24290IB00P00</w:t>
            </w:r>
          </w:p>
          <w:p w14:paraId="5657448C" w14:textId="77777777" w:rsidR="00541B56" w:rsidRPr="005F3BCC"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lastRenderedPageBreak/>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MINDEF/AIR/SIAé</w:t>
            </w:r>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 xml:space="preserve">161, avenue du </w:t>
            </w:r>
            <w:proofErr w:type="spellStart"/>
            <w:r w:rsidRPr="00472A69">
              <w:t>Brézet</w:t>
            </w:r>
            <w:proofErr w:type="spellEnd"/>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1735C1A0" w14:textId="4E7C880B" w:rsidR="00843C31" w:rsidRPr="00F821F0" w:rsidRDefault="00F821F0" w:rsidP="00843C31">
            <w:pPr>
              <w:pStyle w:val="RedaliaNormal"/>
              <w:rPr>
                <w:szCs w:val="22"/>
                <w:highlight w:val="yellow"/>
              </w:rPr>
            </w:pPr>
            <w:r w:rsidRPr="00F821F0">
              <w:rPr>
                <w:b/>
                <w:szCs w:val="22"/>
              </w:rPr>
              <w:t xml:space="preserve">24290 - Fourniture d'un « Data Link Processor » de la liaison de données tactiques L22 pour aéronefs étatiques et MCO associé </w:t>
            </w:r>
          </w:p>
          <w:p w14:paraId="62929AF1" w14:textId="76A0F075" w:rsidR="005F3BCC" w:rsidRPr="003F273E" w:rsidRDefault="00843C31" w:rsidP="00843C31">
            <w:pPr>
              <w:pStyle w:val="RedaliaNormal"/>
              <w:rPr>
                <w:highlight w:val="yellow"/>
              </w:rPr>
            </w:pPr>
            <w:r w:rsidRPr="003F273E">
              <w:rPr>
                <w:highlight w:val="yellow"/>
              </w:rPr>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65268382" w:rsidR="005F3BCC" w:rsidRPr="00F821F0" w:rsidRDefault="00F821F0" w:rsidP="00843C31">
            <w:pPr>
              <w:pStyle w:val="RedaliaNormal"/>
              <w:rPr>
                <w:b/>
                <w:highlight w:val="yellow"/>
              </w:rPr>
            </w:pPr>
            <w:r w:rsidRPr="00F821F0">
              <w:rPr>
                <w:b/>
              </w:rPr>
              <w:t>24290IB00P00</w:t>
            </w:r>
          </w:p>
          <w:p w14:paraId="116194B2" w14:textId="77777777" w:rsidR="005F3BCC" w:rsidRPr="003F273E" w:rsidRDefault="005F3BCC" w:rsidP="00843C31">
            <w:pPr>
              <w:pStyle w:val="RedaliaNormal"/>
              <w:rPr>
                <w:highlight w:val="yellow"/>
              </w:rPr>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Elle contiendra les documents relatifs à la candidature (pièces administratives DC1, DC2, preuves de capacité…) et les documents relatifs à la protection du secret (</w:t>
      </w:r>
      <w:proofErr w:type="spellStart"/>
      <w:r>
        <w:rPr>
          <w:color w:val="000000"/>
        </w:rPr>
        <w:t>Kbis</w:t>
      </w:r>
      <w:proofErr w:type="spellEnd"/>
      <w:r>
        <w:rPr>
          <w:color w:val="000000"/>
        </w:rPr>
        <w:t xml:space="preserve">,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6F687AFA" w14:textId="702B349F" w:rsidR="008B29AA" w:rsidRDefault="00A64B66" w:rsidP="00F821F0">
      <w:pPr>
        <w:pStyle w:val="RedaliaNormal"/>
        <w:rPr>
          <w:color w:val="000000" w:themeColor="text1"/>
          <w:sz w:val="24"/>
          <w:szCs w:val="24"/>
        </w:rPr>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r w:rsidR="008B29AA">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7058317"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FE5B93">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0ECB55E6"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FE5B93">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21F0"/>
    <w:rsid w:val="00F83422"/>
    <w:rsid w:val="00FA20E5"/>
    <w:rsid w:val="00FA4CD6"/>
    <w:rsid w:val="00FC18F0"/>
    <w:rsid w:val="00FD4217"/>
    <w:rsid w:val="00FE5B93"/>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1739</Words>
  <Characters>9984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CHASSON Emilien</cp:lastModifiedBy>
  <cp:revision>5</cp:revision>
  <cp:lastPrinted>2013-05-28T08:47:00Z</cp:lastPrinted>
  <dcterms:created xsi:type="dcterms:W3CDTF">2023-12-19T12:22:00Z</dcterms:created>
  <dcterms:modified xsi:type="dcterms:W3CDTF">2025-04-15T16:33:00Z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