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98B020" w14:textId="77777777" w:rsidR="00B20BB6" w:rsidRDefault="00B20BB6">
      <w:pPr>
        <w:pBdr>
          <w:top w:val="nil"/>
          <w:left w:val="nil"/>
          <w:bottom w:val="nil"/>
          <w:right w:val="nil"/>
          <w:between w:val="nil"/>
        </w:pBdr>
        <w:rPr>
          <w:rFonts w:ascii="Times New Roman" w:eastAsia="Times New Roman" w:hAnsi="Times New Roman" w:cs="Times New Roman"/>
          <w:color w:val="000000"/>
        </w:rPr>
      </w:pPr>
    </w:p>
    <w:p w14:paraId="44A9B84E" w14:textId="77777777" w:rsidR="00B20BB6" w:rsidRDefault="005D2BFB">
      <w:pPr>
        <w:pBdr>
          <w:top w:val="nil"/>
          <w:left w:val="nil"/>
          <w:bottom w:val="nil"/>
          <w:right w:val="nil"/>
          <w:between w:val="nil"/>
        </w:pBdr>
        <w:jc w:val="center"/>
        <w:rPr>
          <w:rFonts w:ascii="Times New Roman" w:eastAsia="Times New Roman" w:hAnsi="Times New Roman" w:cs="Times New Roman"/>
          <w:color w:val="000000"/>
        </w:rPr>
      </w:pPr>
      <w:r>
        <w:rPr>
          <w:rFonts w:ascii="Times New Roman" w:eastAsia="Times New Roman" w:hAnsi="Times New Roman" w:cs="Times New Roman"/>
          <w:noProof/>
          <w:color w:val="000000"/>
        </w:rPr>
        <w:drawing>
          <wp:inline distT="0" distB="0" distL="0" distR="0" wp14:anchorId="394E2795" wp14:editId="06514BA2">
            <wp:extent cx="2192867" cy="614327"/>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58048" cy="632587"/>
                    </a:xfrm>
                    <a:prstGeom prst="rect">
                      <a:avLst/>
                    </a:prstGeom>
                    <a:noFill/>
                  </pic:spPr>
                </pic:pic>
              </a:graphicData>
            </a:graphic>
          </wp:inline>
        </w:drawing>
      </w:r>
    </w:p>
    <w:p w14:paraId="3E106BC4" w14:textId="77777777" w:rsidR="00B20BB6" w:rsidRDefault="00B20BB6">
      <w:pPr>
        <w:widowControl/>
        <w:ind w:right="284"/>
        <w:jc w:val="center"/>
      </w:pPr>
    </w:p>
    <w:p w14:paraId="17031978" w14:textId="77777777" w:rsidR="00B20BB6" w:rsidRDefault="00B20BB6">
      <w:pPr>
        <w:widowControl/>
        <w:spacing w:before="120" w:after="120"/>
        <w:jc w:val="center"/>
        <w:rPr>
          <w:b/>
          <w:smallCaps/>
          <w:color w:val="000080"/>
          <w:sz w:val="28"/>
          <w:szCs w:val="28"/>
          <w:u w:val="single"/>
        </w:rPr>
      </w:pPr>
    </w:p>
    <w:p w14:paraId="6CF4CD35" w14:textId="77777777" w:rsidR="002468C0" w:rsidRDefault="002468C0">
      <w:pPr>
        <w:widowControl/>
        <w:spacing w:before="120" w:after="120"/>
        <w:jc w:val="center"/>
        <w:rPr>
          <w:b/>
          <w:smallCaps/>
          <w:color w:val="000080"/>
          <w:sz w:val="28"/>
          <w:szCs w:val="28"/>
          <w:u w:val="single"/>
        </w:rPr>
      </w:pPr>
    </w:p>
    <w:p w14:paraId="06716870" w14:textId="77777777" w:rsidR="00B20BB6" w:rsidRDefault="00535199">
      <w:pPr>
        <w:widowControl/>
        <w:spacing w:before="120" w:after="120"/>
        <w:jc w:val="center"/>
        <w:rPr>
          <w:b/>
          <w:smallCaps/>
          <w:color w:val="000080"/>
          <w:sz w:val="28"/>
          <w:szCs w:val="28"/>
          <w:u w:val="single"/>
        </w:rPr>
      </w:pPr>
      <w:r>
        <w:rPr>
          <w:b/>
          <w:smallCaps/>
          <w:color w:val="000080"/>
          <w:sz w:val="28"/>
          <w:szCs w:val="28"/>
          <w:u w:val="single"/>
        </w:rPr>
        <w:t>CONCESSION DE SERVICE PUBLIC</w:t>
      </w:r>
    </w:p>
    <w:p w14:paraId="47C03FAB" w14:textId="77777777" w:rsidR="00B20BB6" w:rsidRDefault="00B20BB6">
      <w:pPr>
        <w:widowControl/>
        <w:spacing w:before="120" w:after="120"/>
        <w:jc w:val="center"/>
        <w:rPr>
          <w:b/>
          <w:smallCaps/>
          <w:color w:val="000080"/>
          <w:sz w:val="28"/>
          <w:szCs w:val="28"/>
          <w:u w:val="single"/>
        </w:rPr>
      </w:pPr>
    </w:p>
    <w:p w14:paraId="355758B1" w14:textId="77777777" w:rsidR="002468C0" w:rsidRDefault="002468C0">
      <w:pPr>
        <w:widowControl/>
        <w:spacing w:before="120" w:after="120"/>
        <w:jc w:val="center"/>
        <w:rPr>
          <w:b/>
          <w:smallCaps/>
          <w:color w:val="000080"/>
          <w:sz w:val="28"/>
          <w:szCs w:val="28"/>
          <w:u w:val="single"/>
        </w:rPr>
      </w:pPr>
    </w:p>
    <w:p w14:paraId="72F24268" w14:textId="77777777" w:rsidR="00B20BB6" w:rsidRDefault="00535199">
      <w:pPr>
        <w:widowControl/>
        <w:spacing w:before="120" w:after="120"/>
        <w:jc w:val="center"/>
        <w:rPr>
          <w:b/>
          <w:color w:val="000080"/>
        </w:rPr>
      </w:pPr>
      <w:r>
        <w:rPr>
          <w:b/>
          <w:color w:val="000080"/>
        </w:rPr>
        <w:t>Procédure simplifiée</w:t>
      </w:r>
    </w:p>
    <w:p w14:paraId="52EA9441" w14:textId="77777777" w:rsidR="00B20BB6" w:rsidRDefault="00B20BB6">
      <w:pPr>
        <w:widowControl/>
        <w:ind w:right="284"/>
      </w:pPr>
    </w:p>
    <w:p w14:paraId="0C4660DA" w14:textId="77777777" w:rsidR="00B20BB6" w:rsidRDefault="00B20BB6">
      <w:pPr>
        <w:widowControl/>
        <w:spacing w:before="120" w:after="120"/>
      </w:pPr>
    </w:p>
    <w:p w14:paraId="02FE3981" w14:textId="77777777" w:rsidR="00B20BB6" w:rsidRDefault="00B20BB6">
      <w:pPr>
        <w:widowControl/>
        <w:pBdr>
          <w:top w:val="single" w:sz="4" w:space="1" w:color="000000"/>
          <w:left w:val="single" w:sz="4" w:space="4" w:color="000000"/>
          <w:bottom w:val="single" w:sz="4" w:space="1" w:color="000000"/>
          <w:right w:val="single" w:sz="4" w:space="0" w:color="000000"/>
        </w:pBdr>
        <w:jc w:val="center"/>
        <w:rPr>
          <w:b/>
          <w:smallCaps/>
          <w:color w:val="000080"/>
          <w:sz w:val="28"/>
          <w:szCs w:val="28"/>
        </w:rPr>
      </w:pPr>
    </w:p>
    <w:p w14:paraId="6DF0C714" w14:textId="77777777" w:rsidR="00B20BB6" w:rsidRPr="00872673" w:rsidRDefault="00535199">
      <w:pPr>
        <w:widowControl/>
        <w:pBdr>
          <w:top w:val="single" w:sz="4" w:space="1" w:color="000000"/>
          <w:left w:val="single" w:sz="4" w:space="4" w:color="000000"/>
          <w:bottom w:val="single" w:sz="4" w:space="1" w:color="000000"/>
          <w:right w:val="single" w:sz="4" w:space="0" w:color="000000"/>
        </w:pBdr>
        <w:spacing w:before="120" w:after="120"/>
        <w:jc w:val="center"/>
        <w:rPr>
          <w:b/>
          <w:smallCaps/>
          <w:color w:val="000080"/>
          <w:sz w:val="28"/>
          <w:szCs w:val="28"/>
          <w:u w:val="single"/>
        </w:rPr>
      </w:pPr>
      <w:r w:rsidRPr="00872673">
        <w:rPr>
          <w:b/>
          <w:smallCaps/>
          <w:color w:val="000080"/>
          <w:sz w:val="28"/>
          <w:szCs w:val="28"/>
          <w:u w:val="single"/>
        </w:rPr>
        <w:t>Règlement de Consultation</w:t>
      </w:r>
    </w:p>
    <w:p w14:paraId="49123378" w14:textId="77777777" w:rsidR="00B20BB6" w:rsidRDefault="00B20BB6">
      <w:pPr>
        <w:widowControl/>
        <w:pBdr>
          <w:top w:val="single" w:sz="4" w:space="1" w:color="000000"/>
          <w:left w:val="single" w:sz="4" w:space="4" w:color="000000"/>
          <w:bottom w:val="single" w:sz="4" w:space="1" w:color="000000"/>
          <w:right w:val="single" w:sz="4" w:space="0" w:color="000000"/>
        </w:pBdr>
        <w:spacing w:before="120" w:after="120"/>
        <w:jc w:val="center"/>
        <w:rPr>
          <w:b/>
          <w:smallCaps/>
          <w:color w:val="000080"/>
          <w:sz w:val="28"/>
          <w:szCs w:val="28"/>
        </w:rPr>
      </w:pPr>
    </w:p>
    <w:p w14:paraId="3EC949A3" w14:textId="1A585144" w:rsidR="00AD3E58" w:rsidRDefault="00535199" w:rsidP="00AD3E58">
      <w:pPr>
        <w:widowControl/>
        <w:pBdr>
          <w:top w:val="single" w:sz="4" w:space="1" w:color="000000"/>
          <w:left w:val="single" w:sz="4" w:space="4" w:color="000000"/>
          <w:bottom w:val="single" w:sz="4" w:space="1" w:color="000000"/>
          <w:right w:val="single" w:sz="4" w:space="0" w:color="000000"/>
        </w:pBdr>
        <w:jc w:val="center"/>
        <w:rPr>
          <w:b/>
          <w:smallCaps/>
          <w:color w:val="000080"/>
          <w:sz w:val="28"/>
          <w:szCs w:val="28"/>
        </w:rPr>
      </w:pPr>
      <w:bookmarkStart w:id="0" w:name="_Hlk132817157"/>
      <w:r>
        <w:rPr>
          <w:b/>
          <w:smallCaps/>
          <w:color w:val="000080"/>
          <w:sz w:val="28"/>
          <w:szCs w:val="28"/>
        </w:rPr>
        <w:t>« </w:t>
      </w:r>
      <w:bookmarkStart w:id="1" w:name="_Hlk132816728"/>
      <w:r w:rsidR="00D138A9">
        <w:rPr>
          <w:b/>
          <w:smallCaps/>
          <w:color w:val="000080"/>
          <w:sz w:val="28"/>
          <w:szCs w:val="28"/>
        </w:rPr>
        <w:t xml:space="preserve">Commercialisation, </w:t>
      </w:r>
      <w:r w:rsidR="00AD3E58">
        <w:rPr>
          <w:b/>
          <w:smallCaps/>
          <w:color w:val="000080"/>
          <w:sz w:val="28"/>
          <w:szCs w:val="28"/>
        </w:rPr>
        <w:t>a</w:t>
      </w:r>
      <w:r w:rsidR="00D138A9">
        <w:rPr>
          <w:b/>
          <w:smallCaps/>
          <w:color w:val="000080"/>
          <w:sz w:val="28"/>
          <w:szCs w:val="28"/>
        </w:rPr>
        <w:t xml:space="preserve">ménagement et </w:t>
      </w:r>
      <w:r w:rsidR="00D138A9" w:rsidRPr="00412CF9">
        <w:rPr>
          <w:b/>
          <w:smallCaps/>
          <w:color w:val="000080"/>
          <w:sz w:val="28"/>
          <w:szCs w:val="28"/>
        </w:rPr>
        <w:t xml:space="preserve">gestion </w:t>
      </w:r>
    </w:p>
    <w:p w14:paraId="5F97154C" w14:textId="77777777" w:rsidR="00AD3E58" w:rsidRDefault="00D138A9" w:rsidP="00AD3E58">
      <w:pPr>
        <w:widowControl/>
        <w:pBdr>
          <w:top w:val="single" w:sz="4" w:space="1" w:color="000000"/>
          <w:left w:val="single" w:sz="4" w:space="4" w:color="000000"/>
          <w:bottom w:val="single" w:sz="4" w:space="1" w:color="000000"/>
          <w:right w:val="single" w:sz="4" w:space="0" w:color="000000"/>
        </w:pBdr>
        <w:jc w:val="center"/>
        <w:rPr>
          <w:b/>
          <w:smallCaps/>
          <w:color w:val="000080"/>
          <w:sz w:val="28"/>
          <w:szCs w:val="28"/>
        </w:rPr>
      </w:pPr>
      <w:r>
        <w:rPr>
          <w:b/>
          <w:smallCaps/>
          <w:color w:val="000080"/>
          <w:sz w:val="28"/>
          <w:szCs w:val="28"/>
        </w:rPr>
        <w:t>des</w:t>
      </w:r>
      <w:r w:rsidRPr="00412CF9">
        <w:rPr>
          <w:b/>
          <w:smallCaps/>
          <w:color w:val="000080"/>
          <w:sz w:val="28"/>
          <w:szCs w:val="28"/>
        </w:rPr>
        <w:t xml:space="preserve"> inscription</w:t>
      </w:r>
      <w:r>
        <w:rPr>
          <w:b/>
          <w:smallCaps/>
          <w:color w:val="000080"/>
          <w:sz w:val="28"/>
          <w:szCs w:val="28"/>
        </w:rPr>
        <w:t>s</w:t>
      </w:r>
      <w:r w:rsidRPr="00412CF9">
        <w:rPr>
          <w:b/>
          <w:smallCaps/>
          <w:color w:val="000080"/>
          <w:sz w:val="28"/>
          <w:szCs w:val="28"/>
        </w:rPr>
        <w:t xml:space="preserve"> et des rendez-vous </w:t>
      </w:r>
      <w:r>
        <w:rPr>
          <w:b/>
          <w:smallCaps/>
          <w:color w:val="000080"/>
          <w:sz w:val="28"/>
          <w:szCs w:val="28"/>
        </w:rPr>
        <w:t xml:space="preserve">de la convention </w:t>
      </w:r>
    </w:p>
    <w:p w14:paraId="5A4D4E0C" w14:textId="34D7B88C" w:rsidR="00B20BB6" w:rsidRDefault="00D138A9" w:rsidP="00AD3E58">
      <w:pPr>
        <w:widowControl/>
        <w:pBdr>
          <w:top w:val="single" w:sz="4" w:space="1" w:color="000000"/>
          <w:left w:val="single" w:sz="4" w:space="4" w:color="000000"/>
          <w:bottom w:val="single" w:sz="4" w:space="1" w:color="000000"/>
          <w:right w:val="single" w:sz="4" w:space="0" w:color="000000"/>
        </w:pBdr>
        <w:jc w:val="center"/>
        <w:rPr>
          <w:b/>
          <w:smallCaps/>
          <w:color w:val="000080"/>
          <w:sz w:val="28"/>
          <w:szCs w:val="28"/>
        </w:rPr>
      </w:pPr>
      <w:r>
        <w:rPr>
          <w:b/>
          <w:smallCaps/>
          <w:color w:val="000080"/>
          <w:sz w:val="28"/>
          <w:szCs w:val="28"/>
        </w:rPr>
        <w:t xml:space="preserve">d’affaires </w:t>
      </w:r>
      <w:r w:rsidRPr="00412CF9">
        <w:rPr>
          <w:b/>
          <w:smallCaps/>
          <w:color w:val="000080"/>
          <w:sz w:val="28"/>
          <w:szCs w:val="28"/>
        </w:rPr>
        <w:t>TECHINNOV 202</w:t>
      </w:r>
      <w:bookmarkEnd w:id="1"/>
      <w:r w:rsidR="00F2516B">
        <w:rPr>
          <w:b/>
          <w:smallCaps/>
          <w:color w:val="000080"/>
          <w:sz w:val="28"/>
          <w:szCs w:val="28"/>
        </w:rPr>
        <w:t>6</w:t>
      </w:r>
      <w:r w:rsidRPr="00412CF9">
        <w:rPr>
          <w:b/>
          <w:smallCaps/>
          <w:color w:val="000080"/>
          <w:sz w:val="28"/>
          <w:szCs w:val="28"/>
        </w:rPr>
        <w:t xml:space="preserve"> </w:t>
      </w:r>
      <w:r w:rsidR="00535199">
        <w:rPr>
          <w:b/>
          <w:smallCaps/>
          <w:color w:val="000080"/>
          <w:sz w:val="28"/>
          <w:szCs w:val="28"/>
        </w:rPr>
        <w:t>»</w:t>
      </w:r>
      <w:bookmarkEnd w:id="0"/>
    </w:p>
    <w:p w14:paraId="62B7F8D3" w14:textId="77777777" w:rsidR="00B20BB6" w:rsidRDefault="00B20BB6">
      <w:pPr>
        <w:widowControl/>
        <w:pBdr>
          <w:top w:val="single" w:sz="4" w:space="1" w:color="000000"/>
          <w:left w:val="single" w:sz="4" w:space="4" w:color="000000"/>
          <w:bottom w:val="single" w:sz="4" w:space="1" w:color="000000"/>
          <w:right w:val="single" w:sz="4" w:space="0" w:color="000000"/>
        </w:pBdr>
        <w:spacing w:before="120" w:after="120"/>
        <w:jc w:val="center"/>
        <w:rPr>
          <w:b/>
          <w:smallCaps/>
          <w:color w:val="000080"/>
          <w:sz w:val="28"/>
          <w:szCs w:val="28"/>
        </w:rPr>
      </w:pPr>
    </w:p>
    <w:p w14:paraId="46D1A805" w14:textId="7F847595" w:rsidR="00B20BB6" w:rsidRPr="002E4DE6" w:rsidRDefault="00535199" w:rsidP="5504E08E">
      <w:pPr>
        <w:widowControl/>
        <w:pBdr>
          <w:top w:val="single" w:sz="4" w:space="1" w:color="000000"/>
          <w:left w:val="single" w:sz="4" w:space="4" w:color="000000"/>
          <w:bottom w:val="single" w:sz="4" w:space="1" w:color="000000"/>
          <w:right w:val="single" w:sz="4" w:space="0" w:color="000000"/>
        </w:pBdr>
        <w:spacing w:before="120" w:after="120"/>
        <w:jc w:val="center"/>
        <w:rPr>
          <w:b/>
          <w:bCs/>
          <w:smallCaps/>
          <w:color w:val="000080"/>
          <w:sz w:val="28"/>
          <w:szCs w:val="28"/>
        </w:rPr>
      </w:pPr>
      <w:r w:rsidRPr="002E4DE6">
        <w:rPr>
          <w:b/>
          <w:bCs/>
          <w:smallCaps/>
          <w:color w:val="000080"/>
          <w:sz w:val="28"/>
          <w:szCs w:val="28"/>
        </w:rPr>
        <w:t>CCIE-2</w:t>
      </w:r>
      <w:r w:rsidR="00F2516B" w:rsidRPr="002E4DE6">
        <w:rPr>
          <w:b/>
          <w:bCs/>
          <w:smallCaps/>
          <w:color w:val="000080"/>
          <w:sz w:val="28"/>
          <w:szCs w:val="28"/>
        </w:rPr>
        <w:t>5</w:t>
      </w:r>
      <w:r w:rsidR="0079124A" w:rsidRPr="002E4DE6">
        <w:rPr>
          <w:b/>
          <w:bCs/>
          <w:smallCaps/>
          <w:color w:val="000080"/>
          <w:sz w:val="28"/>
          <w:szCs w:val="28"/>
        </w:rPr>
        <w:t>-00</w:t>
      </w:r>
      <w:r w:rsidR="00F2516B" w:rsidRPr="002E4DE6">
        <w:rPr>
          <w:b/>
          <w:bCs/>
          <w:smallCaps/>
          <w:color w:val="000080"/>
          <w:sz w:val="28"/>
          <w:szCs w:val="28"/>
        </w:rPr>
        <w:t>8</w:t>
      </w:r>
    </w:p>
    <w:p w14:paraId="74279AD6" w14:textId="77777777" w:rsidR="00B20BB6" w:rsidRDefault="00B20BB6">
      <w:pPr>
        <w:widowControl/>
        <w:pBdr>
          <w:top w:val="single" w:sz="4" w:space="1" w:color="000000"/>
          <w:left w:val="single" w:sz="4" w:space="4" w:color="000000"/>
          <w:bottom w:val="single" w:sz="4" w:space="1" w:color="000000"/>
          <w:right w:val="single" w:sz="4" w:space="0" w:color="000000"/>
        </w:pBdr>
        <w:spacing w:before="120" w:after="120"/>
        <w:jc w:val="center"/>
        <w:rPr>
          <w:b/>
          <w:smallCaps/>
          <w:color w:val="000080"/>
          <w:sz w:val="28"/>
          <w:szCs w:val="28"/>
        </w:rPr>
      </w:pPr>
    </w:p>
    <w:p w14:paraId="2E6BE779" w14:textId="77777777" w:rsidR="00B20BB6" w:rsidRDefault="00B20BB6">
      <w:pPr>
        <w:widowControl/>
        <w:spacing w:before="120" w:after="120"/>
      </w:pPr>
    </w:p>
    <w:p w14:paraId="7C9BDDCD" w14:textId="77777777" w:rsidR="00B20BB6" w:rsidRDefault="00B20BB6">
      <w:pPr>
        <w:widowControl/>
        <w:spacing w:before="120" w:after="120"/>
        <w:ind w:right="282"/>
        <w:jc w:val="center"/>
      </w:pPr>
    </w:p>
    <w:p w14:paraId="0299014E" w14:textId="77777777" w:rsidR="00B20BB6" w:rsidRDefault="00B20BB6">
      <w:pPr>
        <w:pBdr>
          <w:top w:val="nil"/>
          <w:left w:val="nil"/>
          <w:bottom w:val="nil"/>
          <w:right w:val="nil"/>
          <w:between w:val="nil"/>
        </w:pBdr>
        <w:rPr>
          <w:color w:val="000000"/>
        </w:rPr>
      </w:pPr>
    </w:p>
    <w:p w14:paraId="42D3BC51" w14:textId="77777777" w:rsidR="00B20BB6" w:rsidRDefault="00B20BB6">
      <w:pPr>
        <w:pBdr>
          <w:top w:val="nil"/>
          <w:left w:val="nil"/>
          <w:bottom w:val="nil"/>
          <w:right w:val="nil"/>
          <w:between w:val="nil"/>
        </w:pBdr>
        <w:rPr>
          <w:color w:val="000000"/>
        </w:rPr>
      </w:pPr>
    </w:p>
    <w:p w14:paraId="4FEC44FF" w14:textId="77777777" w:rsidR="00B20BB6" w:rsidRDefault="00B20BB6">
      <w:pPr>
        <w:pBdr>
          <w:top w:val="nil"/>
          <w:left w:val="nil"/>
          <w:bottom w:val="nil"/>
          <w:right w:val="nil"/>
          <w:between w:val="nil"/>
        </w:pBdr>
        <w:rPr>
          <w:color w:val="000000"/>
        </w:rPr>
      </w:pPr>
    </w:p>
    <w:p w14:paraId="361FC5C0" w14:textId="77777777" w:rsidR="00B20BB6" w:rsidRDefault="00B20BB6">
      <w:pPr>
        <w:pBdr>
          <w:top w:val="nil"/>
          <w:left w:val="nil"/>
          <w:bottom w:val="nil"/>
          <w:right w:val="nil"/>
          <w:between w:val="nil"/>
        </w:pBdr>
        <w:rPr>
          <w:color w:val="000000"/>
        </w:rPr>
      </w:pPr>
    </w:p>
    <w:p w14:paraId="7BF22BCA" w14:textId="77777777" w:rsidR="00B20BB6" w:rsidRDefault="00B20BB6">
      <w:pPr>
        <w:pBdr>
          <w:top w:val="nil"/>
          <w:left w:val="nil"/>
          <w:bottom w:val="nil"/>
          <w:right w:val="nil"/>
          <w:between w:val="nil"/>
        </w:pBdr>
        <w:rPr>
          <w:color w:val="000000"/>
        </w:rPr>
      </w:pPr>
    </w:p>
    <w:p w14:paraId="1486EACF" w14:textId="77777777" w:rsidR="00B20BB6" w:rsidRDefault="00B20BB6">
      <w:pPr>
        <w:pBdr>
          <w:top w:val="nil"/>
          <w:left w:val="nil"/>
          <w:bottom w:val="nil"/>
          <w:right w:val="nil"/>
          <w:between w:val="nil"/>
        </w:pBdr>
        <w:rPr>
          <w:color w:val="000000"/>
        </w:rPr>
      </w:pPr>
    </w:p>
    <w:p w14:paraId="16EAB595" w14:textId="77777777" w:rsidR="00B20BB6" w:rsidRDefault="00535199">
      <w:pPr>
        <w:pBdr>
          <w:top w:val="nil"/>
          <w:left w:val="nil"/>
          <w:bottom w:val="nil"/>
          <w:right w:val="nil"/>
          <w:between w:val="nil"/>
        </w:pBdr>
        <w:tabs>
          <w:tab w:val="left" w:pos="7418"/>
        </w:tabs>
        <w:rPr>
          <w:color w:val="000000"/>
        </w:rPr>
      </w:pPr>
      <w:r>
        <w:rPr>
          <w:color w:val="000000"/>
        </w:rPr>
        <w:tab/>
      </w:r>
    </w:p>
    <w:p w14:paraId="4544D950" w14:textId="77777777" w:rsidR="00B20BB6" w:rsidRDefault="00B20BB6">
      <w:pPr>
        <w:pBdr>
          <w:top w:val="nil"/>
          <w:left w:val="nil"/>
          <w:bottom w:val="nil"/>
          <w:right w:val="nil"/>
          <w:between w:val="nil"/>
        </w:pBdr>
        <w:rPr>
          <w:color w:val="000000"/>
        </w:rPr>
      </w:pPr>
    </w:p>
    <w:p w14:paraId="7D51B723" w14:textId="77777777" w:rsidR="00B20BB6" w:rsidRDefault="00B20BB6">
      <w:pPr>
        <w:pBdr>
          <w:top w:val="nil"/>
          <w:left w:val="nil"/>
          <w:bottom w:val="nil"/>
          <w:right w:val="nil"/>
          <w:between w:val="nil"/>
        </w:pBdr>
        <w:rPr>
          <w:color w:val="000000"/>
        </w:rPr>
      </w:pPr>
    </w:p>
    <w:p w14:paraId="42EBBB31" w14:textId="77777777" w:rsidR="00B20BB6" w:rsidRDefault="00B20BB6">
      <w:pPr>
        <w:pBdr>
          <w:top w:val="nil"/>
          <w:left w:val="nil"/>
          <w:bottom w:val="nil"/>
          <w:right w:val="nil"/>
          <w:between w:val="nil"/>
        </w:pBdr>
        <w:rPr>
          <w:color w:val="000000"/>
        </w:rPr>
      </w:pPr>
    </w:p>
    <w:p w14:paraId="68791BD8" w14:textId="77777777" w:rsidR="00B20BB6" w:rsidRDefault="00B20BB6">
      <w:pPr>
        <w:pBdr>
          <w:top w:val="nil"/>
          <w:left w:val="nil"/>
          <w:bottom w:val="nil"/>
          <w:right w:val="nil"/>
          <w:between w:val="nil"/>
        </w:pBdr>
        <w:rPr>
          <w:color w:val="000000"/>
        </w:rPr>
      </w:pPr>
    </w:p>
    <w:p w14:paraId="092E0D88" w14:textId="77777777" w:rsidR="00B20BB6" w:rsidRDefault="00B20BB6">
      <w:pPr>
        <w:pBdr>
          <w:top w:val="nil"/>
          <w:left w:val="nil"/>
          <w:bottom w:val="nil"/>
          <w:right w:val="nil"/>
          <w:between w:val="nil"/>
        </w:pBdr>
        <w:rPr>
          <w:color w:val="000000"/>
        </w:rPr>
      </w:pPr>
    </w:p>
    <w:p w14:paraId="46C9C8A3" w14:textId="77777777" w:rsidR="0079124A" w:rsidRDefault="0079124A">
      <w:pPr>
        <w:pBdr>
          <w:top w:val="nil"/>
          <w:left w:val="nil"/>
          <w:bottom w:val="nil"/>
          <w:right w:val="nil"/>
          <w:between w:val="nil"/>
        </w:pBdr>
        <w:rPr>
          <w:color w:val="000000"/>
        </w:rPr>
      </w:pPr>
      <w:r>
        <w:rPr>
          <w:color w:val="000000"/>
        </w:rPr>
        <w:br w:type="page"/>
      </w:r>
    </w:p>
    <w:p w14:paraId="4622F1D3" w14:textId="77777777" w:rsidR="00B20BB6" w:rsidRDefault="00B20BB6">
      <w:pPr>
        <w:pBdr>
          <w:top w:val="nil"/>
          <w:left w:val="nil"/>
          <w:bottom w:val="nil"/>
          <w:right w:val="nil"/>
          <w:between w:val="nil"/>
        </w:pBdr>
        <w:rPr>
          <w:color w:val="000000"/>
        </w:rPr>
      </w:pPr>
    </w:p>
    <w:p w14:paraId="45A418F9" w14:textId="77777777" w:rsidR="00B20BB6" w:rsidRDefault="00535199">
      <w:pPr>
        <w:pBdr>
          <w:top w:val="single" w:sz="4" w:space="1" w:color="000000"/>
          <w:left w:val="single" w:sz="4" w:space="4" w:color="000000"/>
          <w:bottom w:val="single" w:sz="4" w:space="1" w:color="000000"/>
          <w:right w:val="single" w:sz="4" w:space="21" w:color="000000"/>
        </w:pBdr>
        <w:ind w:right="283"/>
        <w:jc w:val="center"/>
        <w:rPr>
          <w:rFonts w:ascii="Arial" w:eastAsia="Arial" w:hAnsi="Arial" w:cs="Arial"/>
          <w:color w:val="000080"/>
          <w:sz w:val="40"/>
          <w:szCs w:val="40"/>
        </w:rPr>
      </w:pPr>
      <w:r>
        <w:rPr>
          <w:rFonts w:ascii="Arial" w:eastAsia="Arial" w:hAnsi="Arial" w:cs="Arial"/>
          <w:color w:val="000080"/>
          <w:sz w:val="40"/>
          <w:szCs w:val="40"/>
        </w:rPr>
        <w:t>TABLE DES MATIERES</w:t>
      </w:r>
    </w:p>
    <w:p w14:paraId="435EE2D2" w14:textId="77777777" w:rsidR="00B20BB6" w:rsidRDefault="00B20BB6">
      <w:pPr>
        <w:pBdr>
          <w:top w:val="nil"/>
          <w:left w:val="nil"/>
          <w:bottom w:val="nil"/>
          <w:right w:val="nil"/>
          <w:between w:val="nil"/>
        </w:pBdr>
        <w:tabs>
          <w:tab w:val="right" w:pos="9500"/>
        </w:tabs>
        <w:spacing w:before="131"/>
        <w:jc w:val="center"/>
        <w:rPr>
          <w:rFonts w:ascii="Arial" w:eastAsia="Arial" w:hAnsi="Arial" w:cs="Arial"/>
          <w:b/>
          <w:i/>
          <w:smallCaps/>
          <w:color w:val="000000"/>
          <w:sz w:val="22"/>
          <w:szCs w:val="22"/>
        </w:rPr>
      </w:pPr>
    </w:p>
    <w:sdt>
      <w:sdtPr>
        <w:id w:val="528189248"/>
        <w:docPartObj>
          <w:docPartGallery w:val="Table of Contents"/>
          <w:docPartUnique/>
        </w:docPartObj>
      </w:sdtPr>
      <w:sdtEndPr/>
      <w:sdtContent>
        <w:p w14:paraId="2DD28844" w14:textId="4350121B" w:rsidR="00BF38CA" w:rsidRDefault="00D4148B">
          <w:pPr>
            <w:pStyle w:val="TM1"/>
            <w:tabs>
              <w:tab w:val="right" w:pos="9500"/>
            </w:tabs>
            <w:rPr>
              <w:rFonts w:asciiTheme="minorHAnsi" w:eastAsiaTheme="minorEastAsia" w:hAnsiTheme="minorHAnsi" w:cstheme="minorBidi"/>
              <w:noProof/>
              <w:kern w:val="2"/>
              <w:sz w:val="24"/>
              <w:szCs w:val="24"/>
              <w14:ligatures w14:val="standardContextual"/>
            </w:rPr>
          </w:pPr>
          <w:r>
            <w:fldChar w:fldCharType="begin"/>
          </w:r>
          <w:r w:rsidR="00535199">
            <w:instrText>TOC \o "1-9" \z \u \h</w:instrText>
          </w:r>
          <w:r>
            <w:fldChar w:fldCharType="separate"/>
          </w:r>
          <w:hyperlink w:anchor="_Toc196230163" w:history="1">
            <w:r w:rsidR="00BF38CA" w:rsidRPr="008077B2">
              <w:rPr>
                <w:rStyle w:val="Lienhypertexte"/>
                <w:noProof/>
              </w:rPr>
              <w:t>Article 1 - Autorité concédante</w:t>
            </w:r>
            <w:r w:rsidR="00BF38CA">
              <w:rPr>
                <w:noProof/>
                <w:webHidden/>
              </w:rPr>
              <w:tab/>
            </w:r>
            <w:r w:rsidR="00BF38CA">
              <w:rPr>
                <w:noProof/>
                <w:webHidden/>
              </w:rPr>
              <w:fldChar w:fldCharType="begin"/>
            </w:r>
            <w:r w:rsidR="00BF38CA">
              <w:rPr>
                <w:noProof/>
                <w:webHidden/>
              </w:rPr>
              <w:instrText xml:space="preserve"> PAGEREF _Toc196230163 \h </w:instrText>
            </w:r>
            <w:r w:rsidR="00BF38CA">
              <w:rPr>
                <w:noProof/>
                <w:webHidden/>
              </w:rPr>
            </w:r>
            <w:r w:rsidR="00BF38CA">
              <w:rPr>
                <w:noProof/>
                <w:webHidden/>
              </w:rPr>
              <w:fldChar w:fldCharType="separate"/>
            </w:r>
            <w:r w:rsidR="00BF38CA">
              <w:rPr>
                <w:noProof/>
                <w:webHidden/>
              </w:rPr>
              <w:t>5</w:t>
            </w:r>
            <w:r w:rsidR="00BF38CA">
              <w:rPr>
                <w:noProof/>
                <w:webHidden/>
              </w:rPr>
              <w:fldChar w:fldCharType="end"/>
            </w:r>
          </w:hyperlink>
        </w:p>
        <w:p w14:paraId="00C26117" w14:textId="70EA5DFB" w:rsidR="00BF38CA" w:rsidRDefault="00BF38CA">
          <w:pPr>
            <w:pStyle w:val="TM2"/>
            <w:tabs>
              <w:tab w:val="right" w:pos="9500"/>
            </w:tabs>
            <w:rPr>
              <w:rFonts w:asciiTheme="minorHAnsi" w:eastAsiaTheme="minorEastAsia" w:hAnsiTheme="minorHAnsi" w:cstheme="minorBidi"/>
              <w:noProof/>
              <w:kern w:val="2"/>
              <w:sz w:val="24"/>
              <w:szCs w:val="24"/>
              <w14:ligatures w14:val="standardContextual"/>
            </w:rPr>
          </w:pPr>
          <w:hyperlink w:anchor="_Toc196230164" w:history="1">
            <w:r w:rsidRPr="008077B2">
              <w:rPr>
                <w:rStyle w:val="Lienhypertexte"/>
                <w:noProof/>
              </w:rPr>
              <w:t>1.1 Nom et adresse officiels de l’autorité concédante</w:t>
            </w:r>
            <w:r>
              <w:rPr>
                <w:noProof/>
                <w:webHidden/>
              </w:rPr>
              <w:tab/>
            </w:r>
            <w:r>
              <w:rPr>
                <w:noProof/>
                <w:webHidden/>
              </w:rPr>
              <w:fldChar w:fldCharType="begin"/>
            </w:r>
            <w:r>
              <w:rPr>
                <w:noProof/>
                <w:webHidden/>
              </w:rPr>
              <w:instrText xml:space="preserve"> PAGEREF _Toc196230164 \h </w:instrText>
            </w:r>
            <w:r>
              <w:rPr>
                <w:noProof/>
                <w:webHidden/>
              </w:rPr>
            </w:r>
            <w:r>
              <w:rPr>
                <w:noProof/>
                <w:webHidden/>
              </w:rPr>
              <w:fldChar w:fldCharType="separate"/>
            </w:r>
            <w:r>
              <w:rPr>
                <w:noProof/>
                <w:webHidden/>
              </w:rPr>
              <w:t>5</w:t>
            </w:r>
            <w:r>
              <w:rPr>
                <w:noProof/>
                <w:webHidden/>
              </w:rPr>
              <w:fldChar w:fldCharType="end"/>
            </w:r>
          </w:hyperlink>
        </w:p>
        <w:p w14:paraId="3C134E4D" w14:textId="30639A11" w:rsidR="00BF38CA" w:rsidRDefault="00BF38CA">
          <w:pPr>
            <w:pStyle w:val="TM2"/>
            <w:tabs>
              <w:tab w:val="right" w:pos="9500"/>
            </w:tabs>
            <w:rPr>
              <w:rFonts w:asciiTheme="minorHAnsi" w:eastAsiaTheme="minorEastAsia" w:hAnsiTheme="minorHAnsi" w:cstheme="minorBidi"/>
              <w:noProof/>
              <w:kern w:val="2"/>
              <w:sz w:val="24"/>
              <w:szCs w:val="24"/>
              <w14:ligatures w14:val="standardContextual"/>
            </w:rPr>
          </w:pPr>
          <w:hyperlink w:anchor="_Toc196230165" w:history="1">
            <w:r w:rsidRPr="008077B2">
              <w:rPr>
                <w:rStyle w:val="Lienhypertexte"/>
                <w:noProof/>
              </w:rPr>
              <w:t>1.2 Adresse auprès de laquelle des informations complémentaires peuvent être obtenues</w:t>
            </w:r>
            <w:r>
              <w:rPr>
                <w:noProof/>
                <w:webHidden/>
              </w:rPr>
              <w:tab/>
            </w:r>
            <w:r>
              <w:rPr>
                <w:noProof/>
                <w:webHidden/>
              </w:rPr>
              <w:fldChar w:fldCharType="begin"/>
            </w:r>
            <w:r>
              <w:rPr>
                <w:noProof/>
                <w:webHidden/>
              </w:rPr>
              <w:instrText xml:space="preserve"> PAGEREF _Toc196230165 \h </w:instrText>
            </w:r>
            <w:r>
              <w:rPr>
                <w:noProof/>
                <w:webHidden/>
              </w:rPr>
            </w:r>
            <w:r>
              <w:rPr>
                <w:noProof/>
                <w:webHidden/>
              </w:rPr>
              <w:fldChar w:fldCharType="separate"/>
            </w:r>
            <w:r>
              <w:rPr>
                <w:noProof/>
                <w:webHidden/>
              </w:rPr>
              <w:t>5</w:t>
            </w:r>
            <w:r>
              <w:rPr>
                <w:noProof/>
                <w:webHidden/>
              </w:rPr>
              <w:fldChar w:fldCharType="end"/>
            </w:r>
          </w:hyperlink>
        </w:p>
        <w:p w14:paraId="4BAFBA7D" w14:textId="786A3CA8" w:rsidR="00BF38CA" w:rsidRDefault="00BF38CA">
          <w:pPr>
            <w:pStyle w:val="TM2"/>
            <w:tabs>
              <w:tab w:val="right" w:pos="9500"/>
            </w:tabs>
            <w:rPr>
              <w:rFonts w:asciiTheme="minorHAnsi" w:eastAsiaTheme="minorEastAsia" w:hAnsiTheme="minorHAnsi" w:cstheme="minorBidi"/>
              <w:noProof/>
              <w:kern w:val="2"/>
              <w:sz w:val="24"/>
              <w:szCs w:val="24"/>
              <w14:ligatures w14:val="standardContextual"/>
            </w:rPr>
          </w:pPr>
          <w:hyperlink w:anchor="_Toc196230166" w:history="1">
            <w:r w:rsidRPr="008077B2">
              <w:rPr>
                <w:rStyle w:val="Lienhypertexte"/>
                <w:noProof/>
              </w:rPr>
              <w:t>1.3 Adresse à laquelle les plis doivent être envoyés</w:t>
            </w:r>
            <w:r>
              <w:rPr>
                <w:noProof/>
                <w:webHidden/>
              </w:rPr>
              <w:tab/>
            </w:r>
            <w:r>
              <w:rPr>
                <w:noProof/>
                <w:webHidden/>
              </w:rPr>
              <w:fldChar w:fldCharType="begin"/>
            </w:r>
            <w:r>
              <w:rPr>
                <w:noProof/>
                <w:webHidden/>
              </w:rPr>
              <w:instrText xml:space="preserve"> PAGEREF _Toc196230166 \h </w:instrText>
            </w:r>
            <w:r>
              <w:rPr>
                <w:noProof/>
                <w:webHidden/>
              </w:rPr>
            </w:r>
            <w:r>
              <w:rPr>
                <w:noProof/>
                <w:webHidden/>
              </w:rPr>
              <w:fldChar w:fldCharType="separate"/>
            </w:r>
            <w:r>
              <w:rPr>
                <w:noProof/>
                <w:webHidden/>
              </w:rPr>
              <w:t>5</w:t>
            </w:r>
            <w:r>
              <w:rPr>
                <w:noProof/>
                <w:webHidden/>
              </w:rPr>
              <w:fldChar w:fldCharType="end"/>
            </w:r>
          </w:hyperlink>
        </w:p>
        <w:p w14:paraId="2F921C89" w14:textId="2477A6F7" w:rsidR="00BF38CA" w:rsidRDefault="00BF38CA">
          <w:pPr>
            <w:pStyle w:val="TM1"/>
            <w:tabs>
              <w:tab w:val="right" w:pos="9500"/>
            </w:tabs>
            <w:rPr>
              <w:rFonts w:asciiTheme="minorHAnsi" w:eastAsiaTheme="minorEastAsia" w:hAnsiTheme="minorHAnsi" w:cstheme="minorBidi"/>
              <w:noProof/>
              <w:kern w:val="2"/>
              <w:sz w:val="24"/>
              <w:szCs w:val="24"/>
              <w14:ligatures w14:val="standardContextual"/>
            </w:rPr>
          </w:pPr>
          <w:hyperlink w:anchor="_Toc196230167" w:history="1">
            <w:r w:rsidRPr="008077B2">
              <w:rPr>
                <w:rStyle w:val="Lienhypertexte"/>
                <w:noProof/>
              </w:rPr>
              <w:t>Article 2 - Procédure de passation</w:t>
            </w:r>
            <w:r>
              <w:rPr>
                <w:noProof/>
                <w:webHidden/>
              </w:rPr>
              <w:tab/>
            </w:r>
            <w:r>
              <w:rPr>
                <w:noProof/>
                <w:webHidden/>
              </w:rPr>
              <w:fldChar w:fldCharType="begin"/>
            </w:r>
            <w:r>
              <w:rPr>
                <w:noProof/>
                <w:webHidden/>
              </w:rPr>
              <w:instrText xml:space="preserve"> PAGEREF _Toc196230167 \h </w:instrText>
            </w:r>
            <w:r>
              <w:rPr>
                <w:noProof/>
                <w:webHidden/>
              </w:rPr>
            </w:r>
            <w:r>
              <w:rPr>
                <w:noProof/>
                <w:webHidden/>
              </w:rPr>
              <w:fldChar w:fldCharType="separate"/>
            </w:r>
            <w:r>
              <w:rPr>
                <w:noProof/>
                <w:webHidden/>
              </w:rPr>
              <w:t>5</w:t>
            </w:r>
            <w:r>
              <w:rPr>
                <w:noProof/>
                <w:webHidden/>
              </w:rPr>
              <w:fldChar w:fldCharType="end"/>
            </w:r>
          </w:hyperlink>
        </w:p>
        <w:p w14:paraId="135D866B" w14:textId="6471FEA5" w:rsidR="00BF38CA" w:rsidRDefault="00BF38CA">
          <w:pPr>
            <w:pStyle w:val="TM1"/>
            <w:tabs>
              <w:tab w:val="right" w:pos="9500"/>
            </w:tabs>
            <w:rPr>
              <w:rFonts w:asciiTheme="minorHAnsi" w:eastAsiaTheme="minorEastAsia" w:hAnsiTheme="minorHAnsi" w:cstheme="minorBidi"/>
              <w:noProof/>
              <w:kern w:val="2"/>
              <w:sz w:val="24"/>
              <w:szCs w:val="24"/>
              <w14:ligatures w14:val="standardContextual"/>
            </w:rPr>
          </w:pPr>
          <w:hyperlink w:anchor="_Toc196230168" w:history="1">
            <w:r w:rsidRPr="008077B2">
              <w:rPr>
                <w:rStyle w:val="Lienhypertexte"/>
                <w:noProof/>
              </w:rPr>
              <w:t>Article 3 - Objet de la concession</w:t>
            </w:r>
            <w:r>
              <w:rPr>
                <w:noProof/>
                <w:webHidden/>
              </w:rPr>
              <w:tab/>
            </w:r>
            <w:r>
              <w:rPr>
                <w:noProof/>
                <w:webHidden/>
              </w:rPr>
              <w:fldChar w:fldCharType="begin"/>
            </w:r>
            <w:r>
              <w:rPr>
                <w:noProof/>
                <w:webHidden/>
              </w:rPr>
              <w:instrText xml:space="preserve"> PAGEREF _Toc196230168 \h </w:instrText>
            </w:r>
            <w:r>
              <w:rPr>
                <w:noProof/>
                <w:webHidden/>
              </w:rPr>
            </w:r>
            <w:r>
              <w:rPr>
                <w:noProof/>
                <w:webHidden/>
              </w:rPr>
              <w:fldChar w:fldCharType="separate"/>
            </w:r>
            <w:r>
              <w:rPr>
                <w:noProof/>
                <w:webHidden/>
              </w:rPr>
              <w:t>5</w:t>
            </w:r>
            <w:r>
              <w:rPr>
                <w:noProof/>
                <w:webHidden/>
              </w:rPr>
              <w:fldChar w:fldCharType="end"/>
            </w:r>
          </w:hyperlink>
        </w:p>
        <w:p w14:paraId="05FA77C3" w14:textId="007638A8" w:rsidR="00BF38CA" w:rsidRDefault="00BF38CA">
          <w:pPr>
            <w:pStyle w:val="TM1"/>
            <w:tabs>
              <w:tab w:val="right" w:pos="9500"/>
            </w:tabs>
            <w:rPr>
              <w:rFonts w:asciiTheme="minorHAnsi" w:eastAsiaTheme="minorEastAsia" w:hAnsiTheme="minorHAnsi" w:cstheme="minorBidi"/>
              <w:noProof/>
              <w:kern w:val="2"/>
              <w:sz w:val="24"/>
              <w:szCs w:val="24"/>
              <w14:ligatures w14:val="standardContextual"/>
            </w:rPr>
          </w:pPr>
          <w:hyperlink w:anchor="_Toc196230169" w:history="1">
            <w:r w:rsidRPr="008077B2">
              <w:rPr>
                <w:rStyle w:val="Lienhypertexte"/>
                <w:noProof/>
              </w:rPr>
              <w:t>Article 4 - Durée de la concession</w:t>
            </w:r>
            <w:r>
              <w:rPr>
                <w:noProof/>
                <w:webHidden/>
              </w:rPr>
              <w:tab/>
            </w:r>
            <w:r>
              <w:rPr>
                <w:noProof/>
                <w:webHidden/>
              </w:rPr>
              <w:fldChar w:fldCharType="begin"/>
            </w:r>
            <w:r>
              <w:rPr>
                <w:noProof/>
                <w:webHidden/>
              </w:rPr>
              <w:instrText xml:space="preserve"> PAGEREF _Toc196230169 \h </w:instrText>
            </w:r>
            <w:r>
              <w:rPr>
                <w:noProof/>
                <w:webHidden/>
              </w:rPr>
            </w:r>
            <w:r>
              <w:rPr>
                <w:noProof/>
                <w:webHidden/>
              </w:rPr>
              <w:fldChar w:fldCharType="separate"/>
            </w:r>
            <w:r>
              <w:rPr>
                <w:noProof/>
                <w:webHidden/>
              </w:rPr>
              <w:t>6</w:t>
            </w:r>
            <w:r>
              <w:rPr>
                <w:noProof/>
                <w:webHidden/>
              </w:rPr>
              <w:fldChar w:fldCharType="end"/>
            </w:r>
          </w:hyperlink>
        </w:p>
        <w:p w14:paraId="74D132DA" w14:textId="22F59807" w:rsidR="00BF38CA" w:rsidRDefault="00BF38CA">
          <w:pPr>
            <w:pStyle w:val="TM1"/>
            <w:tabs>
              <w:tab w:val="right" w:pos="9500"/>
            </w:tabs>
            <w:rPr>
              <w:rFonts w:asciiTheme="minorHAnsi" w:eastAsiaTheme="minorEastAsia" w:hAnsiTheme="minorHAnsi" w:cstheme="minorBidi"/>
              <w:noProof/>
              <w:kern w:val="2"/>
              <w:sz w:val="24"/>
              <w:szCs w:val="24"/>
              <w14:ligatures w14:val="standardContextual"/>
            </w:rPr>
          </w:pPr>
          <w:hyperlink w:anchor="_Toc196230170" w:history="1">
            <w:r w:rsidRPr="008077B2">
              <w:rPr>
                <w:rStyle w:val="Lienhypertexte"/>
                <w:noProof/>
              </w:rPr>
              <w:t>Article 5 - Dispositions financières</w:t>
            </w:r>
            <w:r>
              <w:rPr>
                <w:noProof/>
                <w:webHidden/>
              </w:rPr>
              <w:tab/>
            </w:r>
            <w:r>
              <w:rPr>
                <w:noProof/>
                <w:webHidden/>
              </w:rPr>
              <w:fldChar w:fldCharType="begin"/>
            </w:r>
            <w:r>
              <w:rPr>
                <w:noProof/>
                <w:webHidden/>
              </w:rPr>
              <w:instrText xml:space="preserve"> PAGEREF _Toc196230170 \h </w:instrText>
            </w:r>
            <w:r>
              <w:rPr>
                <w:noProof/>
                <w:webHidden/>
              </w:rPr>
            </w:r>
            <w:r>
              <w:rPr>
                <w:noProof/>
                <w:webHidden/>
              </w:rPr>
              <w:fldChar w:fldCharType="separate"/>
            </w:r>
            <w:r>
              <w:rPr>
                <w:noProof/>
                <w:webHidden/>
              </w:rPr>
              <w:t>6</w:t>
            </w:r>
            <w:r>
              <w:rPr>
                <w:noProof/>
                <w:webHidden/>
              </w:rPr>
              <w:fldChar w:fldCharType="end"/>
            </w:r>
          </w:hyperlink>
        </w:p>
        <w:p w14:paraId="1898CC2F" w14:textId="7FC074B2" w:rsidR="00BF38CA" w:rsidRDefault="00BF38CA">
          <w:pPr>
            <w:pStyle w:val="TM2"/>
            <w:tabs>
              <w:tab w:val="right" w:pos="9500"/>
            </w:tabs>
            <w:rPr>
              <w:rFonts w:asciiTheme="minorHAnsi" w:eastAsiaTheme="minorEastAsia" w:hAnsiTheme="minorHAnsi" w:cstheme="minorBidi"/>
              <w:noProof/>
              <w:kern w:val="2"/>
              <w:sz w:val="24"/>
              <w:szCs w:val="24"/>
              <w14:ligatures w14:val="standardContextual"/>
            </w:rPr>
          </w:pPr>
          <w:hyperlink w:anchor="_Toc196230171" w:history="1">
            <w:r w:rsidRPr="008077B2">
              <w:rPr>
                <w:rStyle w:val="Lienhypertexte"/>
                <w:noProof/>
              </w:rPr>
              <w:t>5.1 Prix de la concession</w:t>
            </w:r>
            <w:r>
              <w:rPr>
                <w:noProof/>
                <w:webHidden/>
              </w:rPr>
              <w:tab/>
            </w:r>
            <w:r>
              <w:rPr>
                <w:noProof/>
                <w:webHidden/>
              </w:rPr>
              <w:fldChar w:fldCharType="begin"/>
            </w:r>
            <w:r>
              <w:rPr>
                <w:noProof/>
                <w:webHidden/>
              </w:rPr>
              <w:instrText xml:space="preserve"> PAGEREF _Toc196230171 \h </w:instrText>
            </w:r>
            <w:r>
              <w:rPr>
                <w:noProof/>
                <w:webHidden/>
              </w:rPr>
            </w:r>
            <w:r>
              <w:rPr>
                <w:noProof/>
                <w:webHidden/>
              </w:rPr>
              <w:fldChar w:fldCharType="separate"/>
            </w:r>
            <w:r>
              <w:rPr>
                <w:noProof/>
                <w:webHidden/>
              </w:rPr>
              <w:t>6</w:t>
            </w:r>
            <w:r>
              <w:rPr>
                <w:noProof/>
                <w:webHidden/>
              </w:rPr>
              <w:fldChar w:fldCharType="end"/>
            </w:r>
          </w:hyperlink>
        </w:p>
        <w:p w14:paraId="38DDEBA2" w14:textId="4D48CC65" w:rsidR="00BF38CA" w:rsidRDefault="00BF38CA">
          <w:pPr>
            <w:pStyle w:val="TM2"/>
            <w:tabs>
              <w:tab w:val="right" w:pos="9500"/>
            </w:tabs>
            <w:rPr>
              <w:rFonts w:asciiTheme="minorHAnsi" w:eastAsiaTheme="minorEastAsia" w:hAnsiTheme="minorHAnsi" w:cstheme="minorBidi"/>
              <w:noProof/>
              <w:kern w:val="2"/>
              <w:sz w:val="24"/>
              <w:szCs w:val="24"/>
              <w14:ligatures w14:val="standardContextual"/>
            </w:rPr>
          </w:pPr>
          <w:hyperlink w:anchor="_Toc196230172" w:history="1">
            <w:r w:rsidRPr="008077B2">
              <w:rPr>
                <w:rStyle w:val="Lienhypertexte"/>
                <w:noProof/>
              </w:rPr>
              <w:t>5.2 Prise en charge des stands et des parties communes</w:t>
            </w:r>
            <w:r>
              <w:rPr>
                <w:noProof/>
                <w:webHidden/>
              </w:rPr>
              <w:tab/>
            </w:r>
            <w:r>
              <w:rPr>
                <w:noProof/>
                <w:webHidden/>
              </w:rPr>
              <w:fldChar w:fldCharType="begin"/>
            </w:r>
            <w:r>
              <w:rPr>
                <w:noProof/>
                <w:webHidden/>
              </w:rPr>
              <w:instrText xml:space="preserve"> PAGEREF _Toc196230172 \h </w:instrText>
            </w:r>
            <w:r>
              <w:rPr>
                <w:noProof/>
                <w:webHidden/>
              </w:rPr>
            </w:r>
            <w:r>
              <w:rPr>
                <w:noProof/>
                <w:webHidden/>
              </w:rPr>
              <w:fldChar w:fldCharType="separate"/>
            </w:r>
            <w:r>
              <w:rPr>
                <w:noProof/>
                <w:webHidden/>
              </w:rPr>
              <w:t>7</w:t>
            </w:r>
            <w:r>
              <w:rPr>
                <w:noProof/>
                <w:webHidden/>
              </w:rPr>
              <w:fldChar w:fldCharType="end"/>
            </w:r>
          </w:hyperlink>
        </w:p>
        <w:p w14:paraId="34A58769" w14:textId="55FFC37C" w:rsidR="00BF38CA" w:rsidRDefault="00BF38CA">
          <w:pPr>
            <w:pStyle w:val="TM1"/>
            <w:tabs>
              <w:tab w:val="right" w:pos="9500"/>
            </w:tabs>
            <w:rPr>
              <w:rFonts w:asciiTheme="minorHAnsi" w:eastAsiaTheme="minorEastAsia" w:hAnsiTheme="minorHAnsi" w:cstheme="minorBidi"/>
              <w:noProof/>
              <w:kern w:val="2"/>
              <w:sz w:val="24"/>
              <w:szCs w:val="24"/>
              <w14:ligatures w14:val="standardContextual"/>
            </w:rPr>
          </w:pPr>
          <w:hyperlink w:anchor="_Toc196230173" w:history="1">
            <w:r w:rsidRPr="008077B2">
              <w:rPr>
                <w:rStyle w:val="Lienhypertexte"/>
                <w:noProof/>
              </w:rPr>
              <w:t>Article 6 – Conditions générales d’exploitation</w:t>
            </w:r>
            <w:r>
              <w:rPr>
                <w:noProof/>
                <w:webHidden/>
              </w:rPr>
              <w:tab/>
            </w:r>
            <w:r>
              <w:rPr>
                <w:noProof/>
                <w:webHidden/>
              </w:rPr>
              <w:fldChar w:fldCharType="begin"/>
            </w:r>
            <w:r>
              <w:rPr>
                <w:noProof/>
                <w:webHidden/>
              </w:rPr>
              <w:instrText xml:space="preserve"> PAGEREF _Toc196230173 \h </w:instrText>
            </w:r>
            <w:r>
              <w:rPr>
                <w:noProof/>
                <w:webHidden/>
              </w:rPr>
            </w:r>
            <w:r>
              <w:rPr>
                <w:noProof/>
                <w:webHidden/>
              </w:rPr>
              <w:fldChar w:fldCharType="separate"/>
            </w:r>
            <w:r>
              <w:rPr>
                <w:noProof/>
                <w:webHidden/>
              </w:rPr>
              <w:t>8</w:t>
            </w:r>
            <w:r>
              <w:rPr>
                <w:noProof/>
                <w:webHidden/>
              </w:rPr>
              <w:fldChar w:fldCharType="end"/>
            </w:r>
          </w:hyperlink>
        </w:p>
        <w:p w14:paraId="4D488DA7" w14:textId="7CB62027" w:rsidR="00BF38CA" w:rsidRDefault="00BF38CA">
          <w:pPr>
            <w:pStyle w:val="TM1"/>
            <w:tabs>
              <w:tab w:val="right" w:pos="9500"/>
            </w:tabs>
            <w:rPr>
              <w:rFonts w:asciiTheme="minorHAnsi" w:eastAsiaTheme="minorEastAsia" w:hAnsiTheme="minorHAnsi" w:cstheme="minorBidi"/>
              <w:noProof/>
              <w:kern w:val="2"/>
              <w:sz w:val="24"/>
              <w:szCs w:val="24"/>
              <w14:ligatures w14:val="standardContextual"/>
            </w:rPr>
          </w:pPr>
          <w:hyperlink w:anchor="_Toc196230174" w:history="1">
            <w:r w:rsidRPr="008077B2">
              <w:rPr>
                <w:rStyle w:val="Lienhypertexte"/>
                <w:noProof/>
              </w:rPr>
              <w:t>Article 7 - Délai de validité des offres</w:t>
            </w:r>
            <w:r>
              <w:rPr>
                <w:noProof/>
                <w:webHidden/>
              </w:rPr>
              <w:tab/>
            </w:r>
            <w:r>
              <w:rPr>
                <w:noProof/>
                <w:webHidden/>
              </w:rPr>
              <w:fldChar w:fldCharType="begin"/>
            </w:r>
            <w:r>
              <w:rPr>
                <w:noProof/>
                <w:webHidden/>
              </w:rPr>
              <w:instrText xml:space="preserve"> PAGEREF _Toc196230174 \h </w:instrText>
            </w:r>
            <w:r>
              <w:rPr>
                <w:noProof/>
                <w:webHidden/>
              </w:rPr>
            </w:r>
            <w:r>
              <w:rPr>
                <w:noProof/>
                <w:webHidden/>
              </w:rPr>
              <w:fldChar w:fldCharType="separate"/>
            </w:r>
            <w:r>
              <w:rPr>
                <w:noProof/>
                <w:webHidden/>
              </w:rPr>
              <w:t>8</w:t>
            </w:r>
            <w:r>
              <w:rPr>
                <w:noProof/>
                <w:webHidden/>
              </w:rPr>
              <w:fldChar w:fldCharType="end"/>
            </w:r>
          </w:hyperlink>
        </w:p>
        <w:p w14:paraId="736F1695" w14:textId="6985BE99" w:rsidR="00BF38CA" w:rsidRDefault="00BF38CA">
          <w:pPr>
            <w:pStyle w:val="TM1"/>
            <w:tabs>
              <w:tab w:val="right" w:pos="9500"/>
            </w:tabs>
            <w:rPr>
              <w:rFonts w:asciiTheme="minorHAnsi" w:eastAsiaTheme="minorEastAsia" w:hAnsiTheme="minorHAnsi" w:cstheme="minorBidi"/>
              <w:noProof/>
              <w:kern w:val="2"/>
              <w:sz w:val="24"/>
              <w:szCs w:val="24"/>
              <w14:ligatures w14:val="standardContextual"/>
            </w:rPr>
          </w:pPr>
          <w:hyperlink w:anchor="_Toc196230175" w:history="1">
            <w:r w:rsidRPr="008077B2">
              <w:rPr>
                <w:rStyle w:val="Lienhypertexte"/>
                <w:noProof/>
              </w:rPr>
              <w:t>Article 8 - Groupement d’opérateurs économiques</w:t>
            </w:r>
            <w:r>
              <w:rPr>
                <w:noProof/>
                <w:webHidden/>
              </w:rPr>
              <w:tab/>
            </w:r>
            <w:r>
              <w:rPr>
                <w:noProof/>
                <w:webHidden/>
              </w:rPr>
              <w:fldChar w:fldCharType="begin"/>
            </w:r>
            <w:r>
              <w:rPr>
                <w:noProof/>
                <w:webHidden/>
              </w:rPr>
              <w:instrText xml:space="preserve"> PAGEREF _Toc196230175 \h </w:instrText>
            </w:r>
            <w:r>
              <w:rPr>
                <w:noProof/>
                <w:webHidden/>
              </w:rPr>
            </w:r>
            <w:r>
              <w:rPr>
                <w:noProof/>
                <w:webHidden/>
              </w:rPr>
              <w:fldChar w:fldCharType="separate"/>
            </w:r>
            <w:r>
              <w:rPr>
                <w:noProof/>
                <w:webHidden/>
              </w:rPr>
              <w:t>8</w:t>
            </w:r>
            <w:r>
              <w:rPr>
                <w:noProof/>
                <w:webHidden/>
              </w:rPr>
              <w:fldChar w:fldCharType="end"/>
            </w:r>
          </w:hyperlink>
        </w:p>
        <w:p w14:paraId="07C246F2" w14:textId="3F66F450" w:rsidR="00BF38CA" w:rsidRDefault="00BF38CA">
          <w:pPr>
            <w:pStyle w:val="TM1"/>
            <w:tabs>
              <w:tab w:val="right" w:pos="9500"/>
            </w:tabs>
            <w:rPr>
              <w:rFonts w:asciiTheme="minorHAnsi" w:eastAsiaTheme="minorEastAsia" w:hAnsiTheme="minorHAnsi" w:cstheme="minorBidi"/>
              <w:noProof/>
              <w:kern w:val="2"/>
              <w:sz w:val="24"/>
              <w:szCs w:val="24"/>
              <w14:ligatures w14:val="standardContextual"/>
            </w:rPr>
          </w:pPr>
          <w:hyperlink w:anchor="_Toc196230176" w:history="1">
            <w:r w:rsidRPr="008077B2">
              <w:rPr>
                <w:rStyle w:val="Lienhypertexte"/>
                <w:noProof/>
              </w:rPr>
              <w:t>Article 9 - Sous-traitance</w:t>
            </w:r>
            <w:r>
              <w:rPr>
                <w:noProof/>
                <w:webHidden/>
              </w:rPr>
              <w:tab/>
            </w:r>
            <w:r>
              <w:rPr>
                <w:noProof/>
                <w:webHidden/>
              </w:rPr>
              <w:fldChar w:fldCharType="begin"/>
            </w:r>
            <w:r>
              <w:rPr>
                <w:noProof/>
                <w:webHidden/>
              </w:rPr>
              <w:instrText xml:space="preserve"> PAGEREF _Toc196230176 \h </w:instrText>
            </w:r>
            <w:r>
              <w:rPr>
                <w:noProof/>
                <w:webHidden/>
              </w:rPr>
            </w:r>
            <w:r>
              <w:rPr>
                <w:noProof/>
                <w:webHidden/>
              </w:rPr>
              <w:fldChar w:fldCharType="separate"/>
            </w:r>
            <w:r>
              <w:rPr>
                <w:noProof/>
                <w:webHidden/>
              </w:rPr>
              <w:t>9</w:t>
            </w:r>
            <w:r>
              <w:rPr>
                <w:noProof/>
                <w:webHidden/>
              </w:rPr>
              <w:fldChar w:fldCharType="end"/>
            </w:r>
          </w:hyperlink>
        </w:p>
        <w:p w14:paraId="43286C49" w14:textId="53254265" w:rsidR="00BF38CA" w:rsidRDefault="00BF38CA">
          <w:pPr>
            <w:pStyle w:val="TM1"/>
            <w:tabs>
              <w:tab w:val="right" w:pos="9500"/>
            </w:tabs>
            <w:rPr>
              <w:rFonts w:asciiTheme="minorHAnsi" w:eastAsiaTheme="minorEastAsia" w:hAnsiTheme="minorHAnsi" w:cstheme="minorBidi"/>
              <w:noProof/>
              <w:kern w:val="2"/>
              <w:sz w:val="24"/>
              <w:szCs w:val="24"/>
              <w14:ligatures w14:val="standardContextual"/>
            </w:rPr>
          </w:pPr>
          <w:hyperlink w:anchor="_Toc196230177" w:history="1">
            <w:r w:rsidRPr="008077B2">
              <w:rPr>
                <w:rStyle w:val="Lienhypertexte"/>
                <w:noProof/>
              </w:rPr>
              <w:t>Article 10 – Autres renseignements</w:t>
            </w:r>
            <w:r>
              <w:rPr>
                <w:noProof/>
                <w:webHidden/>
              </w:rPr>
              <w:tab/>
            </w:r>
            <w:r>
              <w:rPr>
                <w:noProof/>
                <w:webHidden/>
              </w:rPr>
              <w:fldChar w:fldCharType="begin"/>
            </w:r>
            <w:r>
              <w:rPr>
                <w:noProof/>
                <w:webHidden/>
              </w:rPr>
              <w:instrText xml:space="preserve"> PAGEREF _Toc196230177 \h </w:instrText>
            </w:r>
            <w:r>
              <w:rPr>
                <w:noProof/>
                <w:webHidden/>
              </w:rPr>
            </w:r>
            <w:r>
              <w:rPr>
                <w:noProof/>
                <w:webHidden/>
              </w:rPr>
              <w:fldChar w:fldCharType="separate"/>
            </w:r>
            <w:r>
              <w:rPr>
                <w:noProof/>
                <w:webHidden/>
              </w:rPr>
              <w:t>9</w:t>
            </w:r>
            <w:r>
              <w:rPr>
                <w:noProof/>
                <w:webHidden/>
              </w:rPr>
              <w:fldChar w:fldCharType="end"/>
            </w:r>
          </w:hyperlink>
        </w:p>
        <w:p w14:paraId="00CEF31B" w14:textId="7CE769B7" w:rsidR="00BF38CA" w:rsidRDefault="00BF38CA">
          <w:pPr>
            <w:pStyle w:val="TM2"/>
            <w:tabs>
              <w:tab w:val="right" w:pos="9500"/>
            </w:tabs>
            <w:rPr>
              <w:rFonts w:asciiTheme="minorHAnsi" w:eastAsiaTheme="minorEastAsia" w:hAnsiTheme="minorHAnsi" w:cstheme="minorBidi"/>
              <w:noProof/>
              <w:kern w:val="2"/>
              <w:sz w:val="24"/>
              <w:szCs w:val="24"/>
              <w14:ligatures w14:val="standardContextual"/>
            </w:rPr>
          </w:pPr>
          <w:hyperlink w:anchor="_Toc196230178" w:history="1">
            <w:r w:rsidRPr="008077B2">
              <w:rPr>
                <w:rStyle w:val="Lienhypertexte"/>
                <w:noProof/>
              </w:rPr>
              <w:t>10.1 Contenu du dossier de consultation</w:t>
            </w:r>
            <w:r>
              <w:rPr>
                <w:noProof/>
                <w:webHidden/>
              </w:rPr>
              <w:tab/>
            </w:r>
            <w:r>
              <w:rPr>
                <w:noProof/>
                <w:webHidden/>
              </w:rPr>
              <w:fldChar w:fldCharType="begin"/>
            </w:r>
            <w:r>
              <w:rPr>
                <w:noProof/>
                <w:webHidden/>
              </w:rPr>
              <w:instrText xml:space="preserve"> PAGEREF _Toc196230178 \h </w:instrText>
            </w:r>
            <w:r>
              <w:rPr>
                <w:noProof/>
                <w:webHidden/>
              </w:rPr>
            </w:r>
            <w:r>
              <w:rPr>
                <w:noProof/>
                <w:webHidden/>
              </w:rPr>
              <w:fldChar w:fldCharType="separate"/>
            </w:r>
            <w:r>
              <w:rPr>
                <w:noProof/>
                <w:webHidden/>
              </w:rPr>
              <w:t>9</w:t>
            </w:r>
            <w:r>
              <w:rPr>
                <w:noProof/>
                <w:webHidden/>
              </w:rPr>
              <w:fldChar w:fldCharType="end"/>
            </w:r>
          </w:hyperlink>
        </w:p>
        <w:p w14:paraId="1E510A55" w14:textId="0CCD798C" w:rsidR="00BF38CA" w:rsidRDefault="00BF38CA">
          <w:pPr>
            <w:pStyle w:val="TM2"/>
            <w:tabs>
              <w:tab w:val="right" w:pos="9500"/>
            </w:tabs>
            <w:rPr>
              <w:rFonts w:asciiTheme="minorHAnsi" w:eastAsiaTheme="minorEastAsia" w:hAnsiTheme="minorHAnsi" w:cstheme="minorBidi"/>
              <w:noProof/>
              <w:kern w:val="2"/>
              <w:sz w:val="24"/>
              <w:szCs w:val="24"/>
              <w14:ligatures w14:val="standardContextual"/>
            </w:rPr>
          </w:pPr>
          <w:hyperlink w:anchor="_Toc196230179" w:history="1">
            <w:r w:rsidRPr="008077B2">
              <w:rPr>
                <w:rStyle w:val="Lienhypertexte"/>
                <w:noProof/>
              </w:rPr>
              <w:t>10.2 Mise à disposition du dossier de consultation par voie électronique</w:t>
            </w:r>
            <w:r>
              <w:rPr>
                <w:noProof/>
                <w:webHidden/>
              </w:rPr>
              <w:tab/>
            </w:r>
            <w:r>
              <w:rPr>
                <w:noProof/>
                <w:webHidden/>
              </w:rPr>
              <w:fldChar w:fldCharType="begin"/>
            </w:r>
            <w:r>
              <w:rPr>
                <w:noProof/>
                <w:webHidden/>
              </w:rPr>
              <w:instrText xml:space="preserve"> PAGEREF _Toc196230179 \h </w:instrText>
            </w:r>
            <w:r>
              <w:rPr>
                <w:noProof/>
                <w:webHidden/>
              </w:rPr>
            </w:r>
            <w:r>
              <w:rPr>
                <w:noProof/>
                <w:webHidden/>
              </w:rPr>
              <w:fldChar w:fldCharType="separate"/>
            </w:r>
            <w:r>
              <w:rPr>
                <w:noProof/>
                <w:webHidden/>
              </w:rPr>
              <w:t>10</w:t>
            </w:r>
            <w:r>
              <w:rPr>
                <w:noProof/>
                <w:webHidden/>
              </w:rPr>
              <w:fldChar w:fldCharType="end"/>
            </w:r>
          </w:hyperlink>
        </w:p>
        <w:p w14:paraId="26062936" w14:textId="5670E0AD" w:rsidR="00BF38CA" w:rsidRDefault="00BF38CA">
          <w:pPr>
            <w:pStyle w:val="TM2"/>
            <w:tabs>
              <w:tab w:val="right" w:pos="9500"/>
            </w:tabs>
            <w:rPr>
              <w:rFonts w:asciiTheme="minorHAnsi" w:eastAsiaTheme="minorEastAsia" w:hAnsiTheme="minorHAnsi" w:cstheme="minorBidi"/>
              <w:noProof/>
              <w:kern w:val="2"/>
              <w:sz w:val="24"/>
              <w:szCs w:val="24"/>
              <w14:ligatures w14:val="standardContextual"/>
            </w:rPr>
          </w:pPr>
          <w:hyperlink w:anchor="_Toc196230180" w:history="1">
            <w:r w:rsidRPr="008077B2">
              <w:rPr>
                <w:rStyle w:val="Lienhypertexte"/>
                <w:noProof/>
              </w:rPr>
              <w:t>10.3 Condition de remise des plis</w:t>
            </w:r>
            <w:r>
              <w:rPr>
                <w:noProof/>
                <w:webHidden/>
              </w:rPr>
              <w:tab/>
            </w:r>
            <w:r>
              <w:rPr>
                <w:noProof/>
                <w:webHidden/>
              </w:rPr>
              <w:fldChar w:fldCharType="begin"/>
            </w:r>
            <w:r>
              <w:rPr>
                <w:noProof/>
                <w:webHidden/>
              </w:rPr>
              <w:instrText xml:space="preserve"> PAGEREF _Toc196230180 \h </w:instrText>
            </w:r>
            <w:r>
              <w:rPr>
                <w:noProof/>
                <w:webHidden/>
              </w:rPr>
            </w:r>
            <w:r>
              <w:rPr>
                <w:noProof/>
                <w:webHidden/>
              </w:rPr>
              <w:fldChar w:fldCharType="separate"/>
            </w:r>
            <w:r>
              <w:rPr>
                <w:noProof/>
                <w:webHidden/>
              </w:rPr>
              <w:t>10</w:t>
            </w:r>
            <w:r>
              <w:rPr>
                <w:noProof/>
                <w:webHidden/>
              </w:rPr>
              <w:fldChar w:fldCharType="end"/>
            </w:r>
          </w:hyperlink>
        </w:p>
        <w:p w14:paraId="5567C2C9" w14:textId="0DB0E653" w:rsidR="00BF38CA" w:rsidRDefault="00BF38CA">
          <w:pPr>
            <w:pStyle w:val="TM1"/>
            <w:tabs>
              <w:tab w:val="right" w:pos="9500"/>
            </w:tabs>
            <w:rPr>
              <w:rFonts w:asciiTheme="minorHAnsi" w:eastAsiaTheme="minorEastAsia" w:hAnsiTheme="minorHAnsi" w:cstheme="minorBidi"/>
              <w:noProof/>
              <w:kern w:val="2"/>
              <w:sz w:val="24"/>
              <w:szCs w:val="24"/>
              <w14:ligatures w14:val="standardContextual"/>
            </w:rPr>
          </w:pPr>
          <w:hyperlink w:anchor="_Toc196230181" w:history="1">
            <w:r w:rsidRPr="008077B2">
              <w:rPr>
                <w:rStyle w:val="Lienhypertexte"/>
                <w:noProof/>
              </w:rPr>
              <w:t>Article 11 - Pièces de la candidature</w:t>
            </w:r>
            <w:r>
              <w:rPr>
                <w:noProof/>
                <w:webHidden/>
              </w:rPr>
              <w:tab/>
            </w:r>
            <w:r>
              <w:rPr>
                <w:noProof/>
                <w:webHidden/>
              </w:rPr>
              <w:fldChar w:fldCharType="begin"/>
            </w:r>
            <w:r>
              <w:rPr>
                <w:noProof/>
                <w:webHidden/>
              </w:rPr>
              <w:instrText xml:space="preserve"> PAGEREF _Toc196230181 \h </w:instrText>
            </w:r>
            <w:r>
              <w:rPr>
                <w:noProof/>
                <w:webHidden/>
              </w:rPr>
            </w:r>
            <w:r>
              <w:rPr>
                <w:noProof/>
                <w:webHidden/>
              </w:rPr>
              <w:fldChar w:fldCharType="separate"/>
            </w:r>
            <w:r>
              <w:rPr>
                <w:noProof/>
                <w:webHidden/>
              </w:rPr>
              <w:t>11</w:t>
            </w:r>
            <w:r>
              <w:rPr>
                <w:noProof/>
                <w:webHidden/>
              </w:rPr>
              <w:fldChar w:fldCharType="end"/>
            </w:r>
          </w:hyperlink>
        </w:p>
        <w:p w14:paraId="08A88A21" w14:textId="0FE7627C" w:rsidR="00BF38CA" w:rsidRDefault="00BF38CA">
          <w:pPr>
            <w:pStyle w:val="TM2"/>
            <w:tabs>
              <w:tab w:val="right" w:pos="9500"/>
            </w:tabs>
            <w:rPr>
              <w:rFonts w:asciiTheme="minorHAnsi" w:eastAsiaTheme="minorEastAsia" w:hAnsiTheme="minorHAnsi" w:cstheme="minorBidi"/>
              <w:noProof/>
              <w:kern w:val="2"/>
              <w:sz w:val="24"/>
              <w:szCs w:val="24"/>
              <w14:ligatures w14:val="standardContextual"/>
            </w:rPr>
          </w:pPr>
          <w:hyperlink w:anchor="_Toc196230182" w:history="1">
            <w:r w:rsidRPr="008077B2">
              <w:rPr>
                <w:rStyle w:val="Lienhypertexte"/>
                <w:noProof/>
              </w:rPr>
              <w:t>11.1 Renseignements généraux</w:t>
            </w:r>
            <w:r>
              <w:rPr>
                <w:noProof/>
                <w:webHidden/>
              </w:rPr>
              <w:tab/>
            </w:r>
            <w:r>
              <w:rPr>
                <w:noProof/>
                <w:webHidden/>
              </w:rPr>
              <w:fldChar w:fldCharType="begin"/>
            </w:r>
            <w:r>
              <w:rPr>
                <w:noProof/>
                <w:webHidden/>
              </w:rPr>
              <w:instrText xml:space="preserve"> PAGEREF _Toc196230182 \h </w:instrText>
            </w:r>
            <w:r>
              <w:rPr>
                <w:noProof/>
                <w:webHidden/>
              </w:rPr>
            </w:r>
            <w:r>
              <w:rPr>
                <w:noProof/>
                <w:webHidden/>
              </w:rPr>
              <w:fldChar w:fldCharType="separate"/>
            </w:r>
            <w:r>
              <w:rPr>
                <w:noProof/>
                <w:webHidden/>
              </w:rPr>
              <w:t>11</w:t>
            </w:r>
            <w:r>
              <w:rPr>
                <w:noProof/>
                <w:webHidden/>
              </w:rPr>
              <w:fldChar w:fldCharType="end"/>
            </w:r>
          </w:hyperlink>
        </w:p>
        <w:p w14:paraId="44C7BB67" w14:textId="41DA4F0F" w:rsidR="00BF38CA" w:rsidRDefault="00BF38CA">
          <w:pPr>
            <w:pStyle w:val="TM2"/>
            <w:tabs>
              <w:tab w:val="right" w:pos="9500"/>
            </w:tabs>
            <w:rPr>
              <w:rFonts w:asciiTheme="minorHAnsi" w:eastAsiaTheme="minorEastAsia" w:hAnsiTheme="minorHAnsi" w:cstheme="minorBidi"/>
              <w:noProof/>
              <w:kern w:val="2"/>
              <w:sz w:val="24"/>
              <w:szCs w:val="24"/>
              <w14:ligatures w14:val="standardContextual"/>
            </w:rPr>
          </w:pPr>
          <w:hyperlink w:anchor="_Toc196230183" w:history="1">
            <w:r w:rsidRPr="008077B2">
              <w:rPr>
                <w:rStyle w:val="Lienhypertexte"/>
                <w:noProof/>
              </w:rPr>
              <w:t>11.2 Renseignements relatifs à la capacité économique et financière</w:t>
            </w:r>
            <w:r>
              <w:rPr>
                <w:noProof/>
                <w:webHidden/>
              </w:rPr>
              <w:tab/>
            </w:r>
            <w:r>
              <w:rPr>
                <w:noProof/>
                <w:webHidden/>
              </w:rPr>
              <w:fldChar w:fldCharType="begin"/>
            </w:r>
            <w:r>
              <w:rPr>
                <w:noProof/>
                <w:webHidden/>
              </w:rPr>
              <w:instrText xml:space="preserve"> PAGEREF _Toc196230183 \h </w:instrText>
            </w:r>
            <w:r>
              <w:rPr>
                <w:noProof/>
                <w:webHidden/>
              </w:rPr>
            </w:r>
            <w:r>
              <w:rPr>
                <w:noProof/>
                <w:webHidden/>
              </w:rPr>
              <w:fldChar w:fldCharType="separate"/>
            </w:r>
            <w:r>
              <w:rPr>
                <w:noProof/>
                <w:webHidden/>
              </w:rPr>
              <w:t>11</w:t>
            </w:r>
            <w:r>
              <w:rPr>
                <w:noProof/>
                <w:webHidden/>
              </w:rPr>
              <w:fldChar w:fldCharType="end"/>
            </w:r>
          </w:hyperlink>
        </w:p>
        <w:p w14:paraId="3D6D26B9" w14:textId="70628CDA" w:rsidR="00BF38CA" w:rsidRDefault="00BF38CA">
          <w:pPr>
            <w:pStyle w:val="TM2"/>
            <w:tabs>
              <w:tab w:val="left" w:pos="960"/>
              <w:tab w:val="right" w:pos="9500"/>
            </w:tabs>
            <w:rPr>
              <w:rFonts w:asciiTheme="minorHAnsi" w:eastAsiaTheme="minorEastAsia" w:hAnsiTheme="minorHAnsi" w:cstheme="minorBidi"/>
              <w:noProof/>
              <w:kern w:val="2"/>
              <w:sz w:val="24"/>
              <w:szCs w:val="24"/>
              <w14:ligatures w14:val="standardContextual"/>
            </w:rPr>
          </w:pPr>
          <w:hyperlink w:anchor="_Toc196230184" w:history="1">
            <w:r w:rsidRPr="008077B2">
              <w:rPr>
                <w:rStyle w:val="Lienhypertexte"/>
                <w:noProof/>
              </w:rPr>
              <w:t>11.3</w:t>
            </w:r>
            <w:r>
              <w:rPr>
                <w:rFonts w:asciiTheme="minorHAnsi" w:eastAsiaTheme="minorEastAsia" w:hAnsiTheme="minorHAnsi" w:cstheme="minorBidi"/>
                <w:noProof/>
                <w:kern w:val="2"/>
                <w:sz w:val="24"/>
                <w:szCs w:val="24"/>
                <w14:ligatures w14:val="standardContextual"/>
              </w:rPr>
              <w:tab/>
            </w:r>
            <w:r w:rsidRPr="008077B2">
              <w:rPr>
                <w:rStyle w:val="Lienhypertexte"/>
                <w:noProof/>
              </w:rPr>
              <w:t>Renseignements relatifs aux capacités techniques et professionnelles.</w:t>
            </w:r>
            <w:r>
              <w:rPr>
                <w:noProof/>
                <w:webHidden/>
              </w:rPr>
              <w:tab/>
            </w:r>
            <w:r>
              <w:rPr>
                <w:noProof/>
                <w:webHidden/>
              </w:rPr>
              <w:fldChar w:fldCharType="begin"/>
            </w:r>
            <w:r>
              <w:rPr>
                <w:noProof/>
                <w:webHidden/>
              </w:rPr>
              <w:instrText xml:space="preserve"> PAGEREF _Toc196230184 \h </w:instrText>
            </w:r>
            <w:r>
              <w:rPr>
                <w:noProof/>
                <w:webHidden/>
              </w:rPr>
            </w:r>
            <w:r>
              <w:rPr>
                <w:noProof/>
                <w:webHidden/>
              </w:rPr>
              <w:fldChar w:fldCharType="separate"/>
            </w:r>
            <w:r>
              <w:rPr>
                <w:noProof/>
                <w:webHidden/>
              </w:rPr>
              <w:t>11</w:t>
            </w:r>
            <w:r>
              <w:rPr>
                <w:noProof/>
                <w:webHidden/>
              </w:rPr>
              <w:fldChar w:fldCharType="end"/>
            </w:r>
          </w:hyperlink>
        </w:p>
        <w:p w14:paraId="1F736BEA" w14:textId="42D477CF" w:rsidR="00BF38CA" w:rsidRDefault="00BF38CA">
          <w:pPr>
            <w:pStyle w:val="TM1"/>
            <w:tabs>
              <w:tab w:val="right" w:pos="9500"/>
            </w:tabs>
            <w:rPr>
              <w:rFonts w:asciiTheme="minorHAnsi" w:eastAsiaTheme="minorEastAsia" w:hAnsiTheme="minorHAnsi" w:cstheme="minorBidi"/>
              <w:noProof/>
              <w:kern w:val="2"/>
              <w:sz w:val="24"/>
              <w:szCs w:val="24"/>
              <w14:ligatures w14:val="standardContextual"/>
            </w:rPr>
          </w:pPr>
          <w:hyperlink w:anchor="_Toc196230185" w:history="1">
            <w:r w:rsidRPr="008077B2">
              <w:rPr>
                <w:rStyle w:val="Lienhypertexte"/>
                <w:noProof/>
              </w:rPr>
              <w:t>Article 12 – Pièces de l’offre</w:t>
            </w:r>
            <w:r>
              <w:rPr>
                <w:noProof/>
                <w:webHidden/>
              </w:rPr>
              <w:tab/>
            </w:r>
            <w:r>
              <w:rPr>
                <w:noProof/>
                <w:webHidden/>
              </w:rPr>
              <w:fldChar w:fldCharType="begin"/>
            </w:r>
            <w:r>
              <w:rPr>
                <w:noProof/>
                <w:webHidden/>
              </w:rPr>
              <w:instrText xml:space="preserve"> PAGEREF _Toc196230185 \h </w:instrText>
            </w:r>
            <w:r>
              <w:rPr>
                <w:noProof/>
                <w:webHidden/>
              </w:rPr>
            </w:r>
            <w:r>
              <w:rPr>
                <w:noProof/>
                <w:webHidden/>
              </w:rPr>
              <w:fldChar w:fldCharType="separate"/>
            </w:r>
            <w:r>
              <w:rPr>
                <w:noProof/>
                <w:webHidden/>
              </w:rPr>
              <w:t>12</w:t>
            </w:r>
            <w:r>
              <w:rPr>
                <w:noProof/>
                <w:webHidden/>
              </w:rPr>
              <w:fldChar w:fldCharType="end"/>
            </w:r>
          </w:hyperlink>
        </w:p>
        <w:p w14:paraId="29FFA848" w14:textId="259B370E" w:rsidR="00BF38CA" w:rsidRDefault="00BF38CA">
          <w:pPr>
            <w:pStyle w:val="TM2"/>
            <w:tabs>
              <w:tab w:val="right" w:pos="9500"/>
            </w:tabs>
            <w:rPr>
              <w:rFonts w:asciiTheme="minorHAnsi" w:eastAsiaTheme="minorEastAsia" w:hAnsiTheme="minorHAnsi" w:cstheme="minorBidi"/>
              <w:noProof/>
              <w:kern w:val="2"/>
              <w:sz w:val="24"/>
              <w:szCs w:val="24"/>
              <w14:ligatures w14:val="standardContextual"/>
            </w:rPr>
          </w:pPr>
          <w:hyperlink w:anchor="_Toc196230186" w:history="1">
            <w:r w:rsidRPr="008077B2">
              <w:rPr>
                <w:rStyle w:val="Lienhypertexte"/>
                <w:noProof/>
              </w:rPr>
              <w:t>12.1 Offre financière du candidat</w:t>
            </w:r>
            <w:r>
              <w:rPr>
                <w:noProof/>
                <w:webHidden/>
              </w:rPr>
              <w:tab/>
            </w:r>
            <w:r>
              <w:rPr>
                <w:noProof/>
                <w:webHidden/>
              </w:rPr>
              <w:fldChar w:fldCharType="begin"/>
            </w:r>
            <w:r>
              <w:rPr>
                <w:noProof/>
                <w:webHidden/>
              </w:rPr>
              <w:instrText xml:space="preserve"> PAGEREF _Toc196230186 \h </w:instrText>
            </w:r>
            <w:r>
              <w:rPr>
                <w:noProof/>
                <w:webHidden/>
              </w:rPr>
            </w:r>
            <w:r>
              <w:rPr>
                <w:noProof/>
                <w:webHidden/>
              </w:rPr>
              <w:fldChar w:fldCharType="separate"/>
            </w:r>
            <w:r>
              <w:rPr>
                <w:noProof/>
                <w:webHidden/>
              </w:rPr>
              <w:t>12</w:t>
            </w:r>
            <w:r>
              <w:rPr>
                <w:noProof/>
                <w:webHidden/>
              </w:rPr>
              <w:fldChar w:fldCharType="end"/>
            </w:r>
          </w:hyperlink>
        </w:p>
        <w:p w14:paraId="4FE79571" w14:textId="5258E67D" w:rsidR="00BF38CA" w:rsidRDefault="00BF38CA">
          <w:pPr>
            <w:pStyle w:val="TM2"/>
            <w:tabs>
              <w:tab w:val="right" w:pos="9500"/>
            </w:tabs>
            <w:rPr>
              <w:rFonts w:asciiTheme="minorHAnsi" w:eastAsiaTheme="minorEastAsia" w:hAnsiTheme="minorHAnsi" w:cstheme="minorBidi"/>
              <w:noProof/>
              <w:kern w:val="2"/>
              <w:sz w:val="24"/>
              <w:szCs w:val="24"/>
              <w14:ligatures w14:val="standardContextual"/>
            </w:rPr>
          </w:pPr>
          <w:hyperlink w:anchor="_Toc196230187" w:history="1">
            <w:r w:rsidRPr="008077B2">
              <w:rPr>
                <w:rStyle w:val="Lienhypertexte"/>
                <w:noProof/>
              </w:rPr>
              <w:t>12.2 Offre technique du candidat</w:t>
            </w:r>
            <w:r>
              <w:rPr>
                <w:noProof/>
                <w:webHidden/>
              </w:rPr>
              <w:tab/>
            </w:r>
            <w:r>
              <w:rPr>
                <w:noProof/>
                <w:webHidden/>
              </w:rPr>
              <w:fldChar w:fldCharType="begin"/>
            </w:r>
            <w:r>
              <w:rPr>
                <w:noProof/>
                <w:webHidden/>
              </w:rPr>
              <w:instrText xml:space="preserve"> PAGEREF _Toc196230187 \h </w:instrText>
            </w:r>
            <w:r>
              <w:rPr>
                <w:noProof/>
                <w:webHidden/>
              </w:rPr>
            </w:r>
            <w:r>
              <w:rPr>
                <w:noProof/>
                <w:webHidden/>
              </w:rPr>
              <w:fldChar w:fldCharType="separate"/>
            </w:r>
            <w:r>
              <w:rPr>
                <w:noProof/>
                <w:webHidden/>
              </w:rPr>
              <w:t>14</w:t>
            </w:r>
            <w:r>
              <w:rPr>
                <w:noProof/>
                <w:webHidden/>
              </w:rPr>
              <w:fldChar w:fldCharType="end"/>
            </w:r>
          </w:hyperlink>
        </w:p>
        <w:p w14:paraId="025CEE3D" w14:textId="20B454D3" w:rsidR="00BF38CA" w:rsidRDefault="00BF38CA">
          <w:pPr>
            <w:pStyle w:val="TM1"/>
            <w:tabs>
              <w:tab w:val="right" w:pos="9500"/>
            </w:tabs>
            <w:rPr>
              <w:rFonts w:asciiTheme="minorHAnsi" w:eastAsiaTheme="minorEastAsia" w:hAnsiTheme="minorHAnsi" w:cstheme="minorBidi"/>
              <w:noProof/>
              <w:kern w:val="2"/>
              <w:sz w:val="24"/>
              <w:szCs w:val="24"/>
              <w14:ligatures w14:val="standardContextual"/>
            </w:rPr>
          </w:pPr>
          <w:hyperlink w:anchor="_Toc196230188" w:history="1">
            <w:r w:rsidRPr="008077B2">
              <w:rPr>
                <w:rStyle w:val="Lienhypertexte"/>
                <w:noProof/>
              </w:rPr>
              <w:t>Article 13 - Procédure</w:t>
            </w:r>
            <w:r>
              <w:rPr>
                <w:noProof/>
                <w:webHidden/>
              </w:rPr>
              <w:tab/>
            </w:r>
            <w:r>
              <w:rPr>
                <w:noProof/>
                <w:webHidden/>
              </w:rPr>
              <w:fldChar w:fldCharType="begin"/>
            </w:r>
            <w:r>
              <w:rPr>
                <w:noProof/>
                <w:webHidden/>
              </w:rPr>
              <w:instrText xml:space="preserve"> PAGEREF _Toc196230188 \h </w:instrText>
            </w:r>
            <w:r>
              <w:rPr>
                <w:noProof/>
                <w:webHidden/>
              </w:rPr>
            </w:r>
            <w:r>
              <w:rPr>
                <w:noProof/>
                <w:webHidden/>
              </w:rPr>
              <w:fldChar w:fldCharType="separate"/>
            </w:r>
            <w:r>
              <w:rPr>
                <w:noProof/>
                <w:webHidden/>
              </w:rPr>
              <w:t>14</w:t>
            </w:r>
            <w:r>
              <w:rPr>
                <w:noProof/>
                <w:webHidden/>
              </w:rPr>
              <w:fldChar w:fldCharType="end"/>
            </w:r>
          </w:hyperlink>
        </w:p>
        <w:p w14:paraId="422C5A00" w14:textId="6B50A22E" w:rsidR="00BF38CA" w:rsidRDefault="00BF38CA">
          <w:pPr>
            <w:pStyle w:val="TM2"/>
            <w:tabs>
              <w:tab w:val="right" w:pos="9500"/>
            </w:tabs>
            <w:rPr>
              <w:rFonts w:asciiTheme="minorHAnsi" w:eastAsiaTheme="minorEastAsia" w:hAnsiTheme="minorHAnsi" w:cstheme="minorBidi"/>
              <w:noProof/>
              <w:kern w:val="2"/>
              <w:sz w:val="24"/>
              <w:szCs w:val="24"/>
              <w14:ligatures w14:val="standardContextual"/>
            </w:rPr>
          </w:pPr>
          <w:hyperlink w:anchor="_Toc196230189" w:history="1">
            <w:r w:rsidRPr="008077B2">
              <w:rPr>
                <w:rStyle w:val="Lienhypertexte"/>
                <w:noProof/>
              </w:rPr>
              <w:t>13.1 Examen des candidatures</w:t>
            </w:r>
            <w:r>
              <w:rPr>
                <w:noProof/>
                <w:webHidden/>
              </w:rPr>
              <w:tab/>
            </w:r>
            <w:r>
              <w:rPr>
                <w:noProof/>
                <w:webHidden/>
              </w:rPr>
              <w:fldChar w:fldCharType="begin"/>
            </w:r>
            <w:r>
              <w:rPr>
                <w:noProof/>
                <w:webHidden/>
              </w:rPr>
              <w:instrText xml:space="preserve"> PAGEREF _Toc196230189 \h </w:instrText>
            </w:r>
            <w:r>
              <w:rPr>
                <w:noProof/>
                <w:webHidden/>
              </w:rPr>
            </w:r>
            <w:r>
              <w:rPr>
                <w:noProof/>
                <w:webHidden/>
              </w:rPr>
              <w:fldChar w:fldCharType="separate"/>
            </w:r>
            <w:r>
              <w:rPr>
                <w:noProof/>
                <w:webHidden/>
              </w:rPr>
              <w:t>14</w:t>
            </w:r>
            <w:r>
              <w:rPr>
                <w:noProof/>
                <w:webHidden/>
              </w:rPr>
              <w:fldChar w:fldCharType="end"/>
            </w:r>
          </w:hyperlink>
        </w:p>
        <w:p w14:paraId="3A85828D" w14:textId="2751615D" w:rsidR="00BF38CA" w:rsidRDefault="00BF38CA">
          <w:pPr>
            <w:pStyle w:val="TM2"/>
            <w:tabs>
              <w:tab w:val="right" w:pos="9500"/>
            </w:tabs>
            <w:rPr>
              <w:rFonts w:asciiTheme="minorHAnsi" w:eastAsiaTheme="minorEastAsia" w:hAnsiTheme="minorHAnsi" w:cstheme="minorBidi"/>
              <w:noProof/>
              <w:kern w:val="2"/>
              <w:sz w:val="24"/>
              <w:szCs w:val="24"/>
              <w14:ligatures w14:val="standardContextual"/>
            </w:rPr>
          </w:pPr>
          <w:hyperlink w:anchor="_Toc196230190" w:history="1">
            <w:r w:rsidRPr="008077B2">
              <w:rPr>
                <w:rStyle w:val="Lienhypertexte"/>
                <w:noProof/>
              </w:rPr>
              <w:t>13.2 Critères de sélection des offres</w:t>
            </w:r>
            <w:r>
              <w:rPr>
                <w:noProof/>
                <w:webHidden/>
              </w:rPr>
              <w:tab/>
            </w:r>
            <w:r>
              <w:rPr>
                <w:noProof/>
                <w:webHidden/>
              </w:rPr>
              <w:fldChar w:fldCharType="begin"/>
            </w:r>
            <w:r>
              <w:rPr>
                <w:noProof/>
                <w:webHidden/>
              </w:rPr>
              <w:instrText xml:space="preserve"> PAGEREF _Toc196230190 \h </w:instrText>
            </w:r>
            <w:r>
              <w:rPr>
                <w:noProof/>
                <w:webHidden/>
              </w:rPr>
            </w:r>
            <w:r>
              <w:rPr>
                <w:noProof/>
                <w:webHidden/>
              </w:rPr>
              <w:fldChar w:fldCharType="separate"/>
            </w:r>
            <w:r>
              <w:rPr>
                <w:noProof/>
                <w:webHidden/>
              </w:rPr>
              <w:t>15</w:t>
            </w:r>
            <w:r>
              <w:rPr>
                <w:noProof/>
                <w:webHidden/>
              </w:rPr>
              <w:fldChar w:fldCharType="end"/>
            </w:r>
          </w:hyperlink>
        </w:p>
        <w:p w14:paraId="2EEE2FD1" w14:textId="75A9A425" w:rsidR="00BF38CA" w:rsidRDefault="00BF38CA">
          <w:pPr>
            <w:pStyle w:val="TM2"/>
            <w:tabs>
              <w:tab w:val="right" w:pos="9500"/>
            </w:tabs>
            <w:rPr>
              <w:rFonts w:asciiTheme="minorHAnsi" w:eastAsiaTheme="minorEastAsia" w:hAnsiTheme="minorHAnsi" w:cstheme="minorBidi"/>
              <w:noProof/>
              <w:kern w:val="2"/>
              <w:sz w:val="24"/>
              <w:szCs w:val="24"/>
              <w14:ligatures w14:val="standardContextual"/>
            </w:rPr>
          </w:pPr>
          <w:hyperlink w:anchor="_Toc196230191" w:history="1">
            <w:r w:rsidRPr="008077B2">
              <w:rPr>
                <w:rStyle w:val="Lienhypertexte"/>
                <w:noProof/>
              </w:rPr>
              <w:t>13.3 Attribution de la concession</w:t>
            </w:r>
            <w:r>
              <w:rPr>
                <w:noProof/>
                <w:webHidden/>
              </w:rPr>
              <w:tab/>
            </w:r>
            <w:r>
              <w:rPr>
                <w:noProof/>
                <w:webHidden/>
              </w:rPr>
              <w:fldChar w:fldCharType="begin"/>
            </w:r>
            <w:r>
              <w:rPr>
                <w:noProof/>
                <w:webHidden/>
              </w:rPr>
              <w:instrText xml:space="preserve"> PAGEREF _Toc196230191 \h </w:instrText>
            </w:r>
            <w:r>
              <w:rPr>
                <w:noProof/>
                <w:webHidden/>
              </w:rPr>
            </w:r>
            <w:r>
              <w:rPr>
                <w:noProof/>
                <w:webHidden/>
              </w:rPr>
              <w:fldChar w:fldCharType="separate"/>
            </w:r>
            <w:r>
              <w:rPr>
                <w:noProof/>
                <w:webHidden/>
              </w:rPr>
              <w:t>15</w:t>
            </w:r>
            <w:r>
              <w:rPr>
                <w:noProof/>
                <w:webHidden/>
              </w:rPr>
              <w:fldChar w:fldCharType="end"/>
            </w:r>
          </w:hyperlink>
        </w:p>
        <w:p w14:paraId="02AD418B" w14:textId="20929A46" w:rsidR="00BF38CA" w:rsidRDefault="00BF38CA">
          <w:pPr>
            <w:pStyle w:val="TM1"/>
            <w:tabs>
              <w:tab w:val="right" w:pos="9500"/>
            </w:tabs>
            <w:rPr>
              <w:rFonts w:asciiTheme="minorHAnsi" w:eastAsiaTheme="minorEastAsia" w:hAnsiTheme="minorHAnsi" w:cstheme="minorBidi"/>
              <w:noProof/>
              <w:kern w:val="2"/>
              <w:sz w:val="24"/>
              <w:szCs w:val="24"/>
              <w14:ligatures w14:val="standardContextual"/>
            </w:rPr>
          </w:pPr>
          <w:hyperlink w:anchor="_Toc196230192" w:history="1">
            <w:r w:rsidRPr="008077B2">
              <w:rPr>
                <w:rStyle w:val="Lienhypertexte"/>
                <w:noProof/>
              </w:rPr>
              <w:t>Article 14 - Négociation</w:t>
            </w:r>
            <w:r>
              <w:rPr>
                <w:noProof/>
                <w:webHidden/>
              </w:rPr>
              <w:tab/>
            </w:r>
            <w:r>
              <w:rPr>
                <w:noProof/>
                <w:webHidden/>
              </w:rPr>
              <w:fldChar w:fldCharType="begin"/>
            </w:r>
            <w:r>
              <w:rPr>
                <w:noProof/>
                <w:webHidden/>
              </w:rPr>
              <w:instrText xml:space="preserve"> PAGEREF _Toc196230192 \h </w:instrText>
            </w:r>
            <w:r>
              <w:rPr>
                <w:noProof/>
                <w:webHidden/>
              </w:rPr>
            </w:r>
            <w:r>
              <w:rPr>
                <w:noProof/>
                <w:webHidden/>
              </w:rPr>
              <w:fldChar w:fldCharType="separate"/>
            </w:r>
            <w:r>
              <w:rPr>
                <w:noProof/>
                <w:webHidden/>
              </w:rPr>
              <w:t>16</w:t>
            </w:r>
            <w:r>
              <w:rPr>
                <w:noProof/>
                <w:webHidden/>
              </w:rPr>
              <w:fldChar w:fldCharType="end"/>
            </w:r>
          </w:hyperlink>
        </w:p>
        <w:p w14:paraId="4BB81217" w14:textId="73C56490" w:rsidR="00BF38CA" w:rsidRDefault="00BF38CA">
          <w:pPr>
            <w:pStyle w:val="TM1"/>
            <w:tabs>
              <w:tab w:val="right" w:pos="9500"/>
            </w:tabs>
            <w:rPr>
              <w:rFonts w:asciiTheme="minorHAnsi" w:eastAsiaTheme="minorEastAsia" w:hAnsiTheme="minorHAnsi" w:cstheme="minorBidi"/>
              <w:noProof/>
              <w:kern w:val="2"/>
              <w:sz w:val="24"/>
              <w:szCs w:val="24"/>
              <w14:ligatures w14:val="standardContextual"/>
            </w:rPr>
          </w:pPr>
          <w:hyperlink w:anchor="_Toc196230193" w:history="1">
            <w:r w:rsidRPr="008077B2">
              <w:rPr>
                <w:rStyle w:val="Lienhypertexte"/>
                <w:noProof/>
              </w:rPr>
              <w:t>Article 15 - Mise au point du contrat de concession</w:t>
            </w:r>
            <w:r>
              <w:rPr>
                <w:noProof/>
                <w:webHidden/>
              </w:rPr>
              <w:tab/>
            </w:r>
            <w:r>
              <w:rPr>
                <w:noProof/>
                <w:webHidden/>
              </w:rPr>
              <w:fldChar w:fldCharType="begin"/>
            </w:r>
            <w:r>
              <w:rPr>
                <w:noProof/>
                <w:webHidden/>
              </w:rPr>
              <w:instrText xml:space="preserve"> PAGEREF _Toc196230193 \h </w:instrText>
            </w:r>
            <w:r>
              <w:rPr>
                <w:noProof/>
                <w:webHidden/>
              </w:rPr>
            </w:r>
            <w:r>
              <w:rPr>
                <w:noProof/>
                <w:webHidden/>
              </w:rPr>
              <w:fldChar w:fldCharType="separate"/>
            </w:r>
            <w:r>
              <w:rPr>
                <w:noProof/>
                <w:webHidden/>
              </w:rPr>
              <w:t>17</w:t>
            </w:r>
            <w:r>
              <w:rPr>
                <w:noProof/>
                <w:webHidden/>
              </w:rPr>
              <w:fldChar w:fldCharType="end"/>
            </w:r>
          </w:hyperlink>
        </w:p>
        <w:p w14:paraId="6F9AD6B8" w14:textId="2A6F30F0" w:rsidR="00BF38CA" w:rsidRDefault="00BF38CA">
          <w:pPr>
            <w:pStyle w:val="TM1"/>
            <w:tabs>
              <w:tab w:val="right" w:pos="9500"/>
            </w:tabs>
            <w:rPr>
              <w:rFonts w:asciiTheme="minorHAnsi" w:eastAsiaTheme="minorEastAsia" w:hAnsiTheme="minorHAnsi" w:cstheme="minorBidi"/>
              <w:noProof/>
              <w:kern w:val="2"/>
              <w:sz w:val="24"/>
              <w:szCs w:val="24"/>
              <w14:ligatures w14:val="standardContextual"/>
            </w:rPr>
          </w:pPr>
          <w:hyperlink w:anchor="_Toc196230194" w:history="1">
            <w:r w:rsidRPr="008077B2">
              <w:rPr>
                <w:rStyle w:val="Lienhypertexte"/>
                <w:noProof/>
              </w:rPr>
              <w:t>Article 16 - Abandon de la consultation</w:t>
            </w:r>
            <w:r>
              <w:rPr>
                <w:noProof/>
                <w:webHidden/>
              </w:rPr>
              <w:tab/>
            </w:r>
            <w:r>
              <w:rPr>
                <w:noProof/>
                <w:webHidden/>
              </w:rPr>
              <w:fldChar w:fldCharType="begin"/>
            </w:r>
            <w:r>
              <w:rPr>
                <w:noProof/>
                <w:webHidden/>
              </w:rPr>
              <w:instrText xml:space="preserve"> PAGEREF _Toc196230194 \h </w:instrText>
            </w:r>
            <w:r>
              <w:rPr>
                <w:noProof/>
                <w:webHidden/>
              </w:rPr>
            </w:r>
            <w:r>
              <w:rPr>
                <w:noProof/>
                <w:webHidden/>
              </w:rPr>
              <w:fldChar w:fldCharType="separate"/>
            </w:r>
            <w:r>
              <w:rPr>
                <w:noProof/>
                <w:webHidden/>
              </w:rPr>
              <w:t>17</w:t>
            </w:r>
            <w:r>
              <w:rPr>
                <w:noProof/>
                <w:webHidden/>
              </w:rPr>
              <w:fldChar w:fldCharType="end"/>
            </w:r>
          </w:hyperlink>
        </w:p>
        <w:p w14:paraId="222C43F0" w14:textId="1C7DCC3A" w:rsidR="00BF38CA" w:rsidRDefault="00BF38CA">
          <w:pPr>
            <w:pStyle w:val="TM1"/>
            <w:tabs>
              <w:tab w:val="right" w:pos="9500"/>
            </w:tabs>
            <w:rPr>
              <w:rFonts w:asciiTheme="minorHAnsi" w:eastAsiaTheme="minorEastAsia" w:hAnsiTheme="minorHAnsi" w:cstheme="minorBidi"/>
              <w:noProof/>
              <w:kern w:val="2"/>
              <w:sz w:val="24"/>
              <w:szCs w:val="24"/>
              <w14:ligatures w14:val="standardContextual"/>
            </w:rPr>
          </w:pPr>
          <w:hyperlink w:anchor="_Toc196230195" w:history="1">
            <w:r w:rsidRPr="008077B2">
              <w:rPr>
                <w:rStyle w:val="Lienhypertexte"/>
                <w:noProof/>
              </w:rPr>
              <w:t>Article 17 - Renseignements complémentaires</w:t>
            </w:r>
            <w:r>
              <w:rPr>
                <w:noProof/>
                <w:webHidden/>
              </w:rPr>
              <w:tab/>
            </w:r>
            <w:r>
              <w:rPr>
                <w:noProof/>
                <w:webHidden/>
              </w:rPr>
              <w:fldChar w:fldCharType="begin"/>
            </w:r>
            <w:r>
              <w:rPr>
                <w:noProof/>
                <w:webHidden/>
              </w:rPr>
              <w:instrText xml:space="preserve"> PAGEREF _Toc196230195 \h </w:instrText>
            </w:r>
            <w:r>
              <w:rPr>
                <w:noProof/>
                <w:webHidden/>
              </w:rPr>
            </w:r>
            <w:r>
              <w:rPr>
                <w:noProof/>
                <w:webHidden/>
              </w:rPr>
              <w:fldChar w:fldCharType="separate"/>
            </w:r>
            <w:r>
              <w:rPr>
                <w:noProof/>
                <w:webHidden/>
              </w:rPr>
              <w:t>17</w:t>
            </w:r>
            <w:r>
              <w:rPr>
                <w:noProof/>
                <w:webHidden/>
              </w:rPr>
              <w:fldChar w:fldCharType="end"/>
            </w:r>
          </w:hyperlink>
        </w:p>
        <w:p w14:paraId="173701AB" w14:textId="26C0670E" w:rsidR="00BF38CA" w:rsidRDefault="00BF38CA">
          <w:pPr>
            <w:pStyle w:val="TM2"/>
            <w:tabs>
              <w:tab w:val="right" w:pos="9500"/>
            </w:tabs>
            <w:rPr>
              <w:rFonts w:asciiTheme="minorHAnsi" w:eastAsiaTheme="minorEastAsia" w:hAnsiTheme="minorHAnsi" w:cstheme="minorBidi"/>
              <w:noProof/>
              <w:kern w:val="2"/>
              <w:sz w:val="24"/>
              <w:szCs w:val="24"/>
              <w14:ligatures w14:val="standardContextual"/>
            </w:rPr>
          </w:pPr>
          <w:hyperlink w:anchor="_Toc196230196" w:history="1">
            <w:r w:rsidRPr="008077B2">
              <w:rPr>
                <w:rStyle w:val="Lienhypertexte"/>
                <w:noProof/>
              </w:rPr>
              <w:t>17.1 Modification de détail au dossier de consultation</w:t>
            </w:r>
            <w:r>
              <w:rPr>
                <w:noProof/>
                <w:webHidden/>
              </w:rPr>
              <w:tab/>
            </w:r>
            <w:r>
              <w:rPr>
                <w:noProof/>
                <w:webHidden/>
              </w:rPr>
              <w:fldChar w:fldCharType="begin"/>
            </w:r>
            <w:r>
              <w:rPr>
                <w:noProof/>
                <w:webHidden/>
              </w:rPr>
              <w:instrText xml:space="preserve"> PAGEREF _Toc196230196 \h </w:instrText>
            </w:r>
            <w:r>
              <w:rPr>
                <w:noProof/>
                <w:webHidden/>
              </w:rPr>
            </w:r>
            <w:r>
              <w:rPr>
                <w:noProof/>
                <w:webHidden/>
              </w:rPr>
              <w:fldChar w:fldCharType="separate"/>
            </w:r>
            <w:r>
              <w:rPr>
                <w:noProof/>
                <w:webHidden/>
              </w:rPr>
              <w:t>17</w:t>
            </w:r>
            <w:r>
              <w:rPr>
                <w:noProof/>
                <w:webHidden/>
              </w:rPr>
              <w:fldChar w:fldCharType="end"/>
            </w:r>
          </w:hyperlink>
        </w:p>
        <w:p w14:paraId="3447A86E" w14:textId="3CB76924" w:rsidR="00BF38CA" w:rsidRDefault="00BF38CA">
          <w:pPr>
            <w:pStyle w:val="TM2"/>
            <w:tabs>
              <w:tab w:val="right" w:pos="9500"/>
            </w:tabs>
            <w:rPr>
              <w:rFonts w:asciiTheme="minorHAnsi" w:eastAsiaTheme="minorEastAsia" w:hAnsiTheme="minorHAnsi" w:cstheme="minorBidi"/>
              <w:noProof/>
              <w:kern w:val="2"/>
              <w:sz w:val="24"/>
              <w:szCs w:val="24"/>
              <w14:ligatures w14:val="standardContextual"/>
            </w:rPr>
          </w:pPr>
          <w:hyperlink w:anchor="_Toc196230197" w:history="1">
            <w:r w:rsidRPr="008077B2">
              <w:rPr>
                <w:rStyle w:val="Lienhypertexte"/>
                <w:noProof/>
              </w:rPr>
              <w:t>17.2 Dispositions applicables en cas de Concessionnaire Etranger</w:t>
            </w:r>
            <w:r>
              <w:rPr>
                <w:noProof/>
                <w:webHidden/>
              </w:rPr>
              <w:tab/>
            </w:r>
            <w:r>
              <w:rPr>
                <w:noProof/>
                <w:webHidden/>
              </w:rPr>
              <w:fldChar w:fldCharType="begin"/>
            </w:r>
            <w:r>
              <w:rPr>
                <w:noProof/>
                <w:webHidden/>
              </w:rPr>
              <w:instrText xml:space="preserve"> PAGEREF _Toc196230197 \h </w:instrText>
            </w:r>
            <w:r>
              <w:rPr>
                <w:noProof/>
                <w:webHidden/>
              </w:rPr>
            </w:r>
            <w:r>
              <w:rPr>
                <w:noProof/>
                <w:webHidden/>
              </w:rPr>
              <w:fldChar w:fldCharType="separate"/>
            </w:r>
            <w:r>
              <w:rPr>
                <w:noProof/>
                <w:webHidden/>
              </w:rPr>
              <w:t>18</w:t>
            </w:r>
            <w:r>
              <w:rPr>
                <w:noProof/>
                <w:webHidden/>
              </w:rPr>
              <w:fldChar w:fldCharType="end"/>
            </w:r>
          </w:hyperlink>
        </w:p>
        <w:p w14:paraId="3C155D5A" w14:textId="5B5BD323" w:rsidR="00BF38CA" w:rsidRDefault="00BF38CA">
          <w:pPr>
            <w:pStyle w:val="TM2"/>
            <w:tabs>
              <w:tab w:val="right" w:pos="9500"/>
            </w:tabs>
            <w:rPr>
              <w:rFonts w:asciiTheme="minorHAnsi" w:eastAsiaTheme="minorEastAsia" w:hAnsiTheme="minorHAnsi" w:cstheme="minorBidi"/>
              <w:noProof/>
              <w:kern w:val="2"/>
              <w:sz w:val="24"/>
              <w:szCs w:val="24"/>
              <w14:ligatures w14:val="standardContextual"/>
            </w:rPr>
          </w:pPr>
          <w:hyperlink w:anchor="_Toc196230198" w:history="1">
            <w:r w:rsidRPr="008077B2">
              <w:rPr>
                <w:rStyle w:val="Lienhypertexte"/>
                <w:noProof/>
              </w:rPr>
              <w:t>17.3 Rappel des règles relatives à la concurrence</w:t>
            </w:r>
            <w:r>
              <w:rPr>
                <w:noProof/>
                <w:webHidden/>
              </w:rPr>
              <w:tab/>
            </w:r>
            <w:r>
              <w:rPr>
                <w:noProof/>
                <w:webHidden/>
              </w:rPr>
              <w:fldChar w:fldCharType="begin"/>
            </w:r>
            <w:r>
              <w:rPr>
                <w:noProof/>
                <w:webHidden/>
              </w:rPr>
              <w:instrText xml:space="preserve"> PAGEREF _Toc196230198 \h </w:instrText>
            </w:r>
            <w:r>
              <w:rPr>
                <w:noProof/>
                <w:webHidden/>
              </w:rPr>
            </w:r>
            <w:r>
              <w:rPr>
                <w:noProof/>
                <w:webHidden/>
              </w:rPr>
              <w:fldChar w:fldCharType="separate"/>
            </w:r>
            <w:r>
              <w:rPr>
                <w:noProof/>
                <w:webHidden/>
              </w:rPr>
              <w:t>18</w:t>
            </w:r>
            <w:r>
              <w:rPr>
                <w:noProof/>
                <w:webHidden/>
              </w:rPr>
              <w:fldChar w:fldCharType="end"/>
            </w:r>
          </w:hyperlink>
        </w:p>
        <w:p w14:paraId="1AAB13EC" w14:textId="6F254F28" w:rsidR="00BF38CA" w:rsidRDefault="00BF38CA">
          <w:pPr>
            <w:pStyle w:val="TM2"/>
            <w:tabs>
              <w:tab w:val="right" w:pos="9500"/>
            </w:tabs>
            <w:rPr>
              <w:rFonts w:asciiTheme="minorHAnsi" w:eastAsiaTheme="minorEastAsia" w:hAnsiTheme="minorHAnsi" w:cstheme="minorBidi"/>
              <w:noProof/>
              <w:kern w:val="2"/>
              <w:sz w:val="24"/>
              <w:szCs w:val="24"/>
              <w14:ligatures w14:val="standardContextual"/>
            </w:rPr>
          </w:pPr>
          <w:hyperlink w:anchor="_Toc196230199" w:history="1">
            <w:r w:rsidRPr="008077B2">
              <w:rPr>
                <w:rStyle w:val="Lienhypertexte"/>
                <w:noProof/>
              </w:rPr>
              <w:t>17.4 Langue utilisée et unité monétaire</w:t>
            </w:r>
            <w:r>
              <w:rPr>
                <w:noProof/>
                <w:webHidden/>
              </w:rPr>
              <w:tab/>
            </w:r>
            <w:r>
              <w:rPr>
                <w:noProof/>
                <w:webHidden/>
              </w:rPr>
              <w:fldChar w:fldCharType="begin"/>
            </w:r>
            <w:r>
              <w:rPr>
                <w:noProof/>
                <w:webHidden/>
              </w:rPr>
              <w:instrText xml:space="preserve"> PAGEREF _Toc196230199 \h </w:instrText>
            </w:r>
            <w:r>
              <w:rPr>
                <w:noProof/>
                <w:webHidden/>
              </w:rPr>
            </w:r>
            <w:r>
              <w:rPr>
                <w:noProof/>
                <w:webHidden/>
              </w:rPr>
              <w:fldChar w:fldCharType="separate"/>
            </w:r>
            <w:r>
              <w:rPr>
                <w:noProof/>
                <w:webHidden/>
              </w:rPr>
              <w:t>18</w:t>
            </w:r>
            <w:r>
              <w:rPr>
                <w:noProof/>
                <w:webHidden/>
              </w:rPr>
              <w:fldChar w:fldCharType="end"/>
            </w:r>
          </w:hyperlink>
        </w:p>
        <w:p w14:paraId="3028107D" w14:textId="292A7C85" w:rsidR="00BF38CA" w:rsidRDefault="00BF38CA">
          <w:pPr>
            <w:pStyle w:val="TM2"/>
            <w:tabs>
              <w:tab w:val="right" w:pos="9500"/>
            </w:tabs>
            <w:rPr>
              <w:rFonts w:asciiTheme="minorHAnsi" w:eastAsiaTheme="minorEastAsia" w:hAnsiTheme="minorHAnsi" w:cstheme="minorBidi"/>
              <w:noProof/>
              <w:kern w:val="2"/>
              <w:sz w:val="24"/>
              <w:szCs w:val="24"/>
              <w14:ligatures w14:val="standardContextual"/>
            </w:rPr>
          </w:pPr>
          <w:hyperlink w:anchor="_Toc196230200" w:history="1">
            <w:r w:rsidRPr="008077B2">
              <w:rPr>
                <w:rStyle w:val="Lienhypertexte"/>
                <w:noProof/>
              </w:rPr>
              <w:t>17.5 Voie et délais de recours</w:t>
            </w:r>
            <w:r>
              <w:rPr>
                <w:noProof/>
                <w:webHidden/>
              </w:rPr>
              <w:tab/>
            </w:r>
            <w:r>
              <w:rPr>
                <w:noProof/>
                <w:webHidden/>
              </w:rPr>
              <w:fldChar w:fldCharType="begin"/>
            </w:r>
            <w:r>
              <w:rPr>
                <w:noProof/>
                <w:webHidden/>
              </w:rPr>
              <w:instrText xml:space="preserve"> PAGEREF _Toc196230200 \h </w:instrText>
            </w:r>
            <w:r>
              <w:rPr>
                <w:noProof/>
                <w:webHidden/>
              </w:rPr>
            </w:r>
            <w:r>
              <w:rPr>
                <w:noProof/>
                <w:webHidden/>
              </w:rPr>
              <w:fldChar w:fldCharType="separate"/>
            </w:r>
            <w:r>
              <w:rPr>
                <w:noProof/>
                <w:webHidden/>
              </w:rPr>
              <w:t>18</w:t>
            </w:r>
            <w:r>
              <w:rPr>
                <w:noProof/>
                <w:webHidden/>
              </w:rPr>
              <w:fldChar w:fldCharType="end"/>
            </w:r>
          </w:hyperlink>
        </w:p>
        <w:p w14:paraId="0C0D5764" w14:textId="7D608009" w:rsidR="00BF38CA" w:rsidRDefault="00BF38CA">
          <w:pPr>
            <w:pStyle w:val="TM1"/>
            <w:tabs>
              <w:tab w:val="right" w:pos="9500"/>
            </w:tabs>
            <w:rPr>
              <w:rFonts w:asciiTheme="minorHAnsi" w:eastAsiaTheme="minorEastAsia" w:hAnsiTheme="minorHAnsi" w:cstheme="minorBidi"/>
              <w:noProof/>
              <w:kern w:val="2"/>
              <w:sz w:val="24"/>
              <w:szCs w:val="24"/>
              <w14:ligatures w14:val="standardContextual"/>
            </w:rPr>
          </w:pPr>
          <w:hyperlink w:anchor="_Toc196230201" w:history="1">
            <w:r w:rsidRPr="008077B2">
              <w:rPr>
                <w:rStyle w:val="Lienhypertexte"/>
                <w:noProof/>
              </w:rPr>
              <w:t>Article 18 – Annexes</w:t>
            </w:r>
            <w:r>
              <w:rPr>
                <w:noProof/>
                <w:webHidden/>
              </w:rPr>
              <w:tab/>
            </w:r>
            <w:r>
              <w:rPr>
                <w:noProof/>
                <w:webHidden/>
              </w:rPr>
              <w:fldChar w:fldCharType="begin"/>
            </w:r>
            <w:r>
              <w:rPr>
                <w:noProof/>
                <w:webHidden/>
              </w:rPr>
              <w:instrText xml:space="preserve"> PAGEREF _Toc196230201 \h </w:instrText>
            </w:r>
            <w:r>
              <w:rPr>
                <w:noProof/>
                <w:webHidden/>
              </w:rPr>
            </w:r>
            <w:r>
              <w:rPr>
                <w:noProof/>
                <w:webHidden/>
              </w:rPr>
              <w:fldChar w:fldCharType="separate"/>
            </w:r>
            <w:r>
              <w:rPr>
                <w:noProof/>
                <w:webHidden/>
              </w:rPr>
              <w:t>18</w:t>
            </w:r>
            <w:r>
              <w:rPr>
                <w:noProof/>
                <w:webHidden/>
              </w:rPr>
              <w:fldChar w:fldCharType="end"/>
            </w:r>
          </w:hyperlink>
        </w:p>
        <w:p w14:paraId="14030D97" w14:textId="76DE51D8" w:rsidR="00D4148B" w:rsidRDefault="00D4148B" w:rsidP="5504E08E">
          <w:pPr>
            <w:pStyle w:val="TM1"/>
            <w:tabs>
              <w:tab w:val="right" w:pos="9495"/>
            </w:tabs>
            <w:rPr>
              <w:rStyle w:val="Lienhypertexte"/>
              <w:noProof/>
              <w:kern w:val="2"/>
              <w14:ligatures w14:val="standardContextual"/>
            </w:rPr>
          </w:pPr>
          <w:r>
            <w:fldChar w:fldCharType="end"/>
          </w:r>
        </w:p>
      </w:sdtContent>
    </w:sdt>
    <w:p w14:paraId="71F90072" w14:textId="542D289B" w:rsidR="002F60B0" w:rsidRPr="00146E3B" w:rsidRDefault="002F60B0" w:rsidP="002F60B0">
      <w:pPr>
        <w:rPr>
          <w:sz w:val="18"/>
          <w:szCs w:val="18"/>
        </w:rPr>
      </w:pPr>
    </w:p>
    <w:p w14:paraId="78930641" w14:textId="77777777" w:rsidR="008D3A44" w:rsidRPr="002F60B0" w:rsidRDefault="008D3A44" w:rsidP="002F60B0">
      <w:pPr>
        <w:rPr>
          <w:smallCaps/>
        </w:rPr>
      </w:pPr>
      <w:r w:rsidRPr="00146E3B">
        <w:rPr>
          <w:b/>
          <w:color w:val="000080"/>
          <w:sz w:val="18"/>
          <w:szCs w:val="18"/>
        </w:rPr>
        <w:br w:type="page"/>
      </w:r>
    </w:p>
    <w:p w14:paraId="3B63DABC" w14:textId="77777777" w:rsidR="00B20BB6" w:rsidRDefault="00535199">
      <w:pPr>
        <w:jc w:val="center"/>
        <w:rPr>
          <w:b/>
          <w:color w:val="000080"/>
          <w:sz w:val="28"/>
          <w:szCs w:val="28"/>
        </w:rPr>
      </w:pPr>
      <w:r>
        <w:rPr>
          <w:b/>
          <w:color w:val="000080"/>
          <w:sz w:val="28"/>
          <w:szCs w:val="28"/>
        </w:rPr>
        <w:lastRenderedPageBreak/>
        <w:t>RÈGLEMENT DE CONSULTATION</w:t>
      </w:r>
    </w:p>
    <w:p w14:paraId="00CB202A" w14:textId="77777777" w:rsidR="00B20BB6" w:rsidRDefault="00B20BB6">
      <w:pPr>
        <w:ind w:right="283"/>
        <w:jc w:val="center"/>
      </w:pPr>
    </w:p>
    <w:p w14:paraId="0B9D91C6" w14:textId="77777777" w:rsidR="00B20BB6" w:rsidRDefault="00B20BB6">
      <w:pPr>
        <w:ind w:right="283"/>
        <w:jc w:val="center"/>
      </w:pPr>
    </w:p>
    <w:p w14:paraId="36EE1A58" w14:textId="77777777" w:rsidR="00B20BB6" w:rsidRDefault="00B20BB6">
      <w:pPr>
        <w:ind w:right="283"/>
        <w:jc w:val="center"/>
      </w:pPr>
    </w:p>
    <w:p w14:paraId="677576E6" w14:textId="77777777" w:rsidR="00B20BB6" w:rsidRDefault="00B20BB6">
      <w:pPr>
        <w:ind w:right="283"/>
        <w:jc w:val="center"/>
      </w:pPr>
    </w:p>
    <w:tbl>
      <w:tblPr>
        <w:tblStyle w:val="a2"/>
        <w:tblW w:w="8904" w:type="dxa"/>
        <w:tblInd w:w="323" w:type="dxa"/>
        <w:tblLayout w:type="fixed"/>
        <w:tblLook w:val="0000" w:firstRow="0" w:lastRow="0" w:firstColumn="0" w:lastColumn="0" w:noHBand="0" w:noVBand="0"/>
      </w:tblPr>
      <w:tblGrid>
        <w:gridCol w:w="8904"/>
      </w:tblGrid>
      <w:tr w:rsidR="00B20BB6" w14:paraId="00E60DA2" w14:textId="77777777" w:rsidTr="002468C0">
        <w:trPr>
          <w:trHeight w:val="320"/>
        </w:trPr>
        <w:tc>
          <w:tcPr>
            <w:tcW w:w="8904" w:type="dxa"/>
            <w:tcBorders>
              <w:top w:val="single" w:sz="6" w:space="0" w:color="000000"/>
              <w:left w:val="single" w:sz="6" w:space="0" w:color="000000"/>
              <w:bottom w:val="single" w:sz="6" w:space="0" w:color="000000"/>
              <w:right w:val="single" w:sz="6" w:space="0" w:color="000000"/>
            </w:tcBorders>
            <w:vAlign w:val="center"/>
          </w:tcPr>
          <w:p w14:paraId="205F3E4F" w14:textId="77777777" w:rsidR="00B20BB6" w:rsidRDefault="00535199">
            <w:pPr>
              <w:ind w:right="283"/>
              <w:jc w:val="center"/>
              <w:rPr>
                <w:b/>
                <w:color w:val="000080"/>
              </w:rPr>
            </w:pPr>
            <w:r>
              <w:rPr>
                <w:b/>
                <w:color w:val="000080"/>
              </w:rPr>
              <w:t>Autorité concédante</w:t>
            </w:r>
          </w:p>
        </w:tc>
      </w:tr>
      <w:tr w:rsidR="00B20BB6" w14:paraId="5450BE7A" w14:textId="77777777">
        <w:tc>
          <w:tcPr>
            <w:tcW w:w="8904" w:type="dxa"/>
            <w:tcBorders>
              <w:top w:val="single" w:sz="6" w:space="0" w:color="000000"/>
              <w:left w:val="single" w:sz="6" w:space="0" w:color="000000"/>
              <w:bottom w:val="single" w:sz="6" w:space="0" w:color="000000"/>
              <w:right w:val="single" w:sz="6" w:space="0" w:color="000000"/>
            </w:tcBorders>
            <w:vAlign w:val="center"/>
          </w:tcPr>
          <w:p w14:paraId="14A5A46B" w14:textId="77777777" w:rsidR="00B20BB6" w:rsidRDefault="00B20BB6">
            <w:pPr>
              <w:ind w:right="283"/>
              <w:jc w:val="center"/>
            </w:pPr>
          </w:p>
          <w:p w14:paraId="31A168ED" w14:textId="77777777" w:rsidR="00B20BB6" w:rsidRDefault="00535199">
            <w:pPr>
              <w:widowControl/>
              <w:pBdr>
                <w:top w:val="nil"/>
                <w:left w:val="nil"/>
                <w:bottom w:val="nil"/>
                <w:right w:val="nil"/>
                <w:between w:val="nil"/>
              </w:pBdr>
              <w:spacing w:before="120" w:after="120"/>
              <w:ind w:right="283"/>
              <w:jc w:val="center"/>
              <w:rPr>
                <w:b/>
                <w:color w:val="000000"/>
              </w:rPr>
            </w:pPr>
            <w:r>
              <w:rPr>
                <w:b/>
                <w:color w:val="000000"/>
              </w:rPr>
              <w:t>CCI Essonne</w:t>
            </w:r>
          </w:p>
          <w:p w14:paraId="18431917" w14:textId="77777777" w:rsidR="00B20BB6" w:rsidRDefault="00535199">
            <w:pPr>
              <w:widowControl/>
              <w:pBdr>
                <w:top w:val="nil"/>
                <w:left w:val="nil"/>
                <w:bottom w:val="nil"/>
                <w:right w:val="nil"/>
                <w:between w:val="nil"/>
              </w:pBdr>
              <w:spacing w:before="120" w:after="120"/>
              <w:ind w:right="283"/>
              <w:jc w:val="center"/>
              <w:rPr>
                <w:b/>
                <w:color w:val="000000"/>
              </w:rPr>
            </w:pPr>
            <w:r>
              <w:rPr>
                <w:b/>
                <w:color w:val="000000"/>
              </w:rPr>
              <w:t xml:space="preserve">2, cours Monseigneur </w:t>
            </w:r>
            <w:proofErr w:type="spellStart"/>
            <w:r>
              <w:rPr>
                <w:b/>
                <w:color w:val="000000"/>
              </w:rPr>
              <w:t>Roméro</w:t>
            </w:r>
            <w:proofErr w:type="spellEnd"/>
            <w:r>
              <w:rPr>
                <w:b/>
                <w:color w:val="000000"/>
              </w:rPr>
              <w:t xml:space="preserve"> – CS 50135</w:t>
            </w:r>
          </w:p>
          <w:p w14:paraId="61264009" w14:textId="77777777" w:rsidR="00B20BB6" w:rsidRDefault="00535199">
            <w:pPr>
              <w:widowControl/>
              <w:pBdr>
                <w:top w:val="nil"/>
                <w:left w:val="nil"/>
                <w:bottom w:val="nil"/>
                <w:right w:val="nil"/>
                <w:between w:val="nil"/>
              </w:pBdr>
              <w:spacing w:before="120" w:after="120"/>
              <w:ind w:right="283"/>
              <w:jc w:val="center"/>
              <w:rPr>
                <w:b/>
                <w:color w:val="000000"/>
              </w:rPr>
            </w:pPr>
            <w:r>
              <w:rPr>
                <w:b/>
                <w:color w:val="000000"/>
              </w:rPr>
              <w:t>91004 EVRY</w:t>
            </w:r>
            <w:r w:rsidR="002468C0">
              <w:rPr>
                <w:b/>
                <w:color w:val="000000"/>
              </w:rPr>
              <w:t>-COURCOURONNES</w:t>
            </w:r>
            <w:r>
              <w:rPr>
                <w:b/>
                <w:color w:val="000000"/>
              </w:rPr>
              <w:t xml:space="preserve"> Cedex</w:t>
            </w:r>
          </w:p>
          <w:p w14:paraId="13739611" w14:textId="77777777" w:rsidR="00B20BB6" w:rsidRDefault="00B20BB6">
            <w:pPr>
              <w:ind w:right="283"/>
              <w:jc w:val="center"/>
            </w:pPr>
          </w:p>
        </w:tc>
      </w:tr>
    </w:tbl>
    <w:p w14:paraId="38A81FEB" w14:textId="77777777" w:rsidR="00B20BB6" w:rsidRDefault="00B20BB6">
      <w:pPr>
        <w:ind w:right="283"/>
        <w:jc w:val="center"/>
      </w:pPr>
    </w:p>
    <w:p w14:paraId="24DD4CCB" w14:textId="77777777" w:rsidR="00B20BB6" w:rsidRDefault="00B20BB6">
      <w:pPr>
        <w:ind w:right="283"/>
        <w:jc w:val="center"/>
      </w:pPr>
    </w:p>
    <w:p w14:paraId="58D7DA17" w14:textId="77777777" w:rsidR="00B20BB6" w:rsidRDefault="00B20BB6">
      <w:pPr>
        <w:ind w:right="283"/>
        <w:jc w:val="center"/>
      </w:pPr>
    </w:p>
    <w:tbl>
      <w:tblPr>
        <w:tblStyle w:val="a3"/>
        <w:tblW w:w="8904" w:type="dxa"/>
        <w:tblInd w:w="368" w:type="dxa"/>
        <w:tblLayout w:type="fixed"/>
        <w:tblLook w:val="0000" w:firstRow="0" w:lastRow="0" w:firstColumn="0" w:lastColumn="0" w:noHBand="0" w:noVBand="0"/>
      </w:tblPr>
      <w:tblGrid>
        <w:gridCol w:w="8904"/>
      </w:tblGrid>
      <w:tr w:rsidR="00B20BB6" w14:paraId="22490C95" w14:textId="77777777" w:rsidTr="5504E08E">
        <w:tc>
          <w:tcPr>
            <w:tcW w:w="890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BD69618" w14:textId="77777777" w:rsidR="00B20BB6" w:rsidRDefault="00535199">
            <w:pPr>
              <w:ind w:right="283"/>
              <w:jc w:val="center"/>
              <w:rPr>
                <w:b/>
                <w:color w:val="000080"/>
              </w:rPr>
            </w:pPr>
            <w:r>
              <w:rPr>
                <w:b/>
                <w:color w:val="000080"/>
              </w:rPr>
              <w:t>Objet de la consultation</w:t>
            </w:r>
          </w:p>
        </w:tc>
      </w:tr>
      <w:tr w:rsidR="00B20BB6" w14:paraId="6501F309" w14:textId="77777777" w:rsidTr="5504E08E">
        <w:tc>
          <w:tcPr>
            <w:tcW w:w="8904"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7747F53" w14:textId="77777777" w:rsidR="00B20BB6" w:rsidRDefault="00B20BB6">
            <w:pPr>
              <w:ind w:right="283"/>
              <w:jc w:val="center"/>
              <w:rPr>
                <w:b/>
                <w:color w:val="000080"/>
                <w:sz w:val="24"/>
                <w:szCs w:val="24"/>
              </w:rPr>
            </w:pPr>
          </w:p>
          <w:p w14:paraId="7B459320" w14:textId="77777777" w:rsidR="00F7424A" w:rsidRDefault="00F7424A">
            <w:pPr>
              <w:ind w:right="283"/>
              <w:jc w:val="center"/>
              <w:rPr>
                <w:b/>
                <w:color w:val="000080"/>
                <w:sz w:val="24"/>
                <w:szCs w:val="24"/>
              </w:rPr>
            </w:pPr>
          </w:p>
          <w:p w14:paraId="0D5FBBB9" w14:textId="77777777" w:rsidR="00AD3E58" w:rsidRPr="00AD3E58" w:rsidRDefault="00AD3E58" w:rsidP="00AD3E58">
            <w:pPr>
              <w:ind w:right="283"/>
              <w:jc w:val="center"/>
              <w:rPr>
                <w:b/>
                <w:sz w:val="24"/>
                <w:szCs w:val="24"/>
              </w:rPr>
            </w:pPr>
            <w:r w:rsidRPr="00AD3E58">
              <w:rPr>
                <w:b/>
                <w:sz w:val="24"/>
                <w:szCs w:val="24"/>
              </w:rPr>
              <w:t xml:space="preserve">« Commercialisation, aménagement et gestion </w:t>
            </w:r>
          </w:p>
          <w:p w14:paraId="2CB16B7F" w14:textId="77777777" w:rsidR="00AD3E58" w:rsidRPr="00AD3E58" w:rsidRDefault="00AD3E58" w:rsidP="00AD3E58">
            <w:pPr>
              <w:ind w:right="283"/>
              <w:jc w:val="center"/>
              <w:rPr>
                <w:b/>
                <w:sz w:val="24"/>
                <w:szCs w:val="24"/>
              </w:rPr>
            </w:pPr>
            <w:r w:rsidRPr="00AD3E58">
              <w:rPr>
                <w:b/>
                <w:sz w:val="24"/>
                <w:szCs w:val="24"/>
              </w:rPr>
              <w:t xml:space="preserve">des inscriptions et des rendez-vous de la convention </w:t>
            </w:r>
          </w:p>
          <w:p w14:paraId="2D759EF6" w14:textId="7CC4459A" w:rsidR="00AD3E58" w:rsidRPr="00AD3E58" w:rsidRDefault="00AD3E58" w:rsidP="00AD3E58">
            <w:pPr>
              <w:ind w:right="283"/>
              <w:jc w:val="center"/>
              <w:rPr>
                <w:b/>
                <w:sz w:val="24"/>
                <w:szCs w:val="24"/>
              </w:rPr>
            </w:pPr>
            <w:r w:rsidRPr="00AD3E58">
              <w:rPr>
                <w:b/>
                <w:sz w:val="24"/>
                <w:szCs w:val="24"/>
              </w:rPr>
              <w:t>d’affaires TECHINNOV 202</w:t>
            </w:r>
            <w:r w:rsidR="00F2516B">
              <w:rPr>
                <w:b/>
                <w:sz w:val="24"/>
                <w:szCs w:val="24"/>
              </w:rPr>
              <w:t>6</w:t>
            </w:r>
            <w:r w:rsidRPr="00AD3E58">
              <w:rPr>
                <w:b/>
                <w:sz w:val="24"/>
                <w:szCs w:val="24"/>
              </w:rPr>
              <w:t xml:space="preserve"> »</w:t>
            </w:r>
          </w:p>
          <w:p w14:paraId="6A5130B9" w14:textId="77777777" w:rsidR="00B20BB6" w:rsidRPr="002468C0" w:rsidRDefault="00B20BB6">
            <w:pPr>
              <w:ind w:right="283"/>
              <w:jc w:val="center"/>
              <w:rPr>
                <w:b/>
              </w:rPr>
            </w:pPr>
          </w:p>
          <w:p w14:paraId="47C723A4" w14:textId="75CD7D1F" w:rsidR="00B20BB6" w:rsidRPr="00E26F45" w:rsidRDefault="00535199" w:rsidP="5504E08E">
            <w:pPr>
              <w:ind w:right="283"/>
              <w:jc w:val="center"/>
              <w:rPr>
                <w:b/>
                <w:bCs/>
                <w:sz w:val="24"/>
                <w:szCs w:val="24"/>
              </w:rPr>
            </w:pPr>
            <w:r w:rsidRPr="00E26F45">
              <w:rPr>
                <w:b/>
                <w:bCs/>
                <w:sz w:val="24"/>
                <w:szCs w:val="24"/>
              </w:rPr>
              <w:t>CCIE-</w:t>
            </w:r>
            <w:r w:rsidR="0079124A" w:rsidRPr="00E26F45">
              <w:rPr>
                <w:b/>
                <w:bCs/>
                <w:sz w:val="24"/>
                <w:szCs w:val="24"/>
              </w:rPr>
              <w:t>2</w:t>
            </w:r>
            <w:r w:rsidR="00F2516B" w:rsidRPr="00E26F45">
              <w:rPr>
                <w:b/>
                <w:bCs/>
                <w:sz w:val="24"/>
                <w:szCs w:val="24"/>
              </w:rPr>
              <w:t>5</w:t>
            </w:r>
            <w:r w:rsidR="0079124A" w:rsidRPr="00E26F45">
              <w:rPr>
                <w:b/>
                <w:bCs/>
                <w:sz w:val="24"/>
                <w:szCs w:val="24"/>
              </w:rPr>
              <w:t>-00</w:t>
            </w:r>
            <w:r w:rsidR="00F2516B" w:rsidRPr="00E26F45">
              <w:rPr>
                <w:b/>
                <w:bCs/>
                <w:sz w:val="24"/>
                <w:szCs w:val="24"/>
              </w:rPr>
              <w:t>8</w:t>
            </w:r>
          </w:p>
          <w:p w14:paraId="3DAF1CC6" w14:textId="77777777" w:rsidR="00B20BB6" w:rsidRDefault="00B20BB6">
            <w:pPr>
              <w:ind w:right="283"/>
              <w:jc w:val="center"/>
              <w:rPr>
                <w:b/>
              </w:rPr>
            </w:pPr>
          </w:p>
          <w:p w14:paraId="01EFBBBD" w14:textId="77777777" w:rsidR="00F7424A" w:rsidRDefault="00F7424A">
            <w:pPr>
              <w:ind w:right="283"/>
              <w:jc w:val="center"/>
              <w:rPr>
                <w:b/>
              </w:rPr>
            </w:pPr>
          </w:p>
        </w:tc>
      </w:tr>
    </w:tbl>
    <w:p w14:paraId="16D59503" w14:textId="77777777" w:rsidR="00B20BB6" w:rsidRDefault="00B20BB6"/>
    <w:p w14:paraId="1AC25E6C" w14:textId="77777777" w:rsidR="00B20BB6" w:rsidRDefault="00B20BB6">
      <w:pPr>
        <w:jc w:val="center"/>
      </w:pPr>
    </w:p>
    <w:p w14:paraId="2DAD0FE8" w14:textId="77777777" w:rsidR="00B20BB6" w:rsidRDefault="00B20BB6">
      <w:pPr>
        <w:jc w:val="center"/>
      </w:pPr>
    </w:p>
    <w:p w14:paraId="6347F35F" w14:textId="77777777" w:rsidR="00B20BB6" w:rsidRDefault="00B20BB6"/>
    <w:tbl>
      <w:tblPr>
        <w:tblStyle w:val="a4"/>
        <w:tblW w:w="8904" w:type="dxa"/>
        <w:tblInd w:w="368" w:type="dxa"/>
        <w:tblLayout w:type="fixed"/>
        <w:tblLook w:val="0000" w:firstRow="0" w:lastRow="0" w:firstColumn="0" w:lastColumn="0" w:noHBand="0" w:noVBand="0"/>
      </w:tblPr>
      <w:tblGrid>
        <w:gridCol w:w="8904"/>
      </w:tblGrid>
      <w:tr w:rsidR="00B20BB6" w14:paraId="5BFCAA9E" w14:textId="77777777">
        <w:tc>
          <w:tcPr>
            <w:tcW w:w="8904" w:type="dxa"/>
            <w:tcBorders>
              <w:top w:val="single" w:sz="6" w:space="0" w:color="000000"/>
              <w:left w:val="single" w:sz="6" w:space="0" w:color="000000"/>
              <w:bottom w:val="single" w:sz="6" w:space="0" w:color="000000"/>
              <w:right w:val="single" w:sz="6" w:space="0" w:color="000000"/>
            </w:tcBorders>
          </w:tcPr>
          <w:p w14:paraId="5A507746" w14:textId="77777777" w:rsidR="00B20BB6" w:rsidRDefault="00535199">
            <w:pPr>
              <w:ind w:right="283"/>
              <w:jc w:val="center"/>
              <w:rPr>
                <w:b/>
                <w:color w:val="000080"/>
              </w:rPr>
            </w:pPr>
            <w:r>
              <w:rPr>
                <w:b/>
                <w:color w:val="000080"/>
              </w:rPr>
              <w:t>Remise des offres (date et heure limites)</w:t>
            </w:r>
          </w:p>
        </w:tc>
      </w:tr>
      <w:tr w:rsidR="00B20BB6" w14:paraId="53BF06BA" w14:textId="77777777">
        <w:tc>
          <w:tcPr>
            <w:tcW w:w="8904" w:type="dxa"/>
            <w:tcBorders>
              <w:top w:val="single" w:sz="6" w:space="0" w:color="000000"/>
              <w:left w:val="single" w:sz="6" w:space="0" w:color="000000"/>
              <w:bottom w:val="single" w:sz="6" w:space="0" w:color="000000"/>
              <w:right w:val="single" w:sz="6" w:space="0" w:color="000000"/>
            </w:tcBorders>
          </w:tcPr>
          <w:p w14:paraId="072A68B6" w14:textId="77777777" w:rsidR="00B20BB6" w:rsidRDefault="00B20BB6">
            <w:pPr>
              <w:ind w:right="283"/>
              <w:jc w:val="center"/>
            </w:pPr>
          </w:p>
          <w:p w14:paraId="00FFC485" w14:textId="77777777" w:rsidR="00B20BB6" w:rsidRDefault="00B20BB6">
            <w:pPr>
              <w:tabs>
                <w:tab w:val="left" w:pos="555"/>
              </w:tabs>
              <w:ind w:right="283"/>
              <w:jc w:val="center"/>
            </w:pPr>
          </w:p>
          <w:p w14:paraId="6F22D0D8" w14:textId="77777777" w:rsidR="00B20BB6" w:rsidRDefault="00B20BB6">
            <w:pPr>
              <w:tabs>
                <w:tab w:val="left" w:pos="555"/>
              </w:tabs>
              <w:ind w:right="283"/>
              <w:jc w:val="center"/>
            </w:pPr>
          </w:p>
          <w:p w14:paraId="25B2E6F5" w14:textId="441DF903" w:rsidR="00B20BB6" w:rsidRDefault="00535199">
            <w:pPr>
              <w:tabs>
                <w:tab w:val="left" w:pos="555"/>
              </w:tabs>
              <w:ind w:right="283"/>
              <w:jc w:val="center"/>
              <w:rPr>
                <w:b/>
                <w:sz w:val="24"/>
                <w:szCs w:val="24"/>
              </w:rPr>
            </w:pPr>
            <w:r>
              <w:t xml:space="preserve">Date limite de réception des </w:t>
            </w:r>
            <w:r w:rsidRPr="001856BD">
              <w:t>plis :</w:t>
            </w:r>
            <w:r w:rsidRPr="001856BD">
              <w:rPr>
                <w:b/>
                <w:sz w:val="24"/>
                <w:szCs w:val="24"/>
              </w:rPr>
              <w:t xml:space="preserve"> </w:t>
            </w:r>
            <w:r w:rsidR="00E26F45">
              <w:rPr>
                <w:b/>
                <w:color w:val="FF0000"/>
                <w:sz w:val="24"/>
                <w:szCs w:val="24"/>
              </w:rPr>
              <w:t>Lundi 19 mai</w:t>
            </w:r>
            <w:r w:rsidRPr="001856BD">
              <w:rPr>
                <w:b/>
                <w:color w:val="FF0000"/>
                <w:sz w:val="24"/>
                <w:szCs w:val="24"/>
              </w:rPr>
              <w:t xml:space="preserve"> 202</w:t>
            </w:r>
            <w:r w:rsidR="00F2516B">
              <w:rPr>
                <w:b/>
                <w:color w:val="FF0000"/>
                <w:sz w:val="24"/>
                <w:szCs w:val="24"/>
              </w:rPr>
              <w:t>5</w:t>
            </w:r>
          </w:p>
          <w:p w14:paraId="5B530704" w14:textId="77777777" w:rsidR="00B20BB6" w:rsidRDefault="00B20BB6">
            <w:pPr>
              <w:tabs>
                <w:tab w:val="left" w:pos="555"/>
              </w:tabs>
              <w:ind w:right="283"/>
              <w:jc w:val="center"/>
            </w:pPr>
          </w:p>
          <w:p w14:paraId="1B40FF45" w14:textId="2D4B20BC" w:rsidR="00B20BB6" w:rsidRDefault="00535199">
            <w:pPr>
              <w:tabs>
                <w:tab w:val="left" w:pos="555"/>
              </w:tabs>
              <w:ind w:right="283"/>
              <w:jc w:val="center"/>
              <w:rPr>
                <w:color w:val="FF0000"/>
              </w:rPr>
            </w:pPr>
            <w:r>
              <w:t>Heure limite de réception des plis</w:t>
            </w:r>
            <w:r w:rsidRPr="00B21AFF">
              <w:rPr>
                <w:bCs/>
              </w:rPr>
              <w:t xml:space="preserve"> :</w:t>
            </w:r>
            <w:r>
              <w:rPr>
                <w:b/>
                <w:sz w:val="24"/>
                <w:szCs w:val="24"/>
              </w:rPr>
              <w:t xml:space="preserve"> </w:t>
            </w:r>
            <w:r>
              <w:rPr>
                <w:b/>
                <w:color w:val="FF0000"/>
                <w:sz w:val="24"/>
                <w:szCs w:val="24"/>
              </w:rPr>
              <w:t>1</w:t>
            </w:r>
            <w:r w:rsidR="009B77E7">
              <w:rPr>
                <w:b/>
                <w:color w:val="FF0000"/>
                <w:sz w:val="24"/>
                <w:szCs w:val="24"/>
              </w:rPr>
              <w:t>4</w:t>
            </w:r>
            <w:r w:rsidR="00872673">
              <w:rPr>
                <w:b/>
                <w:color w:val="FF0000"/>
                <w:sz w:val="24"/>
                <w:szCs w:val="24"/>
              </w:rPr>
              <w:t>h</w:t>
            </w:r>
            <w:r>
              <w:rPr>
                <w:b/>
                <w:color w:val="FF0000"/>
                <w:sz w:val="24"/>
                <w:szCs w:val="24"/>
              </w:rPr>
              <w:t>00</w:t>
            </w:r>
          </w:p>
          <w:p w14:paraId="278DB33D" w14:textId="77777777" w:rsidR="002468C0" w:rsidRDefault="002468C0" w:rsidP="002468C0"/>
          <w:p w14:paraId="0221F558" w14:textId="77777777" w:rsidR="00F7424A" w:rsidRPr="002468C0" w:rsidRDefault="00F7424A" w:rsidP="002468C0">
            <w:pPr>
              <w:rPr>
                <w:b/>
              </w:rPr>
            </w:pPr>
          </w:p>
          <w:p w14:paraId="6BCDDDB3" w14:textId="77777777" w:rsidR="00B20BB6" w:rsidRDefault="00B20BB6">
            <w:pPr>
              <w:ind w:right="283"/>
              <w:jc w:val="center"/>
            </w:pPr>
          </w:p>
        </w:tc>
      </w:tr>
    </w:tbl>
    <w:p w14:paraId="6271F14C" w14:textId="77777777" w:rsidR="00B20BB6" w:rsidRDefault="00B20BB6">
      <w:pPr>
        <w:pStyle w:val="Titre1"/>
      </w:pPr>
    </w:p>
    <w:p w14:paraId="4842E7BF" w14:textId="77777777" w:rsidR="002468C0" w:rsidRDefault="002468C0">
      <w:pPr>
        <w:pStyle w:val="Titre1"/>
      </w:pPr>
      <w:r>
        <w:br w:type="page"/>
      </w:r>
    </w:p>
    <w:p w14:paraId="49C15CE2" w14:textId="77777777" w:rsidR="00B20BB6" w:rsidRDefault="00535199">
      <w:pPr>
        <w:pStyle w:val="Titre1"/>
      </w:pPr>
      <w:bookmarkStart w:id="2" w:name="_Toc196230163"/>
      <w:r>
        <w:lastRenderedPageBreak/>
        <w:t>Article 1 - Autorité concédante</w:t>
      </w:r>
      <w:bookmarkEnd w:id="2"/>
    </w:p>
    <w:p w14:paraId="1A15236B" w14:textId="77777777" w:rsidR="00B20BB6" w:rsidRDefault="00535199">
      <w:pPr>
        <w:pStyle w:val="Titre2"/>
      </w:pPr>
      <w:bookmarkStart w:id="3" w:name="_Toc196230164"/>
      <w:r>
        <w:t xml:space="preserve">1.1 Nom et adresse officiels de l’autorité </w:t>
      </w:r>
      <w:r w:rsidR="00F7424A">
        <w:t>concédante</w:t>
      </w:r>
      <w:bookmarkEnd w:id="3"/>
    </w:p>
    <w:p w14:paraId="37FC8721" w14:textId="77777777" w:rsidR="00B20BB6" w:rsidRDefault="00B20BB6">
      <w:pPr>
        <w:pBdr>
          <w:top w:val="nil"/>
          <w:left w:val="nil"/>
          <w:bottom w:val="nil"/>
          <w:right w:val="nil"/>
          <w:between w:val="nil"/>
        </w:pBdr>
        <w:rPr>
          <w:color w:val="000000"/>
        </w:rPr>
      </w:pPr>
    </w:p>
    <w:p w14:paraId="6DD8CCDC" w14:textId="77777777" w:rsidR="00B20BB6" w:rsidRDefault="00535199">
      <w:pPr>
        <w:widowControl/>
        <w:pBdr>
          <w:top w:val="nil"/>
          <w:left w:val="nil"/>
          <w:bottom w:val="nil"/>
          <w:right w:val="nil"/>
          <w:between w:val="nil"/>
        </w:pBdr>
        <w:jc w:val="center"/>
        <w:rPr>
          <w:b/>
          <w:color w:val="000000"/>
        </w:rPr>
      </w:pPr>
      <w:r>
        <w:rPr>
          <w:b/>
          <w:color w:val="000000"/>
        </w:rPr>
        <w:t xml:space="preserve">CCI ESSONNE </w:t>
      </w:r>
    </w:p>
    <w:p w14:paraId="313805E4" w14:textId="77777777" w:rsidR="00B20BB6" w:rsidRDefault="00535199">
      <w:pPr>
        <w:widowControl/>
        <w:pBdr>
          <w:top w:val="nil"/>
          <w:left w:val="nil"/>
          <w:bottom w:val="nil"/>
          <w:right w:val="nil"/>
          <w:between w:val="nil"/>
        </w:pBdr>
        <w:jc w:val="center"/>
        <w:rPr>
          <w:b/>
          <w:color w:val="000000"/>
        </w:rPr>
      </w:pPr>
      <w:r>
        <w:rPr>
          <w:b/>
          <w:color w:val="000000"/>
        </w:rPr>
        <w:t xml:space="preserve">2, cours Monseigneur </w:t>
      </w:r>
      <w:proofErr w:type="spellStart"/>
      <w:r>
        <w:rPr>
          <w:b/>
          <w:color w:val="000000"/>
        </w:rPr>
        <w:t>Roméro</w:t>
      </w:r>
      <w:proofErr w:type="spellEnd"/>
    </w:p>
    <w:p w14:paraId="4D46B9F1" w14:textId="77777777" w:rsidR="00B20BB6" w:rsidRDefault="00535199">
      <w:pPr>
        <w:widowControl/>
        <w:pBdr>
          <w:top w:val="nil"/>
          <w:left w:val="nil"/>
          <w:bottom w:val="nil"/>
          <w:right w:val="nil"/>
          <w:between w:val="nil"/>
        </w:pBdr>
        <w:jc w:val="center"/>
        <w:rPr>
          <w:b/>
          <w:color w:val="000000"/>
        </w:rPr>
      </w:pPr>
      <w:r>
        <w:rPr>
          <w:b/>
          <w:color w:val="000000"/>
        </w:rPr>
        <w:t>91004 EVRY</w:t>
      </w:r>
      <w:r w:rsidR="002468C0">
        <w:rPr>
          <w:b/>
          <w:color w:val="000000"/>
        </w:rPr>
        <w:t>-COURCOURONNES</w:t>
      </w:r>
      <w:r>
        <w:rPr>
          <w:b/>
          <w:color w:val="000000"/>
        </w:rPr>
        <w:t xml:space="preserve"> Cedex</w:t>
      </w:r>
    </w:p>
    <w:p w14:paraId="2D5842A5" w14:textId="77777777" w:rsidR="00B20BB6" w:rsidRDefault="00535199">
      <w:pPr>
        <w:widowControl/>
        <w:pBdr>
          <w:top w:val="nil"/>
          <w:left w:val="nil"/>
          <w:bottom w:val="nil"/>
          <w:right w:val="nil"/>
          <w:between w:val="nil"/>
        </w:pBdr>
        <w:jc w:val="center"/>
        <w:rPr>
          <w:b/>
          <w:color w:val="000000"/>
        </w:rPr>
      </w:pPr>
      <w:r>
        <w:rPr>
          <w:b/>
          <w:color w:val="000000"/>
        </w:rPr>
        <w:t>France</w:t>
      </w:r>
    </w:p>
    <w:p w14:paraId="2E018397" w14:textId="77777777" w:rsidR="00B20BB6" w:rsidRDefault="00B20BB6">
      <w:pPr>
        <w:widowControl/>
        <w:pBdr>
          <w:top w:val="nil"/>
          <w:left w:val="nil"/>
          <w:bottom w:val="nil"/>
          <w:right w:val="nil"/>
          <w:between w:val="nil"/>
        </w:pBdr>
        <w:jc w:val="center"/>
        <w:rPr>
          <w:b/>
          <w:color w:val="000000"/>
        </w:rPr>
      </w:pPr>
    </w:p>
    <w:p w14:paraId="0B2214EC" w14:textId="77777777" w:rsidR="00B20BB6" w:rsidRDefault="00535199">
      <w:pPr>
        <w:pStyle w:val="Titre2"/>
      </w:pPr>
      <w:bookmarkStart w:id="4" w:name="_Toc196230165"/>
      <w:r>
        <w:t>1.2 Adresse auprès de laquelle des informations complémentaires peuvent être obtenues</w:t>
      </w:r>
      <w:bookmarkEnd w:id="4"/>
    </w:p>
    <w:p w14:paraId="5F360BA1" w14:textId="77777777" w:rsidR="00F2516B" w:rsidRPr="00F2516B" w:rsidRDefault="00F2516B" w:rsidP="00F2516B">
      <w:pPr>
        <w:widowControl/>
        <w:rPr>
          <w:rFonts w:eastAsia="Times New Roman" w:cs="Arial"/>
          <w:b/>
          <w:color w:val="0000FF"/>
          <w:szCs w:val="22"/>
          <w:u w:val="single"/>
        </w:rPr>
      </w:pPr>
      <w:r w:rsidRPr="00F2516B">
        <w:rPr>
          <w:rFonts w:eastAsia="Times New Roman" w:cs="Arial"/>
          <w:szCs w:val="22"/>
        </w:rPr>
        <w:t xml:space="preserve">Pour obtenir tous les renseignements qui leur seraient nécessaires au cours de leur étude, les candidats devront faire parvenir </w:t>
      </w:r>
      <w:r w:rsidRPr="00F2516B">
        <w:rPr>
          <w:rFonts w:eastAsia="Times New Roman" w:cs="Arial"/>
          <w:b/>
          <w:bCs/>
          <w:szCs w:val="22"/>
        </w:rPr>
        <w:t>au plus tard trois (3) jours ouvrés avant la date limite de remise des offres</w:t>
      </w:r>
      <w:r w:rsidRPr="00F2516B">
        <w:rPr>
          <w:rFonts w:eastAsia="Times New Roman" w:cs="Arial"/>
          <w:szCs w:val="22"/>
        </w:rPr>
        <w:t>, une demande expresse sur la plateforme de dématérialisation suivante :</w:t>
      </w:r>
      <w:r w:rsidRPr="00F2516B">
        <w:rPr>
          <w:rFonts w:eastAsia="Times New Roman" w:cs="Arial"/>
          <w:b/>
          <w:szCs w:val="22"/>
        </w:rPr>
        <w:t xml:space="preserve"> </w:t>
      </w:r>
    </w:p>
    <w:p w14:paraId="37690CE2" w14:textId="77777777" w:rsidR="00F2516B" w:rsidRPr="00F2516B" w:rsidRDefault="00F2516B" w:rsidP="00F2516B">
      <w:pPr>
        <w:widowControl/>
        <w:jc w:val="center"/>
        <w:rPr>
          <w:rFonts w:eastAsia="Times New Roman" w:cs="Arial"/>
          <w:b/>
          <w:szCs w:val="22"/>
        </w:rPr>
      </w:pPr>
      <w:hyperlink r:id="rId9">
        <w:r w:rsidRPr="00F2516B">
          <w:rPr>
            <w:rFonts w:eastAsia="Times New Roman" w:cs="Arial"/>
            <w:b/>
            <w:color w:val="0000FF"/>
            <w:szCs w:val="22"/>
            <w:u w:val="single"/>
          </w:rPr>
          <w:t>www.marches-publics.gouv.fr</w:t>
        </w:r>
      </w:hyperlink>
    </w:p>
    <w:p w14:paraId="54201B6F" w14:textId="77777777" w:rsidR="00F2516B" w:rsidRPr="00F2516B" w:rsidRDefault="00F2516B" w:rsidP="00F2516B">
      <w:pPr>
        <w:widowControl/>
        <w:rPr>
          <w:rFonts w:eastAsia="Times New Roman" w:cs="Arial"/>
          <w:b/>
          <w:szCs w:val="22"/>
        </w:rPr>
      </w:pPr>
    </w:p>
    <w:p w14:paraId="6EC9494A" w14:textId="77777777" w:rsidR="00F2516B" w:rsidRPr="00F2516B" w:rsidRDefault="00F2516B" w:rsidP="00F2516B">
      <w:pPr>
        <w:widowControl/>
        <w:tabs>
          <w:tab w:val="left" w:pos="9498"/>
          <w:tab w:val="left" w:pos="9639"/>
        </w:tabs>
        <w:rPr>
          <w:rFonts w:eastAsia="Times New Roman" w:cs="Arial"/>
          <w:b/>
          <w:szCs w:val="22"/>
        </w:rPr>
      </w:pPr>
      <w:r w:rsidRPr="00F2516B">
        <w:rPr>
          <w:rFonts w:eastAsia="Times New Roman" w:cs="Arial"/>
          <w:b/>
          <w:szCs w:val="22"/>
        </w:rPr>
        <w:t>Au-delà de ce délai, lesdites questions ne feront pas l’objet de réponse.</w:t>
      </w:r>
    </w:p>
    <w:p w14:paraId="3B0D7F2A" w14:textId="77777777" w:rsidR="00F2516B" w:rsidRPr="00F2516B" w:rsidRDefault="00F2516B" w:rsidP="00F2516B">
      <w:pPr>
        <w:widowControl/>
        <w:tabs>
          <w:tab w:val="left" w:pos="9498"/>
          <w:tab w:val="left" w:pos="9639"/>
        </w:tabs>
        <w:rPr>
          <w:rFonts w:eastAsia="Times New Roman" w:cs="Arial"/>
          <w:szCs w:val="22"/>
        </w:rPr>
      </w:pPr>
    </w:p>
    <w:p w14:paraId="0FD43BA9" w14:textId="77777777" w:rsidR="00F2516B" w:rsidRPr="00F2516B" w:rsidRDefault="00F2516B" w:rsidP="00F2516B">
      <w:pPr>
        <w:widowControl/>
        <w:tabs>
          <w:tab w:val="left" w:pos="9498"/>
          <w:tab w:val="left" w:pos="9639"/>
        </w:tabs>
        <w:rPr>
          <w:rFonts w:eastAsia="Times New Roman" w:cs="Arial"/>
          <w:szCs w:val="22"/>
        </w:rPr>
      </w:pPr>
      <w:r w:rsidRPr="00F2516B">
        <w:rPr>
          <w:rFonts w:eastAsia="Times New Roman" w:cs="Arial"/>
          <w:szCs w:val="22"/>
        </w:rPr>
        <w:t xml:space="preserve">Une réponse écrite sera alors adressée en temps utile à tous les candidats (préalablement identifiés) ayant retiré le dossier de consultation et sera ajoutée au dossier de consultation. </w:t>
      </w:r>
    </w:p>
    <w:p w14:paraId="5C018E38" w14:textId="77777777" w:rsidR="00F2516B" w:rsidRPr="00F2516B" w:rsidRDefault="00F2516B" w:rsidP="00F2516B">
      <w:pPr>
        <w:widowControl/>
        <w:tabs>
          <w:tab w:val="left" w:pos="9498"/>
          <w:tab w:val="left" w:pos="9639"/>
        </w:tabs>
        <w:rPr>
          <w:rFonts w:eastAsia="Times New Roman" w:cs="Arial"/>
          <w:szCs w:val="22"/>
        </w:rPr>
      </w:pPr>
    </w:p>
    <w:p w14:paraId="42B9F3A7" w14:textId="77777777" w:rsidR="00F2516B" w:rsidRPr="00F2516B" w:rsidRDefault="00F2516B" w:rsidP="00F2516B">
      <w:pPr>
        <w:widowControl/>
        <w:tabs>
          <w:tab w:val="left" w:pos="9498"/>
          <w:tab w:val="left" w:pos="9639"/>
        </w:tabs>
        <w:rPr>
          <w:rFonts w:eastAsia="Times New Roman" w:cs="Arial"/>
          <w:b/>
          <w:bCs/>
          <w:szCs w:val="22"/>
        </w:rPr>
      </w:pPr>
      <w:r w:rsidRPr="00F2516B">
        <w:rPr>
          <w:rFonts w:eastAsia="Times New Roman" w:cs="Arial"/>
          <w:b/>
          <w:bCs/>
          <w:szCs w:val="22"/>
        </w:rPr>
        <w:t xml:space="preserve">L’attention des candidats est attirée sur le fait qu’il ne sera répondu à aucune question orale ou envoyée par mail. </w:t>
      </w:r>
    </w:p>
    <w:p w14:paraId="14C4132A" w14:textId="77777777" w:rsidR="00B20BB6" w:rsidRDefault="00535199">
      <w:pPr>
        <w:pStyle w:val="Titre2"/>
      </w:pPr>
      <w:bookmarkStart w:id="5" w:name="_Toc196230166"/>
      <w:r>
        <w:t>1.3 Adresse à laquelle les plis doivent être envoyés</w:t>
      </w:r>
      <w:bookmarkEnd w:id="5"/>
    </w:p>
    <w:p w14:paraId="470FD7C4" w14:textId="77777777" w:rsidR="00CC46CC" w:rsidRPr="00CC46CC" w:rsidRDefault="00CC46CC" w:rsidP="00CC46CC">
      <w:pPr>
        <w:widowControl/>
        <w:jc w:val="center"/>
        <w:rPr>
          <w:rFonts w:eastAsia="Times New Roman" w:cs="Arial"/>
          <w:b/>
          <w:bCs/>
        </w:rPr>
      </w:pPr>
      <w:hyperlink r:id="rId10" w:history="1">
        <w:r w:rsidRPr="00CC46CC">
          <w:rPr>
            <w:rFonts w:eastAsia="Times New Roman" w:cs="Arial"/>
            <w:b/>
            <w:bCs/>
            <w:color w:val="0000FF"/>
            <w:u w:val="single"/>
          </w:rPr>
          <w:t>www.marches-publics.gouv.fr</w:t>
        </w:r>
      </w:hyperlink>
    </w:p>
    <w:p w14:paraId="494B0256" w14:textId="16D4B2C4" w:rsidR="00B20BB6" w:rsidRDefault="00535199">
      <w:pPr>
        <w:pStyle w:val="Titre1"/>
      </w:pPr>
      <w:bookmarkStart w:id="6" w:name="_heading=h.2jxsxqh"/>
      <w:bookmarkStart w:id="7" w:name="_Toc196230167"/>
      <w:bookmarkEnd w:id="6"/>
      <w:r>
        <w:t xml:space="preserve">Article 2 </w:t>
      </w:r>
      <w:r w:rsidR="00146E3B">
        <w:t>-</w:t>
      </w:r>
      <w:r>
        <w:t xml:space="preserve"> Procédure de passation</w:t>
      </w:r>
      <w:bookmarkEnd w:id="7"/>
    </w:p>
    <w:p w14:paraId="5DA58611" w14:textId="77777777" w:rsidR="00B20BB6" w:rsidRDefault="00535199">
      <w:pPr>
        <w:pBdr>
          <w:top w:val="nil"/>
          <w:left w:val="nil"/>
          <w:bottom w:val="nil"/>
          <w:right w:val="nil"/>
          <w:between w:val="nil"/>
        </w:pBdr>
        <w:rPr>
          <w:color w:val="000000"/>
        </w:rPr>
      </w:pPr>
      <w:r>
        <w:rPr>
          <w:color w:val="000000"/>
        </w:rPr>
        <w:t xml:space="preserve">La présente procédure de passation est régie par le Code de la commande publique, et notamment par les dispositions des articles R3126-1 et suivants. </w:t>
      </w:r>
    </w:p>
    <w:p w14:paraId="32151870" w14:textId="77777777" w:rsidR="00B20BB6" w:rsidRDefault="00535199">
      <w:pPr>
        <w:pStyle w:val="Titre1"/>
      </w:pPr>
      <w:bookmarkStart w:id="8" w:name="_Toc196230168"/>
      <w:r>
        <w:t>Article 3 - Objet de la concession</w:t>
      </w:r>
      <w:bookmarkEnd w:id="8"/>
    </w:p>
    <w:p w14:paraId="6E57477E" w14:textId="77D5B79D" w:rsidR="00B20BB6" w:rsidRDefault="00535199">
      <w:pPr>
        <w:pBdr>
          <w:top w:val="nil"/>
          <w:left w:val="nil"/>
          <w:bottom w:val="nil"/>
          <w:right w:val="nil"/>
          <w:between w:val="nil"/>
        </w:pBdr>
        <w:rPr>
          <w:color w:val="000000"/>
        </w:rPr>
      </w:pPr>
      <w:bookmarkStart w:id="9" w:name="_heading=h.1y810tw" w:colFirst="0" w:colLast="0"/>
      <w:bookmarkEnd w:id="9"/>
      <w:r>
        <w:rPr>
          <w:color w:val="000000"/>
        </w:rPr>
        <w:t>La présente consultation a pour objet la commercialisation</w:t>
      </w:r>
      <w:r w:rsidR="00562097">
        <w:rPr>
          <w:color w:val="000000"/>
        </w:rPr>
        <w:t>, l’aménagement</w:t>
      </w:r>
      <w:r>
        <w:rPr>
          <w:color w:val="000000"/>
        </w:rPr>
        <w:t xml:space="preserve"> et l</w:t>
      </w:r>
      <w:r w:rsidR="002468C0">
        <w:rPr>
          <w:color w:val="000000"/>
        </w:rPr>
        <w:t xml:space="preserve">a </w:t>
      </w:r>
      <w:r>
        <w:rPr>
          <w:color w:val="000000"/>
        </w:rPr>
        <w:t>gestion de la plateforme d’</w:t>
      </w:r>
      <w:r w:rsidR="002468C0">
        <w:rPr>
          <w:color w:val="000000"/>
        </w:rPr>
        <w:t>inscription</w:t>
      </w:r>
      <w:r w:rsidR="00EF42E4">
        <w:rPr>
          <w:color w:val="000000"/>
        </w:rPr>
        <w:t xml:space="preserve"> et de rendez-vous</w:t>
      </w:r>
      <w:r w:rsidR="0015501C">
        <w:rPr>
          <w:color w:val="000000"/>
        </w:rPr>
        <w:t xml:space="preserve"> de la convention d’affaires</w:t>
      </w:r>
      <w:r w:rsidR="00EF42E4">
        <w:rPr>
          <w:color w:val="000000"/>
        </w:rPr>
        <w:t xml:space="preserve"> </w:t>
      </w:r>
      <w:r>
        <w:rPr>
          <w:color w:val="000000"/>
        </w:rPr>
        <w:t>TECHINNOV 20</w:t>
      </w:r>
      <w:r w:rsidR="0079124A">
        <w:rPr>
          <w:color w:val="000000"/>
        </w:rPr>
        <w:t>2</w:t>
      </w:r>
      <w:r w:rsidR="00F2516B">
        <w:rPr>
          <w:color w:val="000000"/>
        </w:rPr>
        <w:t>6</w:t>
      </w:r>
      <w:r>
        <w:rPr>
          <w:color w:val="000000"/>
        </w:rPr>
        <w:t xml:space="preserve"> auprès de différents publics ainsi que la mise en œuvre d’une plate-forme de gestion des inscriptions et des rendez-vous.</w:t>
      </w:r>
    </w:p>
    <w:p w14:paraId="255E9F91" w14:textId="77777777" w:rsidR="002468C0" w:rsidRDefault="002468C0">
      <w:pPr>
        <w:pBdr>
          <w:top w:val="nil"/>
          <w:left w:val="nil"/>
          <w:bottom w:val="nil"/>
          <w:right w:val="nil"/>
          <w:between w:val="nil"/>
        </w:pBdr>
        <w:rPr>
          <w:color w:val="000080"/>
          <w:u w:val="single"/>
        </w:rPr>
      </w:pPr>
    </w:p>
    <w:p w14:paraId="3A1C3BA4" w14:textId="40A4487B" w:rsidR="00B20BB6" w:rsidRDefault="00535199">
      <w:pPr>
        <w:pBdr>
          <w:top w:val="nil"/>
          <w:left w:val="nil"/>
          <w:bottom w:val="nil"/>
          <w:right w:val="nil"/>
          <w:between w:val="nil"/>
        </w:pBdr>
        <w:rPr>
          <w:color w:val="000080"/>
          <w:u w:val="single"/>
        </w:rPr>
      </w:pPr>
      <w:r>
        <w:rPr>
          <w:color w:val="000080"/>
          <w:u w:val="single"/>
        </w:rPr>
        <w:t>Lieu</w:t>
      </w:r>
      <w:r w:rsidR="009D503F">
        <w:rPr>
          <w:color w:val="000080"/>
          <w:u w:val="single"/>
        </w:rPr>
        <w:t xml:space="preserve"> et format </w:t>
      </w:r>
      <w:r>
        <w:rPr>
          <w:color w:val="000080"/>
          <w:u w:val="single"/>
        </w:rPr>
        <w:t>de la manifestation</w:t>
      </w:r>
    </w:p>
    <w:p w14:paraId="797D7B63" w14:textId="77777777" w:rsidR="00AD3E58" w:rsidRDefault="00AD3E58">
      <w:pPr>
        <w:pBdr>
          <w:top w:val="nil"/>
          <w:left w:val="nil"/>
          <w:bottom w:val="nil"/>
          <w:right w:val="nil"/>
          <w:between w:val="nil"/>
        </w:pBdr>
        <w:rPr>
          <w:color w:val="000080"/>
          <w:u w:val="single"/>
        </w:rPr>
      </w:pPr>
    </w:p>
    <w:p w14:paraId="6828E4BB" w14:textId="77777777" w:rsidR="009D503F" w:rsidRPr="009D503F" w:rsidRDefault="009D503F" w:rsidP="009D503F">
      <w:pPr>
        <w:widowControl/>
        <w:rPr>
          <w:rFonts w:eastAsia="Times New Roman" w:cs="Arial"/>
        </w:rPr>
      </w:pPr>
      <w:bookmarkStart w:id="10" w:name="_heading=h.2xcytpi" w:colFirst="0" w:colLast="0"/>
      <w:bookmarkEnd w:id="10"/>
      <w:r w:rsidRPr="009D503F">
        <w:rPr>
          <w:rFonts w:eastAsia="Times New Roman" w:cs="Arial"/>
        </w:rPr>
        <w:t xml:space="preserve">La manifestation se tiendra sur un site à définir qui sera localisé en région parisienne. </w:t>
      </w:r>
    </w:p>
    <w:p w14:paraId="03DBD831" w14:textId="77777777" w:rsidR="009D503F" w:rsidRPr="009D503F" w:rsidRDefault="009D503F" w:rsidP="009D503F">
      <w:pPr>
        <w:widowControl/>
        <w:rPr>
          <w:rFonts w:eastAsia="Times New Roman" w:cs="Arial"/>
        </w:rPr>
      </w:pPr>
    </w:p>
    <w:p w14:paraId="240185C0" w14:textId="35107863" w:rsidR="009D503F" w:rsidRDefault="009D503F" w:rsidP="009D503F">
      <w:pPr>
        <w:widowControl/>
        <w:rPr>
          <w:rFonts w:eastAsia="Times New Roman" w:cs="Arial"/>
        </w:rPr>
      </w:pPr>
      <w:r w:rsidRPr="009D503F">
        <w:rPr>
          <w:rFonts w:eastAsia="Times New Roman" w:cs="Arial"/>
        </w:rPr>
        <w:t xml:space="preserve">Afin de permettre la tenue de la manifestation quelle que soit la situation, trois hypothèses sont envisagées : </w:t>
      </w:r>
    </w:p>
    <w:p w14:paraId="02318412" w14:textId="77777777" w:rsidR="00AD3E58" w:rsidRDefault="00AD3E58" w:rsidP="009D503F">
      <w:pPr>
        <w:widowControl/>
        <w:rPr>
          <w:rFonts w:eastAsia="Times New Roman" w:cs="Arial"/>
        </w:rPr>
      </w:pPr>
    </w:p>
    <w:p w14:paraId="6974E832" w14:textId="77777777" w:rsidR="009D503F" w:rsidRPr="009D503F" w:rsidRDefault="009D503F" w:rsidP="009D503F">
      <w:pPr>
        <w:widowControl/>
        <w:numPr>
          <w:ilvl w:val="0"/>
          <w:numId w:val="16"/>
        </w:numPr>
        <w:spacing w:before="120" w:after="120"/>
        <w:contextualSpacing/>
        <w:rPr>
          <w:rFonts w:eastAsia="Times New Roman" w:cs="Arial"/>
        </w:rPr>
      </w:pPr>
      <w:r w:rsidRPr="009D503F">
        <w:rPr>
          <w:rFonts w:eastAsia="Times New Roman" w:cs="Arial"/>
        </w:rPr>
        <w:t>L’organisation de la manifestation en présentiel (format privilégié) ;</w:t>
      </w:r>
    </w:p>
    <w:p w14:paraId="44FCB103" w14:textId="77777777" w:rsidR="009D503F" w:rsidRPr="009D503F" w:rsidRDefault="009D503F" w:rsidP="009D503F">
      <w:pPr>
        <w:widowControl/>
        <w:numPr>
          <w:ilvl w:val="0"/>
          <w:numId w:val="16"/>
        </w:numPr>
        <w:spacing w:before="120" w:after="120"/>
        <w:contextualSpacing/>
        <w:rPr>
          <w:rFonts w:eastAsia="Times New Roman" w:cs="Arial"/>
        </w:rPr>
      </w:pPr>
      <w:r w:rsidRPr="009D503F">
        <w:rPr>
          <w:rFonts w:eastAsia="Times New Roman" w:cs="Arial"/>
        </w:rPr>
        <w:t>L'organisation de la manifestation sous un format hybride (présentiel et digital) ;</w:t>
      </w:r>
    </w:p>
    <w:p w14:paraId="2D1F9AAE" w14:textId="77777777" w:rsidR="009D503F" w:rsidRPr="009D503F" w:rsidRDefault="009D503F" w:rsidP="009D503F">
      <w:pPr>
        <w:widowControl/>
        <w:numPr>
          <w:ilvl w:val="0"/>
          <w:numId w:val="16"/>
        </w:numPr>
        <w:spacing w:before="120" w:after="120"/>
        <w:contextualSpacing/>
        <w:rPr>
          <w:rFonts w:eastAsia="Times New Roman" w:cs="Arial"/>
        </w:rPr>
      </w:pPr>
      <w:r w:rsidRPr="009D503F">
        <w:rPr>
          <w:rFonts w:eastAsia="Times New Roman" w:cs="Arial"/>
        </w:rPr>
        <w:t>L'organisation de la manifestation en format 100 % digital.</w:t>
      </w:r>
    </w:p>
    <w:p w14:paraId="659B41A5" w14:textId="354B7FAD" w:rsidR="005226B2" w:rsidRPr="006273FD" w:rsidRDefault="005226B2" w:rsidP="005226B2">
      <w:r>
        <w:lastRenderedPageBreak/>
        <w:t xml:space="preserve">La CCI Essonne définira le format de l’événement au plus tard </w:t>
      </w:r>
      <w:r w:rsidR="00F2516B">
        <w:t>deux (</w:t>
      </w:r>
      <w:r w:rsidR="00F7424A">
        <w:t>2</w:t>
      </w:r>
      <w:r w:rsidR="00F2516B">
        <w:t>)</w:t>
      </w:r>
      <w:r>
        <w:t xml:space="preserve"> mois avant la date de l’évènement afin de tenir compte</w:t>
      </w:r>
      <w:r w:rsidRPr="001B694B">
        <w:t xml:space="preserve"> d’éventuelles contraintes </w:t>
      </w:r>
      <w:r>
        <w:t>qui pourront être appliquées à cette période.</w:t>
      </w:r>
    </w:p>
    <w:p w14:paraId="10324F48" w14:textId="77777777" w:rsidR="00EF42E4" w:rsidRDefault="00EF42E4" w:rsidP="009D503F">
      <w:pPr>
        <w:widowControl/>
        <w:autoSpaceDE w:val="0"/>
        <w:autoSpaceDN w:val="0"/>
        <w:adjustRightInd w:val="0"/>
        <w:rPr>
          <w:rFonts w:eastAsia="Times New Roman" w:cs="Verdana-Italic"/>
          <w:iCs/>
        </w:rPr>
      </w:pPr>
    </w:p>
    <w:p w14:paraId="2CE2FF80" w14:textId="0F82986C" w:rsidR="00CC46CC" w:rsidRDefault="009D503F" w:rsidP="00CC46CC">
      <w:pPr>
        <w:widowControl/>
        <w:autoSpaceDE w:val="0"/>
        <w:autoSpaceDN w:val="0"/>
        <w:adjustRightInd w:val="0"/>
        <w:rPr>
          <w:rFonts w:eastAsia="Times New Roman" w:cs="Verdana-Italic"/>
          <w:iCs/>
        </w:rPr>
      </w:pPr>
      <w:r w:rsidRPr="5504E08E">
        <w:rPr>
          <w:rFonts w:eastAsia="Times New Roman" w:cs="Verdana-Italic"/>
        </w:rPr>
        <w:t xml:space="preserve">Cette prestation sera organisée, à titre indicatif, entre </w:t>
      </w:r>
      <w:r w:rsidR="00D32411" w:rsidRPr="5504E08E">
        <w:rPr>
          <w:rFonts w:eastAsia="Times New Roman" w:cs="Verdana-Italic"/>
        </w:rPr>
        <w:t>mars</w:t>
      </w:r>
      <w:r w:rsidRPr="5504E08E">
        <w:rPr>
          <w:rFonts w:eastAsia="Times New Roman" w:cs="Verdana-Italic"/>
        </w:rPr>
        <w:t xml:space="preserve"> et </w:t>
      </w:r>
      <w:r w:rsidR="00D32411" w:rsidRPr="5504E08E">
        <w:rPr>
          <w:rFonts w:eastAsia="Times New Roman" w:cs="Verdana-Italic"/>
        </w:rPr>
        <w:t>juin</w:t>
      </w:r>
      <w:r w:rsidRPr="5504E08E">
        <w:rPr>
          <w:rFonts w:eastAsia="Times New Roman" w:cs="Verdana-Italic"/>
        </w:rPr>
        <w:t xml:space="preserve"> 202</w:t>
      </w:r>
      <w:r w:rsidR="00F2516B" w:rsidRPr="5504E08E">
        <w:rPr>
          <w:rFonts w:eastAsia="Times New Roman" w:cs="Verdana-Italic"/>
        </w:rPr>
        <w:t>6</w:t>
      </w:r>
      <w:r w:rsidRPr="5504E08E">
        <w:rPr>
          <w:rFonts w:eastAsia="Times New Roman" w:cs="Verdana-Italic"/>
        </w:rPr>
        <w:t>.</w:t>
      </w:r>
    </w:p>
    <w:p w14:paraId="422A5D15" w14:textId="77777777" w:rsidR="00771386" w:rsidRPr="00E2759A" w:rsidRDefault="00771386" w:rsidP="00771386"/>
    <w:p w14:paraId="6B408D83" w14:textId="530149C1" w:rsidR="1A72AE37" w:rsidRPr="00E26F45" w:rsidRDefault="1A72AE37" w:rsidP="5504E08E">
      <w:pPr>
        <w:rPr>
          <w:color w:val="000000" w:themeColor="text1"/>
        </w:rPr>
      </w:pPr>
      <w:r w:rsidRPr="5504E08E">
        <w:rPr>
          <w:color w:val="000000" w:themeColor="text1"/>
        </w:rPr>
        <w:t xml:space="preserve">Dans l'hypothèse d'un événement qui se tient en présentiel (format 100 % présentiel ou </w:t>
      </w:r>
      <w:r w:rsidRPr="00E26F45">
        <w:rPr>
          <w:color w:val="000000" w:themeColor="text1"/>
        </w:rPr>
        <w:t>hybride) le concessionnaire devra prendre en charge :</w:t>
      </w:r>
    </w:p>
    <w:p w14:paraId="69B3B95C" w14:textId="2ADAD820" w:rsidR="1A72AE37" w:rsidRPr="00E26F45" w:rsidRDefault="1A72AE37" w:rsidP="5504E08E">
      <w:pPr>
        <w:pStyle w:val="Paragraphedeliste"/>
        <w:numPr>
          <w:ilvl w:val="0"/>
          <w:numId w:val="16"/>
        </w:numPr>
        <w:rPr>
          <w:color w:val="000000" w:themeColor="text1"/>
        </w:rPr>
      </w:pPr>
      <w:r w:rsidRPr="00E26F45">
        <w:rPr>
          <w:color w:val="000000" w:themeColor="text1"/>
        </w:rPr>
        <w:t xml:space="preserve">La gestion de l’aménagement et l’ensemble des coûts relatifs à l’aménagement des parties fixes (accueil, Visio-Meetings, Business Lounge, </w:t>
      </w:r>
      <w:r w:rsidR="13C89F0C" w:rsidRPr="00E26F45">
        <w:rPr>
          <w:color w:val="000000" w:themeColor="text1"/>
        </w:rPr>
        <w:t>Pause-Café</w:t>
      </w:r>
      <w:r w:rsidRPr="00E26F45">
        <w:rPr>
          <w:color w:val="000000" w:themeColor="text1"/>
        </w:rPr>
        <w:t xml:space="preserve">, espace </w:t>
      </w:r>
      <w:proofErr w:type="spellStart"/>
      <w:r w:rsidRPr="00E26F45">
        <w:rPr>
          <w:color w:val="000000" w:themeColor="text1"/>
        </w:rPr>
        <w:t>Pitchs</w:t>
      </w:r>
      <w:proofErr w:type="spellEnd"/>
      <w:r w:rsidRPr="00E26F45">
        <w:rPr>
          <w:color w:val="000000" w:themeColor="text1"/>
        </w:rPr>
        <w:t>, Aréna, déjeuner VIP…) et variables (selon les stands vendus) (cf. article 8.1.2 du présent document) ;</w:t>
      </w:r>
    </w:p>
    <w:p w14:paraId="7E646D7C" w14:textId="2F780A87" w:rsidR="1A72AE37" w:rsidRPr="00E26F45" w:rsidRDefault="1A72AE37" w:rsidP="5504E08E">
      <w:pPr>
        <w:pStyle w:val="Paragraphedeliste"/>
        <w:numPr>
          <w:ilvl w:val="0"/>
          <w:numId w:val="16"/>
        </w:numPr>
        <w:rPr>
          <w:color w:val="000000" w:themeColor="text1"/>
        </w:rPr>
      </w:pPr>
      <w:r w:rsidRPr="00E26F45">
        <w:rPr>
          <w:color w:val="000000" w:themeColor="text1"/>
        </w:rPr>
        <w:t>L’électricité (coffrets électriques et permanence selon devis et facture communiqués par le Gestionnaire du site) (cf. article 8.1.2 du présent document) ;</w:t>
      </w:r>
    </w:p>
    <w:p w14:paraId="1B1B7B5B" w14:textId="42249345" w:rsidR="1A72AE37" w:rsidRPr="00E26F45" w:rsidRDefault="1A72AE37" w:rsidP="5504E08E">
      <w:pPr>
        <w:pStyle w:val="Paragraphedeliste"/>
        <w:numPr>
          <w:ilvl w:val="0"/>
          <w:numId w:val="16"/>
        </w:numPr>
        <w:rPr>
          <w:color w:val="000000" w:themeColor="text1"/>
        </w:rPr>
      </w:pPr>
      <w:r w:rsidRPr="00E26F45">
        <w:rPr>
          <w:color w:val="000000" w:themeColor="text1"/>
        </w:rPr>
        <w:t>20</w:t>
      </w:r>
      <w:r w:rsidR="2A095D53" w:rsidRPr="00E26F45">
        <w:rPr>
          <w:color w:val="000000" w:themeColor="text1"/>
        </w:rPr>
        <w:t xml:space="preserve"> </w:t>
      </w:r>
      <w:r w:rsidRPr="00E26F45">
        <w:rPr>
          <w:color w:val="000000" w:themeColor="text1"/>
        </w:rPr>
        <w:t>% des frais associés à la location et l’exploitation du site (hors boitiers électriques et permanence).</w:t>
      </w:r>
    </w:p>
    <w:p w14:paraId="74B098F7" w14:textId="5BE1501F" w:rsidR="00A14FFD" w:rsidRDefault="00A14FFD" w:rsidP="00A14FFD"/>
    <w:p w14:paraId="22AFF2D7" w14:textId="3D293D7D" w:rsidR="00A14FFD" w:rsidRPr="00A14FFD" w:rsidRDefault="00A14FFD" w:rsidP="00A14FFD">
      <w:pPr>
        <w:rPr>
          <w:lang w:bidi="fr-FR"/>
        </w:rPr>
      </w:pPr>
      <w:r w:rsidRPr="00A14FFD">
        <w:rPr>
          <w:lang w:bidi="fr-FR"/>
        </w:rPr>
        <w:t>Dans la mesure du possible, la facturation de ces prestations lui sera adressée directement. Si non, la CCI Essonne les prendra à sa charge et les lui refacturera.</w:t>
      </w:r>
    </w:p>
    <w:p w14:paraId="5303DCC6" w14:textId="77777777" w:rsidR="00A14FFD" w:rsidRPr="00A14FFD" w:rsidRDefault="00A14FFD" w:rsidP="00A14FFD">
      <w:pPr>
        <w:rPr>
          <w:lang w:bidi="fr-FR"/>
        </w:rPr>
      </w:pPr>
    </w:p>
    <w:p w14:paraId="56397A62" w14:textId="77777777" w:rsidR="00A14FFD" w:rsidRPr="00A14FFD" w:rsidRDefault="00A14FFD" w:rsidP="00A14FFD">
      <w:pPr>
        <w:rPr>
          <w:lang w:bidi="fr-FR"/>
        </w:rPr>
      </w:pPr>
      <w:r w:rsidRPr="00A14FFD">
        <w:rPr>
          <w:lang w:bidi="fr-FR"/>
        </w:rPr>
        <w:t>La CCI Essonne se chargera également du café d’accueil, de la collation tout au long de la journée ainsi que d’un éventuel cocktail de clôture.</w:t>
      </w:r>
    </w:p>
    <w:p w14:paraId="1CA3DBC6" w14:textId="77777777" w:rsidR="009D503F" w:rsidRPr="009D503F" w:rsidRDefault="009D503F" w:rsidP="009D503F">
      <w:pPr>
        <w:widowControl/>
        <w:autoSpaceDE w:val="0"/>
        <w:autoSpaceDN w:val="0"/>
        <w:adjustRightInd w:val="0"/>
        <w:rPr>
          <w:rFonts w:eastAsia="Times New Roman" w:cs="Verdana-Italic"/>
          <w:iCs/>
        </w:rPr>
      </w:pPr>
    </w:p>
    <w:p w14:paraId="5532F021" w14:textId="77777777" w:rsidR="00B20BB6" w:rsidRDefault="00535199">
      <w:pPr>
        <w:pBdr>
          <w:top w:val="nil"/>
          <w:left w:val="nil"/>
          <w:bottom w:val="nil"/>
          <w:right w:val="nil"/>
          <w:between w:val="nil"/>
        </w:pBdr>
        <w:rPr>
          <w:color w:val="000000"/>
        </w:rPr>
      </w:pPr>
      <w:r>
        <w:rPr>
          <w:color w:val="000000"/>
        </w:rPr>
        <w:t>La prestation devra être réalisée conformément aux prescriptions figurant notamment dans le Cahier des Charges (CDC).</w:t>
      </w:r>
    </w:p>
    <w:p w14:paraId="1E32FA7B" w14:textId="7B8AC51C" w:rsidR="00B20BB6" w:rsidRDefault="00535199">
      <w:pPr>
        <w:pStyle w:val="Titre1"/>
      </w:pPr>
      <w:bookmarkStart w:id="11" w:name="_Toc196230169"/>
      <w:r>
        <w:t xml:space="preserve">Article 4 </w:t>
      </w:r>
      <w:r w:rsidR="00146E3B">
        <w:t>-</w:t>
      </w:r>
      <w:r>
        <w:t xml:space="preserve"> Durée de la concession</w:t>
      </w:r>
      <w:bookmarkEnd w:id="11"/>
    </w:p>
    <w:p w14:paraId="24C00804" w14:textId="4366B02A" w:rsidR="003907F4" w:rsidRDefault="003907F4" w:rsidP="003907F4">
      <w:bookmarkStart w:id="12" w:name="_Hlk164448716"/>
      <w:r>
        <w:t>La présente concession</w:t>
      </w:r>
      <w:r w:rsidRPr="5504E08E">
        <w:rPr>
          <w:lang w:bidi="fr-FR"/>
        </w:rPr>
        <w:t xml:space="preserve"> prendra effet à compter de </w:t>
      </w:r>
      <w:r w:rsidR="008B6F7C" w:rsidRPr="5504E08E">
        <w:rPr>
          <w:lang w:bidi="fr-FR"/>
        </w:rPr>
        <w:t>sa date de</w:t>
      </w:r>
      <w:r w:rsidRPr="5504E08E">
        <w:rPr>
          <w:lang w:bidi="fr-FR"/>
        </w:rPr>
        <w:t xml:space="preserve"> notification accompagné</w:t>
      </w:r>
      <w:r w:rsidR="320B9170" w:rsidRPr="5504E08E">
        <w:rPr>
          <w:lang w:bidi="fr-FR"/>
        </w:rPr>
        <w:t>e</w:t>
      </w:r>
      <w:r w:rsidRPr="5504E08E">
        <w:rPr>
          <w:lang w:bidi="fr-FR"/>
        </w:rPr>
        <w:t xml:space="preserve"> de la copie des pièces </w:t>
      </w:r>
      <w:r>
        <w:t>de ladite concession. Elle expirera à la remise du bilan définitif, soit six mois après la date de la manifestation.</w:t>
      </w:r>
    </w:p>
    <w:bookmarkEnd w:id="12"/>
    <w:p w14:paraId="7600584B" w14:textId="77777777" w:rsidR="00B20BB6" w:rsidRDefault="00B20BB6">
      <w:pPr>
        <w:pBdr>
          <w:top w:val="nil"/>
          <w:left w:val="nil"/>
          <w:bottom w:val="nil"/>
          <w:right w:val="nil"/>
          <w:between w:val="nil"/>
        </w:pBdr>
        <w:rPr>
          <w:b/>
          <w:color w:val="000000"/>
        </w:rPr>
      </w:pPr>
    </w:p>
    <w:p w14:paraId="06482318" w14:textId="77777777" w:rsidR="00B20BB6" w:rsidRPr="009D503F" w:rsidRDefault="00535199">
      <w:pPr>
        <w:pBdr>
          <w:top w:val="nil"/>
          <w:left w:val="nil"/>
          <w:bottom w:val="nil"/>
          <w:right w:val="nil"/>
          <w:between w:val="nil"/>
        </w:pBdr>
        <w:rPr>
          <w:color w:val="000000"/>
        </w:rPr>
      </w:pPr>
      <w:bookmarkStart w:id="13" w:name="_heading=h.3whwml4" w:colFirst="0" w:colLast="0"/>
      <w:bookmarkEnd w:id="13"/>
      <w:r w:rsidRPr="009D503F">
        <w:rPr>
          <w:color w:val="000000"/>
        </w:rPr>
        <w:t xml:space="preserve">A titre de condition essentielle sans laquelle le Concédant n’aurait pas contracté, le Concessionnaire doit s’engager à garantir que la manifestation aura lieu à la date </w:t>
      </w:r>
      <w:r w:rsidR="009D503F" w:rsidRPr="009D503F">
        <w:rPr>
          <w:color w:val="000000"/>
        </w:rPr>
        <w:t xml:space="preserve">qui sera </w:t>
      </w:r>
      <w:r w:rsidRPr="009D503F">
        <w:rPr>
          <w:color w:val="000000"/>
        </w:rPr>
        <w:t>envisagée par l’autorité concédante.</w:t>
      </w:r>
    </w:p>
    <w:p w14:paraId="18770E49" w14:textId="6D683D65" w:rsidR="00B20BB6" w:rsidRDefault="00535199">
      <w:pPr>
        <w:pStyle w:val="Titre1"/>
      </w:pPr>
      <w:bookmarkStart w:id="14" w:name="_Toc196230170"/>
      <w:r>
        <w:t xml:space="preserve">Article 5 </w:t>
      </w:r>
      <w:r w:rsidR="00146E3B">
        <w:t>-</w:t>
      </w:r>
      <w:r>
        <w:t xml:space="preserve"> </w:t>
      </w:r>
      <w:r w:rsidR="00435097">
        <w:t>Dispositions financières</w:t>
      </w:r>
      <w:bookmarkEnd w:id="14"/>
    </w:p>
    <w:p w14:paraId="2A6BD3B3" w14:textId="77777777" w:rsidR="00435097" w:rsidRPr="00146E3B" w:rsidRDefault="00435097" w:rsidP="00146E3B">
      <w:pPr>
        <w:pStyle w:val="Titre2"/>
      </w:pPr>
      <w:bookmarkStart w:id="15" w:name="_Toc196230171"/>
      <w:r>
        <w:t>5.1 Prix de la concession</w:t>
      </w:r>
      <w:bookmarkEnd w:id="15"/>
      <w:r>
        <w:t xml:space="preserve"> </w:t>
      </w:r>
    </w:p>
    <w:p w14:paraId="4EE4DD6F" w14:textId="40C7E933" w:rsidR="00460FB3" w:rsidRPr="00795703" w:rsidRDefault="00460FB3" w:rsidP="00460FB3">
      <w:pPr>
        <w:widowControl/>
      </w:pPr>
      <w:r w:rsidRPr="00795703">
        <w:t xml:space="preserve">Le prix de la concession pour exploiter la commercialisation, la gestion des inscriptions et des rendez-vous de l’événement </w:t>
      </w:r>
      <w:r>
        <w:t xml:space="preserve">ainsi que l’aménagement des espaces </w:t>
      </w:r>
      <w:proofErr w:type="spellStart"/>
      <w:r w:rsidRPr="00795703">
        <w:t>Techinnov</w:t>
      </w:r>
      <w:proofErr w:type="spellEnd"/>
      <w:r w:rsidRPr="00795703">
        <w:t xml:space="preserve"> 202</w:t>
      </w:r>
      <w:r w:rsidR="00F2516B">
        <w:t>6</w:t>
      </w:r>
      <w:r>
        <w:t xml:space="preserve"> </w:t>
      </w:r>
      <w:r w:rsidRPr="00795703">
        <w:t xml:space="preserve">est fixé à </w:t>
      </w:r>
      <w:r w:rsidRPr="00795703">
        <w:rPr>
          <w:b/>
          <w:bCs/>
        </w:rPr>
        <w:t>25 % du chiffre d'</w:t>
      </w:r>
      <w:r>
        <w:rPr>
          <w:b/>
          <w:bCs/>
        </w:rPr>
        <w:t xml:space="preserve">affaires Hors Taxe prévisionnel </w:t>
      </w:r>
      <w:r w:rsidRPr="00795703">
        <w:rPr>
          <w:b/>
          <w:bCs/>
        </w:rPr>
        <w:t xml:space="preserve">du </w:t>
      </w:r>
      <w:r>
        <w:rPr>
          <w:b/>
          <w:bCs/>
        </w:rPr>
        <w:t>C</w:t>
      </w:r>
      <w:r w:rsidRPr="00795703">
        <w:rPr>
          <w:b/>
          <w:bCs/>
        </w:rPr>
        <w:t>oncessionnaire</w:t>
      </w:r>
      <w:r w:rsidRPr="00795703">
        <w:t xml:space="preserve">. </w:t>
      </w:r>
    </w:p>
    <w:p w14:paraId="3D0FC577" w14:textId="77777777" w:rsidR="00460FB3" w:rsidRPr="00795703" w:rsidRDefault="00460FB3" w:rsidP="00460FB3">
      <w:pPr>
        <w:widowControl/>
      </w:pPr>
    </w:p>
    <w:p w14:paraId="21172D6A" w14:textId="77777777" w:rsidR="00460FB3" w:rsidRPr="00795703" w:rsidRDefault="00460FB3" w:rsidP="00460FB3">
      <w:pPr>
        <w:widowControl/>
      </w:pPr>
      <w:r w:rsidRPr="00795703">
        <w:t xml:space="preserve">Ce montant servira à couvrir partiellement les charges suivantes : </w:t>
      </w:r>
    </w:p>
    <w:p w14:paraId="1136046B" w14:textId="77494C72" w:rsidR="00460FB3" w:rsidRPr="00795703" w:rsidRDefault="33801FA7" w:rsidP="00460FB3">
      <w:pPr>
        <w:widowControl/>
        <w:numPr>
          <w:ilvl w:val="0"/>
          <w:numId w:val="17"/>
        </w:numPr>
      </w:pPr>
      <w:r>
        <w:t>Les</w:t>
      </w:r>
      <w:r w:rsidR="00460FB3">
        <w:t xml:space="preserve"> frais de communication, </w:t>
      </w:r>
    </w:p>
    <w:p w14:paraId="6054263B" w14:textId="65DF4BEC" w:rsidR="00460FB3" w:rsidRDefault="699AE57F" w:rsidP="00460FB3">
      <w:pPr>
        <w:widowControl/>
        <w:numPr>
          <w:ilvl w:val="0"/>
          <w:numId w:val="17"/>
        </w:numPr>
      </w:pPr>
      <w:r>
        <w:t>Les</w:t>
      </w:r>
      <w:r w:rsidR="00460FB3">
        <w:t xml:space="preserve"> frais de restauration,</w:t>
      </w:r>
    </w:p>
    <w:p w14:paraId="174B8977" w14:textId="7AC59F01" w:rsidR="00460FB3" w:rsidRPr="00795703" w:rsidRDefault="05F523BB" w:rsidP="00460FB3">
      <w:pPr>
        <w:widowControl/>
        <w:numPr>
          <w:ilvl w:val="0"/>
          <w:numId w:val="17"/>
        </w:numPr>
      </w:pPr>
      <w:r>
        <w:t>Les</w:t>
      </w:r>
      <w:r w:rsidR="00460FB3">
        <w:t xml:space="preserve"> frais de relations Presse/Publiques et journaliste(s).</w:t>
      </w:r>
    </w:p>
    <w:p w14:paraId="47E56083" w14:textId="77777777" w:rsidR="00460FB3" w:rsidRPr="00795703" w:rsidRDefault="00460FB3" w:rsidP="00460FB3">
      <w:pPr>
        <w:widowControl/>
      </w:pPr>
    </w:p>
    <w:p w14:paraId="45B469F7" w14:textId="77777777" w:rsidR="00460FB3" w:rsidRPr="002F228B" w:rsidRDefault="00460FB3" w:rsidP="00460FB3">
      <w:pPr>
        <w:widowControl/>
      </w:pPr>
      <w:r w:rsidRPr="008B6F7C">
        <w:t>Si le montant des recettes réellement encaissées est supérieur à celui prévu par le concessionnaire dans son offre, la différence sera reversée à hauteur de 30 % à la CCI Essonne.</w:t>
      </w:r>
      <w:bookmarkStart w:id="16" w:name="bookmark=id.34g0dwd" w:colFirst="0" w:colLast="0"/>
      <w:bookmarkEnd w:id="16"/>
    </w:p>
    <w:p w14:paraId="665DA948" w14:textId="77777777" w:rsidR="008B6F7C" w:rsidRDefault="008B6F7C" w:rsidP="00460FB3">
      <w:pPr>
        <w:widowControl/>
      </w:pPr>
    </w:p>
    <w:p w14:paraId="3552038B" w14:textId="21115BCE" w:rsidR="00460FB3" w:rsidRDefault="00460FB3" w:rsidP="00460FB3">
      <w:pPr>
        <w:widowControl/>
      </w:pPr>
      <w:r w:rsidRPr="002F228B">
        <w:lastRenderedPageBreak/>
        <w:t>Si le montant des recettes réellement encaissées est inférieur à celui prévu par le concessionnaire dans son offre, ce dernier devra reverser, quoi</w:t>
      </w:r>
      <w:r>
        <w:t xml:space="preserve"> </w:t>
      </w:r>
      <w:r w:rsidRPr="002F228B">
        <w:t>qu’il en soit le montant minimum fixé à 25</w:t>
      </w:r>
      <w:r w:rsidR="00AC271D">
        <w:t xml:space="preserve"> </w:t>
      </w:r>
      <w:r w:rsidRPr="002F228B">
        <w:t>% du chiffre d’affaires prévisionnel Hors Taxe qu’il aura communiqué dans son offre.</w:t>
      </w:r>
    </w:p>
    <w:p w14:paraId="28C8B105" w14:textId="362744D8" w:rsidR="002E0D10" w:rsidRPr="00146E3B" w:rsidRDefault="002E0D10" w:rsidP="002E0D10">
      <w:pPr>
        <w:pStyle w:val="Titre2"/>
      </w:pPr>
      <w:bookmarkStart w:id="17" w:name="_Toc196230172"/>
      <w:r>
        <w:t>5.2 Prise en charge des stands et des parties communes</w:t>
      </w:r>
      <w:bookmarkEnd w:id="17"/>
      <w:r>
        <w:t xml:space="preserve"> </w:t>
      </w:r>
    </w:p>
    <w:p w14:paraId="106E9069" w14:textId="77777777" w:rsidR="00682BCF" w:rsidRPr="00682BCF" w:rsidRDefault="00682BCF" w:rsidP="00682BCF">
      <w:pPr>
        <w:rPr>
          <w:lang w:bidi="fr-FR"/>
        </w:rPr>
      </w:pPr>
      <w:r w:rsidRPr="00682BCF">
        <w:rPr>
          <w:lang w:bidi="fr-FR"/>
        </w:rPr>
        <w:t>Le concessionnaire prend en charge la gestion de l’aménagement et l’ensemble des coûts relatifs à l’aménagement des parties fixes (accueil, Visio-Meetings, Business Lounge, Pause-Café, espace déjeuner VIP…) et variables (selon les stands vendus), les frais portant sur l’électricité (coffrets électriques et permanence selon devis et facture communiqués par le Gestionnaire du site).</w:t>
      </w:r>
    </w:p>
    <w:p w14:paraId="4115F9D4" w14:textId="77777777" w:rsidR="00460FB3" w:rsidRDefault="00460FB3" w:rsidP="00460FB3">
      <w:pPr>
        <w:pStyle w:val="Paragraphedeliste"/>
        <w:ind w:left="360"/>
      </w:pPr>
    </w:p>
    <w:p w14:paraId="299E8874" w14:textId="1DB30860" w:rsidR="008B7EE3" w:rsidRPr="008B7EE3" w:rsidRDefault="008B7EE3" w:rsidP="008B7EE3">
      <w:r w:rsidRPr="008B7EE3">
        <w:t xml:space="preserve">Seul le coût d’aménagement, la permanence électrique, ainsi que les coûts des coffrets électriques </w:t>
      </w:r>
      <w:r w:rsidRPr="008B7EE3">
        <w:rPr>
          <w:b/>
          <w:bCs/>
        </w:rPr>
        <w:t>de la partie Arena</w:t>
      </w:r>
      <w:r w:rsidRPr="008B7EE3">
        <w:t xml:space="preserve"> (structure, mobilier et régie technique) est pris en charge par le concédant à hauteur de 50</w:t>
      </w:r>
      <w:r w:rsidR="00AC271D">
        <w:t xml:space="preserve"> </w:t>
      </w:r>
      <w:r w:rsidRPr="008B7EE3">
        <w:t>% du montant facturé, dans la limite de 5 000 € HT.</w:t>
      </w:r>
    </w:p>
    <w:p w14:paraId="41E594B2" w14:textId="77777777" w:rsidR="008B7EE3" w:rsidRPr="008B7EE3" w:rsidRDefault="008B7EE3" w:rsidP="008B7EE3"/>
    <w:p w14:paraId="1F86403D" w14:textId="77777777" w:rsidR="008B7EE3" w:rsidRPr="008B7EE3" w:rsidRDefault="008B7EE3" w:rsidP="008B7EE3">
      <w:r w:rsidRPr="008B7EE3">
        <w:t>Tous les frais d’aménagement et d’électricité (coffrets et permanence) des autres parties fixes, en dehors de l’Arena, sont pris en charge en intégralité par le concessionnaire.</w:t>
      </w:r>
    </w:p>
    <w:p w14:paraId="596FD210" w14:textId="77777777" w:rsidR="008B7EE3" w:rsidRDefault="008B7EE3" w:rsidP="00460FB3">
      <w:pPr>
        <w:pStyle w:val="Paragraphedeliste"/>
        <w:ind w:left="360"/>
      </w:pPr>
    </w:p>
    <w:p w14:paraId="031E088B" w14:textId="77777777" w:rsidR="00460FB3" w:rsidRPr="00E8321C" w:rsidRDefault="00460FB3" w:rsidP="008B6F7C">
      <w:bookmarkStart w:id="18" w:name="_Hlk135152608"/>
      <w:r w:rsidRPr="00E8321C">
        <w:t>La gestion de l’aménagement nécessite une coordination entre le concessionnaire, le titulaire du marché communication, le gestionnaire de l’espace choisi pour l’évènement, ainsi que toute autre partie prenante du projet. </w:t>
      </w:r>
    </w:p>
    <w:p w14:paraId="323A7DC3" w14:textId="09A0DC09" w:rsidR="00460FB3" w:rsidRPr="00E8321C" w:rsidRDefault="00460FB3" w:rsidP="008B6F7C">
      <w:r w:rsidRPr="00E8321C">
        <w:t>Dans ce cadre, le con</w:t>
      </w:r>
      <w:r w:rsidR="00CA3B4E" w:rsidRPr="00E8321C">
        <w:t>cédant</w:t>
      </w:r>
      <w:r w:rsidRPr="00E8321C">
        <w:t xml:space="preserve"> s’engage</w:t>
      </w:r>
      <w:r w:rsidR="00CA3B4E" w:rsidRPr="00E8321C">
        <w:t xml:space="preserve"> </w:t>
      </w:r>
      <w:r w:rsidRPr="00E8321C">
        <w:t>à verser au concessionnaire une rétribution correspondante aux frais de gestion de projet</w:t>
      </w:r>
      <w:r w:rsidR="00CA3B4E" w:rsidRPr="00E8321C">
        <w:t xml:space="preserve"> sous réserve que ce dernier justifie des moyens humains et matériels nécessaires à la réalisation de la gestion de l’aménagement et de la coordination citées ci-dessus.</w:t>
      </w:r>
    </w:p>
    <w:p w14:paraId="08F75D57" w14:textId="77777777" w:rsidR="00460FB3" w:rsidRPr="00E8321C" w:rsidRDefault="00460FB3" w:rsidP="008B6F7C">
      <w:r w:rsidRPr="00E8321C">
        <w:t>Ainsi, le concessionnaire devra justifier du montant de la rétribution souhaitée et détailler les frais de gestion de projet en fonction du temps passé sur l’activité.</w:t>
      </w:r>
    </w:p>
    <w:p w14:paraId="14C47F44" w14:textId="77777777" w:rsidR="00460FB3" w:rsidRPr="00E8321C" w:rsidRDefault="00460FB3" w:rsidP="00460FB3">
      <w:pPr>
        <w:pStyle w:val="Paragraphedeliste"/>
        <w:ind w:left="360"/>
      </w:pPr>
    </w:p>
    <w:bookmarkEnd w:id="18"/>
    <w:p w14:paraId="72F163B2" w14:textId="7B98883F" w:rsidR="1BA7EE67" w:rsidRPr="00682BCF" w:rsidRDefault="1BA7EE67" w:rsidP="5504E08E">
      <w:pPr>
        <w:rPr>
          <w:color w:val="000000" w:themeColor="text1"/>
        </w:rPr>
      </w:pPr>
      <w:r w:rsidRPr="00682BCF">
        <w:rPr>
          <w:color w:val="000000" w:themeColor="text1"/>
        </w:rPr>
        <w:t xml:space="preserve">En 2025, à titre indicatif, les charges de gestion de projet ont été évaluées à </w:t>
      </w:r>
      <w:r w:rsidRPr="00682BCF">
        <w:rPr>
          <w:b/>
          <w:bCs/>
          <w:color w:val="000000" w:themeColor="text1"/>
        </w:rPr>
        <w:t>31 275 € HT</w:t>
      </w:r>
      <w:r w:rsidRPr="00682BCF">
        <w:rPr>
          <w:color w:val="000000" w:themeColor="text1"/>
        </w:rPr>
        <w:t xml:space="preserve">. </w:t>
      </w:r>
    </w:p>
    <w:p w14:paraId="23F749F2" w14:textId="7FE6ED8D" w:rsidR="5504E08E" w:rsidRPr="00682BCF" w:rsidRDefault="5504E08E" w:rsidP="5504E08E">
      <w:pPr>
        <w:rPr>
          <w:color w:val="000000" w:themeColor="text1"/>
        </w:rPr>
      </w:pPr>
    </w:p>
    <w:p w14:paraId="2DFAA834" w14:textId="35DE883E" w:rsidR="1BA7EE67" w:rsidRDefault="1BA7EE67" w:rsidP="00E26F45">
      <w:pPr>
        <w:rPr>
          <w:color w:val="000000" w:themeColor="text1"/>
        </w:rPr>
      </w:pPr>
      <w:r w:rsidRPr="00682BCF">
        <w:rPr>
          <w:color w:val="000000" w:themeColor="text1"/>
        </w:rPr>
        <w:t>Dans la continuité de la gestion de l’aménagement telle qu’elle a été réalisée en 2025, il est essentiel de conserver cette même ligne de conduite en 2026, en tenant compte des projections économiques liées à la conjoncture. Ainsi, l’augmentation des charges de gestion de projet ne pourra excéder 2</w:t>
      </w:r>
      <w:r w:rsidR="48CCA0BC" w:rsidRPr="00682BCF">
        <w:rPr>
          <w:color w:val="000000" w:themeColor="text1"/>
        </w:rPr>
        <w:t xml:space="preserve"> </w:t>
      </w:r>
      <w:r w:rsidRPr="00682BCF">
        <w:rPr>
          <w:color w:val="000000" w:themeColor="text1"/>
        </w:rPr>
        <w:t>%.</w:t>
      </w:r>
    </w:p>
    <w:p w14:paraId="09367EB5" w14:textId="5917F640" w:rsidR="5504E08E" w:rsidRDefault="5504E08E" w:rsidP="5504E08E"/>
    <w:p w14:paraId="72C44C21" w14:textId="77777777" w:rsidR="00460FB3" w:rsidRPr="00047DE5" w:rsidRDefault="00460FB3" w:rsidP="008B6F7C">
      <w:r w:rsidRPr="00047DE5">
        <w:t>La CCI Essonne reversera au concessionnaire, le montant de la quote-part relative à l’aménagement et aux frais d’installations électriques des stands de ses partenaires sponsors (hors entreprises issues des délégations dont la participation est encaissée par le concessionnaire), sur la base des factures détaillées transmises par le concessionnaire.</w:t>
      </w:r>
    </w:p>
    <w:p w14:paraId="6FA98054" w14:textId="77777777" w:rsidR="00460FB3" w:rsidRPr="00047DE5" w:rsidRDefault="00460FB3" w:rsidP="00460FB3">
      <w:pPr>
        <w:pStyle w:val="Paragraphedeliste"/>
        <w:ind w:left="360"/>
      </w:pPr>
    </w:p>
    <w:p w14:paraId="54ACF78C" w14:textId="77777777" w:rsidR="00460FB3" w:rsidRPr="00047DE5" w:rsidRDefault="00460FB3" w:rsidP="008B6F7C">
      <w:r w:rsidRPr="00047DE5">
        <w:t>Si un partenaire sponsor finance en partie le coût des stands de ses entreprises, seule la part financée par le partenaire sera prise en compte pour le calcul du reversement du coût du boitier électrique par le concédant.</w:t>
      </w:r>
    </w:p>
    <w:p w14:paraId="0AA19865" w14:textId="77777777" w:rsidR="00460FB3" w:rsidRPr="00047DE5" w:rsidRDefault="00460FB3" w:rsidP="00460FB3">
      <w:pPr>
        <w:pStyle w:val="Paragraphedeliste"/>
        <w:ind w:left="360"/>
      </w:pPr>
    </w:p>
    <w:p w14:paraId="746008B2" w14:textId="77777777" w:rsidR="00460FB3" w:rsidRDefault="00460FB3" w:rsidP="008B6F7C">
      <w:r w:rsidRPr="008B6F7C">
        <w:rPr>
          <w:u w:val="single"/>
        </w:rPr>
        <w:t>Exemple</w:t>
      </w:r>
      <w:r w:rsidRPr="00047DE5">
        <w:t> : La Communauté Paris-Saclay finance 60% des stands de ses entreprises, qui disposent d’un boîtier de 8 KW à 420 € HT pour alimenter leur espace. 252 € HT (60% x 420 € HT) seront reversés au concessionnaire par le concédant.</w:t>
      </w:r>
    </w:p>
    <w:p w14:paraId="639E8F74" w14:textId="77777777" w:rsidR="00460FB3" w:rsidRPr="00047DE5" w:rsidRDefault="00460FB3" w:rsidP="00460FB3">
      <w:pPr>
        <w:pStyle w:val="Paragraphedeliste"/>
        <w:ind w:left="360"/>
      </w:pPr>
    </w:p>
    <w:p w14:paraId="54F22E61" w14:textId="240809DD" w:rsidR="00460FB3" w:rsidRPr="00E8321C" w:rsidRDefault="00460FB3" w:rsidP="008B6F7C">
      <w:pPr>
        <w:widowControl/>
      </w:pPr>
      <w:r>
        <w:t xml:space="preserve">Les frais de location et d’exploitation du site (hors boîtiers électriques et permanence) sont estimés à </w:t>
      </w:r>
      <w:r w:rsidR="13B2DA31" w:rsidRPr="5504E08E">
        <w:rPr>
          <w:b/>
          <w:bCs/>
        </w:rPr>
        <w:t>80</w:t>
      </w:r>
      <w:r w:rsidRPr="5504E08E">
        <w:rPr>
          <w:b/>
          <w:bCs/>
        </w:rPr>
        <w:t xml:space="preserve"> 000 € HT</w:t>
      </w:r>
      <w:r>
        <w:t xml:space="preserve"> sur une base locative totale de 5 000 m2. </w:t>
      </w:r>
    </w:p>
    <w:p w14:paraId="2B37A0BC" w14:textId="77777777" w:rsidR="00E8321C" w:rsidRPr="00E8321C" w:rsidRDefault="00E8321C" w:rsidP="008B6F7C">
      <w:pPr>
        <w:widowControl/>
      </w:pPr>
    </w:p>
    <w:p w14:paraId="56BC6FD2" w14:textId="6BB200B9" w:rsidR="00460FB3" w:rsidRPr="002F228B" w:rsidRDefault="00460FB3" w:rsidP="008B6F7C">
      <w:pPr>
        <w:widowControl/>
      </w:pPr>
      <w:r w:rsidRPr="00E8321C">
        <w:t xml:space="preserve">Le concessionnaire s’engage par ailleurs à reverser au concédant </w:t>
      </w:r>
      <w:r w:rsidRPr="00E8321C">
        <w:rPr>
          <w:b/>
          <w:bCs/>
        </w:rPr>
        <w:t>20</w:t>
      </w:r>
      <w:r w:rsidR="00AC271D">
        <w:rPr>
          <w:b/>
          <w:bCs/>
        </w:rPr>
        <w:t xml:space="preserve"> </w:t>
      </w:r>
      <w:r w:rsidRPr="00E8321C">
        <w:rPr>
          <w:b/>
          <w:bCs/>
        </w:rPr>
        <w:t>% des frais de location et d’exploitation du site (hors frais d’électricité, boîtiers et permanence inclus).</w:t>
      </w:r>
      <w:r w:rsidRPr="002F228B">
        <w:t xml:space="preserve">  </w:t>
      </w:r>
    </w:p>
    <w:p w14:paraId="161ABCE2" w14:textId="77777777" w:rsidR="00460FB3" w:rsidRPr="002F228B" w:rsidRDefault="00460FB3" w:rsidP="00460FB3">
      <w:pPr>
        <w:pStyle w:val="Paragraphedeliste"/>
        <w:widowControl/>
        <w:ind w:left="360"/>
      </w:pPr>
    </w:p>
    <w:p w14:paraId="1ACCEBAB" w14:textId="77777777" w:rsidR="00460FB3" w:rsidRDefault="00460FB3" w:rsidP="008B6F7C">
      <w:pPr>
        <w:widowControl/>
      </w:pPr>
      <w:r w:rsidRPr="002F228B">
        <w:lastRenderedPageBreak/>
        <w:t>Le montant des rétributions dû par le concessionnaire sera communiqué après réception de frais de location et d’exploitation réels, engagés par la CCI Essonne.</w:t>
      </w:r>
    </w:p>
    <w:p w14:paraId="768500F6" w14:textId="77777777" w:rsidR="00B20BB6" w:rsidRDefault="00535199">
      <w:pPr>
        <w:pStyle w:val="Titre1"/>
      </w:pPr>
      <w:bookmarkStart w:id="19" w:name="_Toc196230173"/>
      <w:r>
        <w:t>Article 6 – Conditions générales d’exploitation</w:t>
      </w:r>
      <w:bookmarkEnd w:id="19"/>
    </w:p>
    <w:p w14:paraId="6782D686" w14:textId="77777777" w:rsidR="00B20BB6" w:rsidRDefault="00535199">
      <w:pPr>
        <w:numPr>
          <w:ilvl w:val="0"/>
          <w:numId w:val="9"/>
        </w:numPr>
        <w:pBdr>
          <w:top w:val="nil"/>
          <w:left w:val="nil"/>
          <w:bottom w:val="nil"/>
          <w:right w:val="nil"/>
          <w:between w:val="nil"/>
        </w:pBdr>
      </w:pPr>
      <w:r>
        <w:rPr>
          <w:color w:val="000000"/>
        </w:rPr>
        <w:t>Le contrat de concession sera conclu aux frais et risques du Concessionnaire sans aucune garantie de fréquentation ou de recettes.</w:t>
      </w:r>
    </w:p>
    <w:p w14:paraId="216CC7F2" w14:textId="77777777" w:rsidR="00B20BB6" w:rsidRDefault="00B20BB6">
      <w:pPr>
        <w:pBdr>
          <w:top w:val="nil"/>
          <w:left w:val="nil"/>
          <w:bottom w:val="nil"/>
          <w:right w:val="nil"/>
          <w:between w:val="nil"/>
        </w:pBdr>
        <w:ind w:left="720"/>
        <w:rPr>
          <w:color w:val="000000"/>
        </w:rPr>
      </w:pPr>
    </w:p>
    <w:p w14:paraId="653F4CA7" w14:textId="77777777" w:rsidR="00B20BB6" w:rsidRDefault="00535199">
      <w:pPr>
        <w:numPr>
          <w:ilvl w:val="0"/>
          <w:numId w:val="9"/>
        </w:numPr>
        <w:pBdr>
          <w:top w:val="nil"/>
          <w:left w:val="nil"/>
          <w:bottom w:val="nil"/>
          <w:right w:val="nil"/>
          <w:between w:val="nil"/>
        </w:pBdr>
      </w:pPr>
      <w:bookmarkStart w:id="20" w:name="_heading=h.3as4poj" w:colFirst="0" w:colLast="0"/>
      <w:bookmarkEnd w:id="20"/>
      <w:r>
        <w:rPr>
          <w:color w:val="000000"/>
        </w:rPr>
        <w:t xml:space="preserve">Le Concessionnaire supportera seul, sans recours contre le Concédant, le risque lié aux impayés. </w:t>
      </w:r>
    </w:p>
    <w:p w14:paraId="486C9648" w14:textId="77777777" w:rsidR="00B20BB6" w:rsidRDefault="00B20BB6">
      <w:pPr>
        <w:pBdr>
          <w:top w:val="nil"/>
          <w:left w:val="nil"/>
          <w:bottom w:val="nil"/>
          <w:right w:val="nil"/>
          <w:between w:val="nil"/>
        </w:pBdr>
        <w:rPr>
          <w:color w:val="000000"/>
        </w:rPr>
      </w:pPr>
    </w:p>
    <w:p w14:paraId="08CE2C6A" w14:textId="385CCC88" w:rsidR="00B20BB6" w:rsidRDefault="00535199">
      <w:pPr>
        <w:numPr>
          <w:ilvl w:val="0"/>
          <w:numId w:val="9"/>
        </w:numPr>
        <w:pBdr>
          <w:top w:val="nil"/>
          <w:left w:val="nil"/>
          <w:bottom w:val="nil"/>
          <w:right w:val="nil"/>
          <w:between w:val="nil"/>
        </w:pBdr>
      </w:pPr>
      <w:bookmarkStart w:id="21" w:name="_heading=h.1pxezwc" w:colFirst="0" w:colLast="0"/>
      <w:bookmarkEnd w:id="21"/>
      <w:r>
        <w:rPr>
          <w:color w:val="000000"/>
        </w:rPr>
        <w:t>Le Concessionnaire perçoit toutes les recettes issues des ventes qu</w:t>
      </w:r>
      <w:r>
        <w:t>’il aura conclues,</w:t>
      </w:r>
      <w:r>
        <w:rPr>
          <w:color w:val="000000"/>
        </w:rPr>
        <w:t xml:space="preserve"> conformément aux tarifs </w:t>
      </w:r>
      <w:r>
        <w:t xml:space="preserve">qu’il applique </w:t>
      </w:r>
      <w:r>
        <w:rPr>
          <w:color w:val="000000"/>
        </w:rPr>
        <w:t xml:space="preserve">et supporte, dans la limite de ce </w:t>
      </w:r>
      <w:r w:rsidR="00E2759A">
        <w:rPr>
          <w:color w:val="000000"/>
        </w:rPr>
        <w:t>contrat, l’ensemble</w:t>
      </w:r>
      <w:r>
        <w:rPr>
          <w:color w:val="000000"/>
        </w:rPr>
        <w:t xml:space="preserve"> des charges afférentes à l’organisation et au déroulement de la manifestation.</w:t>
      </w:r>
    </w:p>
    <w:p w14:paraId="688A9355" w14:textId="77777777" w:rsidR="00B20BB6" w:rsidRDefault="00B20BB6">
      <w:pPr>
        <w:pBdr>
          <w:top w:val="nil"/>
          <w:left w:val="nil"/>
          <w:bottom w:val="nil"/>
          <w:right w:val="nil"/>
          <w:between w:val="nil"/>
        </w:pBdr>
        <w:rPr>
          <w:color w:val="000000"/>
        </w:rPr>
      </w:pPr>
    </w:p>
    <w:p w14:paraId="2742FFE5" w14:textId="77777777" w:rsidR="00B20BB6" w:rsidRDefault="00535199">
      <w:pPr>
        <w:numPr>
          <w:ilvl w:val="0"/>
          <w:numId w:val="9"/>
        </w:numPr>
        <w:pBdr>
          <w:top w:val="nil"/>
          <w:left w:val="nil"/>
          <w:bottom w:val="nil"/>
          <w:right w:val="nil"/>
          <w:between w:val="nil"/>
        </w:pBdr>
      </w:pPr>
      <w:bookmarkStart w:id="22" w:name="_heading=h.49x2ik5" w:colFirst="0" w:colLast="0"/>
      <w:bookmarkEnd w:id="22"/>
      <w:r>
        <w:rPr>
          <w:color w:val="000000"/>
        </w:rPr>
        <w:t>Le Concédant se réserve la faculté d’imposer au Concessionnaire toutes prescriptions particulières tant techniques que qualitatives qu’il jugerait utiles, à condition que celles-ci ne dépassent pas le budget prévisionnel défini par le concessionnaire.</w:t>
      </w:r>
    </w:p>
    <w:p w14:paraId="505FA9C4" w14:textId="77777777" w:rsidR="00B20BB6" w:rsidRDefault="00B20BB6">
      <w:pPr>
        <w:pBdr>
          <w:top w:val="nil"/>
          <w:left w:val="nil"/>
          <w:bottom w:val="nil"/>
          <w:right w:val="nil"/>
          <w:between w:val="nil"/>
        </w:pBdr>
        <w:rPr>
          <w:color w:val="000000"/>
        </w:rPr>
      </w:pPr>
    </w:p>
    <w:p w14:paraId="0100992D" w14:textId="77777777" w:rsidR="00B20BB6" w:rsidRDefault="00535199">
      <w:pPr>
        <w:numPr>
          <w:ilvl w:val="0"/>
          <w:numId w:val="9"/>
        </w:numPr>
        <w:pBdr>
          <w:top w:val="nil"/>
          <w:left w:val="nil"/>
          <w:bottom w:val="nil"/>
          <w:right w:val="nil"/>
          <w:between w:val="nil"/>
        </w:pBdr>
      </w:pPr>
      <w:bookmarkStart w:id="23" w:name="_heading=h.2p2csry" w:colFirst="0" w:colLast="0"/>
      <w:bookmarkEnd w:id="23"/>
      <w:r>
        <w:rPr>
          <w:color w:val="000000"/>
        </w:rPr>
        <w:t>Le Concessionnaire sera tenu d’exécuter personnellement le contrat de concession et ne pourra procéder à aucune cession partielle ou totale du contrat dont il est concessionnaire qu’en vertu d’une autorisation préalable et expresse du Concédant sous peine de déchéance.</w:t>
      </w:r>
    </w:p>
    <w:p w14:paraId="0F010614" w14:textId="77777777" w:rsidR="00B20BB6" w:rsidRDefault="00B20BB6">
      <w:pPr>
        <w:pBdr>
          <w:top w:val="nil"/>
          <w:left w:val="nil"/>
          <w:bottom w:val="nil"/>
          <w:right w:val="nil"/>
          <w:between w:val="nil"/>
        </w:pBdr>
      </w:pPr>
    </w:p>
    <w:p w14:paraId="3552DF9F" w14:textId="77777777" w:rsidR="00B20BB6" w:rsidRDefault="00535199">
      <w:pPr>
        <w:numPr>
          <w:ilvl w:val="0"/>
          <w:numId w:val="9"/>
        </w:numPr>
        <w:pBdr>
          <w:top w:val="nil"/>
          <w:left w:val="nil"/>
          <w:bottom w:val="nil"/>
          <w:right w:val="nil"/>
          <w:between w:val="nil"/>
        </w:pBdr>
      </w:pPr>
      <w:bookmarkStart w:id="24" w:name="_heading=h.147n2zr" w:colFirst="0" w:colLast="0"/>
      <w:bookmarkEnd w:id="24"/>
      <w:r>
        <w:rPr>
          <w:color w:val="000000"/>
        </w:rPr>
        <w:t>Le Concédant pourra appliquer au Concessionnaire les pénalités financières et autres sanctions prévues à l’article 11 du cahier des charges.</w:t>
      </w:r>
      <w:r>
        <w:rPr>
          <w:i/>
          <w:color w:val="000000"/>
        </w:rPr>
        <w:t xml:space="preserve"> </w:t>
      </w:r>
    </w:p>
    <w:p w14:paraId="47599823" w14:textId="77777777" w:rsidR="00B20BB6" w:rsidRDefault="00B20BB6">
      <w:pPr>
        <w:pBdr>
          <w:top w:val="nil"/>
          <w:left w:val="nil"/>
          <w:bottom w:val="nil"/>
          <w:right w:val="nil"/>
          <w:between w:val="nil"/>
        </w:pBdr>
      </w:pPr>
    </w:p>
    <w:p w14:paraId="532E4FD7" w14:textId="05594346" w:rsidR="00B20BB6" w:rsidRDefault="00535199" w:rsidP="5504E08E">
      <w:pPr>
        <w:numPr>
          <w:ilvl w:val="0"/>
          <w:numId w:val="9"/>
        </w:numPr>
        <w:pBdr>
          <w:top w:val="nil"/>
          <w:left w:val="nil"/>
          <w:bottom w:val="nil"/>
          <w:right w:val="nil"/>
          <w:between w:val="nil"/>
        </w:pBdr>
      </w:pPr>
      <w:bookmarkStart w:id="25" w:name="_heading=h.3o7alnk"/>
      <w:bookmarkEnd w:id="25"/>
      <w:r w:rsidRPr="5504E08E">
        <w:rPr>
          <w:color w:val="000000" w:themeColor="text1"/>
        </w:rPr>
        <w:t xml:space="preserve">Le Concessionnaire sera tenu d’établir, au plus tard dans un délai de </w:t>
      </w:r>
      <w:r w:rsidR="7AC104CD" w:rsidRPr="5504E08E">
        <w:rPr>
          <w:color w:val="000000" w:themeColor="text1"/>
        </w:rPr>
        <w:t xml:space="preserve">deux </w:t>
      </w:r>
      <w:r w:rsidRPr="5504E08E">
        <w:rPr>
          <w:color w:val="000000" w:themeColor="text1"/>
        </w:rPr>
        <w:t>mois suivant la tenue de manifestation, un compte-rendu technique et financier.</w:t>
      </w:r>
    </w:p>
    <w:p w14:paraId="32B9DA73" w14:textId="77777777" w:rsidR="00B20BB6" w:rsidRDefault="00535199">
      <w:pPr>
        <w:pStyle w:val="Titre1"/>
      </w:pPr>
      <w:bookmarkStart w:id="26" w:name="_Toc196230174"/>
      <w:r>
        <w:t>Article 7 - Délai de validité des offres</w:t>
      </w:r>
      <w:bookmarkEnd w:id="26"/>
    </w:p>
    <w:p w14:paraId="1EFE4479" w14:textId="2844FB2D" w:rsidR="00B20BB6" w:rsidRDefault="00535199">
      <w:pPr>
        <w:pBdr>
          <w:top w:val="nil"/>
          <w:left w:val="nil"/>
          <w:bottom w:val="nil"/>
          <w:right w:val="nil"/>
          <w:between w:val="nil"/>
        </w:pBdr>
        <w:rPr>
          <w:b/>
          <w:color w:val="000000"/>
        </w:rPr>
      </w:pPr>
      <w:r>
        <w:rPr>
          <w:color w:val="000000"/>
        </w:rPr>
        <w:t>Le délai de validité des offres est fixé à cent-</w:t>
      </w:r>
      <w:r w:rsidR="00F2516B">
        <w:rPr>
          <w:color w:val="000000"/>
        </w:rPr>
        <w:t>quatre-vingts</w:t>
      </w:r>
      <w:r>
        <w:rPr>
          <w:color w:val="000000"/>
        </w:rPr>
        <w:t xml:space="preserve"> (1</w:t>
      </w:r>
      <w:r w:rsidR="00F2516B">
        <w:rPr>
          <w:color w:val="000000"/>
        </w:rPr>
        <w:t>8</w:t>
      </w:r>
      <w:r>
        <w:rPr>
          <w:color w:val="000000"/>
        </w:rPr>
        <w:t xml:space="preserve">0) jours à compter de la date limite de remise des plis de candidature et d’offre fixée à la page </w:t>
      </w:r>
      <w:r w:rsidR="00F2516B">
        <w:rPr>
          <w:color w:val="000000"/>
        </w:rPr>
        <w:t>4</w:t>
      </w:r>
      <w:r>
        <w:rPr>
          <w:color w:val="000000"/>
        </w:rPr>
        <w:t xml:space="preserve"> du présent règlement de consultation.</w:t>
      </w:r>
    </w:p>
    <w:p w14:paraId="1B958F81" w14:textId="77777777" w:rsidR="00B20BB6" w:rsidRDefault="00B20BB6">
      <w:pPr>
        <w:pBdr>
          <w:top w:val="nil"/>
          <w:left w:val="nil"/>
          <w:bottom w:val="nil"/>
          <w:right w:val="nil"/>
          <w:between w:val="nil"/>
        </w:pBdr>
        <w:rPr>
          <w:b/>
          <w:color w:val="000000"/>
        </w:rPr>
      </w:pPr>
      <w:bookmarkStart w:id="27" w:name="_heading=h.ihv636" w:colFirst="0" w:colLast="0"/>
      <w:bookmarkEnd w:id="27"/>
    </w:p>
    <w:p w14:paraId="7DCCE92B" w14:textId="211DEA32" w:rsidR="008D3A14" w:rsidRDefault="00535199" w:rsidP="00E2759A">
      <w:pPr>
        <w:pBdr>
          <w:top w:val="nil"/>
          <w:left w:val="nil"/>
          <w:bottom w:val="nil"/>
          <w:right w:val="nil"/>
          <w:between w:val="nil"/>
        </w:pBdr>
        <w:rPr>
          <w:color w:val="000000"/>
        </w:rPr>
      </w:pPr>
      <w:bookmarkStart w:id="28" w:name="_heading=h.32hioqz" w:colFirst="0" w:colLast="0"/>
      <w:bookmarkEnd w:id="28"/>
      <w:r>
        <w:rPr>
          <w:color w:val="000000"/>
        </w:rPr>
        <w:t>En cas de report de la date limite de remise des offres, cette disposition sera applicable en fonction de la date reportée, et non de la date initiale.</w:t>
      </w:r>
    </w:p>
    <w:p w14:paraId="7ED5916B" w14:textId="77777777" w:rsidR="00F2516B" w:rsidRDefault="00F2516B" w:rsidP="00E2759A">
      <w:pPr>
        <w:pBdr>
          <w:top w:val="nil"/>
          <w:left w:val="nil"/>
          <w:bottom w:val="nil"/>
          <w:right w:val="nil"/>
          <w:between w:val="nil"/>
        </w:pBdr>
        <w:rPr>
          <w:color w:val="000000"/>
        </w:rPr>
      </w:pPr>
    </w:p>
    <w:p w14:paraId="33E1B1C2" w14:textId="66FE1863" w:rsidR="00F2516B" w:rsidRDefault="00F2516B" w:rsidP="00E2759A">
      <w:pPr>
        <w:pBdr>
          <w:top w:val="nil"/>
          <w:left w:val="nil"/>
          <w:bottom w:val="nil"/>
          <w:right w:val="nil"/>
          <w:between w:val="nil"/>
        </w:pBdr>
      </w:pPr>
      <w:r w:rsidRPr="00F2516B">
        <w:t>En cas de négociation, le délai de validité court à compter de la date de remise des offres finales.</w:t>
      </w:r>
    </w:p>
    <w:p w14:paraId="391A0331" w14:textId="77777777" w:rsidR="00B20BB6" w:rsidRDefault="00535199">
      <w:pPr>
        <w:pStyle w:val="Titre1"/>
      </w:pPr>
      <w:bookmarkStart w:id="29" w:name="_Toc196230175"/>
      <w:r>
        <w:t>Article 8 - Groupement d’opérateurs économiques</w:t>
      </w:r>
      <w:bookmarkEnd w:id="29"/>
    </w:p>
    <w:p w14:paraId="35F95049" w14:textId="77777777" w:rsidR="00B20BB6" w:rsidRDefault="00535199">
      <w:pPr>
        <w:pBdr>
          <w:top w:val="nil"/>
          <w:left w:val="nil"/>
          <w:bottom w:val="nil"/>
          <w:right w:val="nil"/>
          <w:between w:val="nil"/>
        </w:pBdr>
        <w:rPr>
          <w:color w:val="000000"/>
        </w:rPr>
      </w:pPr>
      <w:r>
        <w:rPr>
          <w:color w:val="000000"/>
        </w:rPr>
        <w:t>Les opérateurs économiques ont la faculté de soumissionner sous forme de groupement conjoint ou solidaire conformément à l’article R3123-9 du code de la commande publique.</w:t>
      </w:r>
    </w:p>
    <w:p w14:paraId="3889C00F" w14:textId="77777777" w:rsidR="00376424" w:rsidRDefault="00376424">
      <w:pPr>
        <w:pBdr>
          <w:top w:val="nil"/>
          <w:left w:val="nil"/>
          <w:bottom w:val="nil"/>
          <w:right w:val="nil"/>
          <w:between w:val="nil"/>
        </w:pBdr>
        <w:rPr>
          <w:b/>
          <w:color w:val="000000"/>
        </w:rPr>
      </w:pPr>
    </w:p>
    <w:p w14:paraId="1799DA7D" w14:textId="43C01610" w:rsidR="00376424" w:rsidRPr="00376424" w:rsidRDefault="00376424" w:rsidP="00376424">
      <w:pPr>
        <w:widowControl/>
        <w:rPr>
          <w:rFonts w:eastAsia="Times New Roman" w:cs="Times New Roman"/>
        </w:rPr>
      </w:pPr>
      <w:bookmarkStart w:id="30" w:name="_heading=h.41mghml" w:colFirst="0" w:colLast="0"/>
      <w:bookmarkEnd w:id="30"/>
      <w:r w:rsidRPr="00376424">
        <w:rPr>
          <w:rFonts w:eastAsia="Times New Roman" w:cs="Times New Roman"/>
        </w:rPr>
        <w:t>Conformément aux dispositions de l’article R3123-10</w:t>
      </w:r>
      <w:r>
        <w:rPr>
          <w:rFonts w:eastAsia="Times New Roman" w:cs="Times New Roman"/>
        </w:rPr>
        <w:t xml:space="preserve"> </w:t>
      </w:r>
      <w:r w:rsidRPr="00376424">
        <w:rPr>
          <w:rFonts w:eastAsia="Times New Roman" w:cs="Times New Roman"/>
        </w:rPr>
        <w:t xml:space="preserve">du code de la commande publique, aucune forme juridique déterminée n’est exigée aux groupements d’opérateurs économiques pour la présentation de leur candidature et de leur offre ainsi qu’après l’attribution </w:t>
      </w:r>
      <w:r w:rsidR="008D46CB">
        <w:rPr>
          <w:rFonts w:eastAsia="Times New Roman" w:cs="Times New Roman"/>
        </w:rPr>
        <w:t>de la présente concession</w:t>
      </w:r>
      <w:r w:rsidRPr="00376424">
        <w:rPr>
          <w:rFonts w:eastAsia="Times New Roman" w:cs="Times New Roman"/>
        </w:rPr>
        <w:t>.</w:t>
      </w:r>
    </w:p>
    <w:p w14:paraId="67A86839" w14:textId="77777777" w:rsidR="00B20BB6" w:rsidRDefault="00535199">
      <w:pPr>
        <w:pBdr>
          <w:top w:val="nil"/>
          <w:left w:val="nil"/>
          <w:bottom w:val="nil"/>
          <w:right w:val="nil"/>
          <w:between w:val="nil"/>
        </w:pBdr>
        <w:rPr>
          <w:b/>
          <w:color w:val="000000"/>
        </w:rPr>
      </w:pPr>
      <w:r>
        <w:rPr>
          <w:color w:val="000000"/>
        </w:rPr>
        <w:lastRenderedPageBreak/>
        <w:t>Dans ce cas, les pièces et documents mentionnés à l’article 11 ci-après sont à produire pour chacun des membres du groupement.</w:t>
      </w:r>
    </w:p>
    <w:p w14:paraId="42B34D4A" w14:textId="77777777" w:rsidR="00B20BB6" w:rsidRDefault="00B20BB6">
      <w:pPr>
        <w:pBdr>
          <w:top w:val="nil"/>
          <w:left w:val="nil"/>
          <w:bottom w:val="nil"/>
          <w:right w:val="nil"/>
          <w:between w:val="nil"/>
        </w:pBdr>
        <w:rPr>
          <w:b/>
          <w:color w:val="000000"/>
        </w:rPr>
      </w:pPr>
      <w:bookmarkStart w:id="31" w:name="_heading=h.2grqrue" w:colFirst="0" w:colLast="0"/>
      <w:bookmarkEnd w:id="31"/>
    </w:p>
    <w:p w14:paraId="73A8F003" w14:textId="77777777" w:rsidR="00B20BB6" w:rsidRDefault="00535199">
      <w:pPr>
        <w:widowControl/>
        <w:tabs>
          <w:tab w:val="left" w:pos="851"/>
        </w:tabs>
      </w:pPr>
      <w:bookmarkStart w:id="32" w:name="_heading=h.vx1227" w:colFirst="0" w:colLast="0"/>
      <w:bookmarkEnd w:id="32"/>
      <w:r>
        <w:t xml:space="preserve">En cas de groupement d’opérateurs économiques, les membres du groupement remettront un acte d’engagement unique qui indiquera la forme du groupement et sa nature juridique (conjoint ou solidaire), qui identifiera le mandataire du groupement interlocuteur de la CCI Essonne et qui définira la répartition des prestations entre les membres. Ils joindront l’acte constitutif du groupement et la convention de mandat établis entre eux. </w:t>
      </w:r>
    </w:p>
    <w:p w14:paraId="330CA504" w14:textId="77777777" w:rsidR="00B20BB6" w:rsidRDefault="00535199">
      <w:pPr>
        <w:pStyle w:val="Titre1"/>
      </w:pPr>
      <w:bookmarkStart w:id="33" w:name="_Toc196230176"/>
      <w:r>
        <w:t>Article 9 - Sous-traitance</w:t>
      </w:r>
      <w:bookmarkEnd w:id="33"/>
    </w:p>
    <w:p w14:paraId="07236319" w14:textId="77777777" w:rsidR="00B20BB6" w:rsidRDefault="00535199">
      <w:pPr>
        <w:pBdr>
          <w:top w:val="nil"/>
          <w:left w:val="nil"/>
          <w:bottom w:val="nil"/>
          <w:right w:val="nil"/>
          <w:between w:val="nil"/>
        </w:pBdr>
        <w:rPr>
          <w:color w:val="000000"/>
        </w:rPr>
      </w:pPr>
      <w:r>
        <w:rPr>
          <w:color w:val="000000"/>
        </w:rPr>
        <w:t>Les opérateurs économiques ont également la faculté de recourir à un (des) sous-traitant(s).</w:t>
      </w:r>
    </w:p>
    <w:p w14:paraId="739D64FC" w14:textId="77777777" w:rsidR="009B77E7" w:rsidRDefault="009B77E7" w:rsidP="0075105F">
      <w:pPr>
        <w:pBdr>
          <w:top w:val="nil"/>
          <w:left w:val="nil"/>
          <w:bottom w:val="nil"/>
          <w:right w:val="nil"/>
          <w:between w:val="nil"/>
        </w:pBdr>
        <w:rPr>
          <w:b/>
          <w:i/>
          <w:color w:val="000000"/>
          <w:lang w:bidi="fr-FR"/>
        </w:rPr>
      </w:pPr>
    </w:p>
    <w:p w14:paraId="78380C82" w14:textId="77777777" w:rsidR="00E6692C" w:rsidRPr="00E6692C" w:rsidRDefault="00E6692C" w:rsidP="0075105F">
      <w:pPr>
        <w:pBdr>
          <w:top w:val="nil"/>
          <w:left w:val="nil"/>
          <w:bottom w:val="nil"/>
          <w:right w:val="nil"/>
          <w:between w:val="nil"/>
        </w:pBdr>
        <w:rPr>
          <w:color w:val="000000"/>
          <w:lang w:bidi="fr-FR"/>
        </w:rPr>
      </w:pPr>
      <w:r w:rsidRPr="00E6692C">
        <w:rPr>
          <w:b/>
          <w:i/>
          <w:color w:val="000000"/>
          <w:lang w:bidi="fr-FR"/>
        </w:rPr>
        <w:t>La sous-traitance de la totalité de la concession est interdite</w:t>
      </w:r>
      <w:r w:rsidRPr="00E6692C">
        <w:rPr>
          <w:color w:val="000000"/>
          <w:lang w:bidi="fr-FR"/>
        </w:rPr>
        <w:t>.</w:t>
      </w:r>
    </w:p>
    <w:p w14:paraId="2F307BFB" w14:textId="77777777" w:rsidR="00B21AFF" w:rsidRDefault="00B21AFF">
      <w:pPr>
        <w:pBdr>
          <w:top w:val="nil"/>
          <w:left w:val="nil"/>
          <w:bottom w:val="nil"/>
          <w:right w:val="nil"/>
          <w:between w:val="nil"/>
        </w:pBdr>
        <w:rPr>
          <w:color w:val="000000"/>
        </w:rPr>
      </w:pPr>
    </w:p>
    <w:p w14:paraId="7E68C6F7" w14:textId="77777777" w:rsidR="005F0F0F" w:rsidRPr="007B7044" w:rsidRDefault="007B7044" w:rsidP="007B7044">
      <w:pPr>
        <w:pStyle w:val="Paragraphedeliste"/>
        <w:numPr>
          <w:ilvl w:val="0"/>
          <w:numId w:val="21"/>
        </w:numPr>
        <w:pBdr>
          <w:top w:val="nil"/>
          <w:left w:val="nil"/>
          <w:bottom w:val="nil"/>
          <w:right w:val="nil"/>
          <w:between w:val="nil"/>
        </w:pBdr>
        <w:rPr>
          <w:color w:val="000000"/>
        </w:rPr>
      </w:pPr>
      <w:r>
        <w:rPr>
          <w:color w:val="000000"/>
        </w:rPr>
        <w:t>Si la demande de sous-traitance est formulée au moment du dépôt de l’offre, le candidat</w:t>
      </w:r>
      <w:r w:rsidR="005F0F0F" w:rsidRPr="007B7044">
        <w:rPr>
          <w:color w:val="000000"/>
        </w:rPr>
        <w:t xml:space="preserve"> doit faire une déclaration de sous-traitance lors de la remise de son offre et remettre pour chaque sous-traitant déclaré :</w:t>
      </w:r>
    </w:p>
    <w:p w14:paraId="14A5FDB3" w14:textId="77777777" w:rsidR="00B20BB6" w:rsidRDefault="00535199">
      <w:pPr>
        <w:numPr>
          <w:ilvl w:val="0"/>
          <w:numId w:val="6"/>
        </w:numPr>
        <w:pBdr>
          <w:top w:val="nil"/>
          <w:left w:val="nil"/>
          <w:bottom w:val="nil"/>
          <w:right w:val="nil"/>
          <w:between w:val="nil"/>
        </w:pBdr>
      </w:pPr>
      <w:bookmarkStart w:id="34" w:name="_Hlk132987636"/>
      <w:r>
        <w:rPr>
          <w:color w:val="000000"/>
        </w:rPr>
        <w:t>La nature des prestations sous-traitées ;</w:t>
      </w:r>
    </w:p>
    <w:p w14:paraId="3F027B31" w14:textId="7A1CD8B8" w:rsidR="00B20BB6" w:rsidRDefault="00535199" w:rsidP="00E6692C">
      <w:pPr>
        <w:numPr>
          <w:ilvl w:val="0"/>
          <w:numId w:val="6"/>
        </w:numPr>
        <w:pBdr>
          <w:top w:val="nil"/>
          <w:left w:val="nil"/>
          <w:bottom w:val="nil"/>
          <w:right w:val="nil"/>
          <w:between w:val="nil"/>
        </w:pBdr>
      </w:pPr>
      <w:r>
        <w:rPr>
          <w:color w:val="000000"/>
        </w:rPr>
        <w:t xml:space="preserve">Le nom, la raison ou la dénomination sociale et l’adresse du sous-traitant </w:t>
      </w:r>
      <w:r w:rsidR="00BF38CA">
        <w:rPr>
          <w:color w:val="000000"/>
        </w:rPr>
        <w:br w:type="textWrapping" w:clear="all"/>
      </w:r>
      <w:r>
        <w:rPr>
          <w:color w:val="000000"/>
        </w:rPr>
        <w:t>proposé</w:t>
      </w:r>
      <w:r w:rsidR="00E6692C">
        <w:rPr>
          <w:color w:val="000000"/>
        </w:rPr>
        <w:t xml:space="preserve"> </w:t>
      </w:r>
      <w:r w:rsidRPr="00E6692C">
        <w:rPr>
          <w:color w:val="000000"/>
        </w:rPr>
        <w:t>;</w:t>
      </w:r>
    </w:p>
    <w:p w14:paraId="5D3CE55C" w14:textId="7E83926C" w:rsidR="00B20BB6" w:rsidRDefault="00535199">
      <w:pPr>
        <w:numPr>
          <w:ilvl w:val="0"/>
          <w:numId w:val="6"/>
        </w:numPr>
        <w:pBdr>
          <w:top w:val="nil"/>
          <w:left w:val="nil"/>
          <w:bottom w:val="nil"/>
          <w:right w:val="nil"/>
          <w:between w:val="nil"/>
        </w:pBdr>
      </w:pPr>
      <w:r>
        <w:rPr>
          <w:color w:val="000000"/>
        </w:rPr>
        <w:t xml:space="preserve">Le montant maximum des sommes à verser au sous-traitant </w:t>
      </w:r>
      <w:r w:rsidR="00844BC1">
        <w:rPr>
          <w:color w:val="000000"/>
        </w:rPr>
        <w:t xml:space="preserve">le cas échant </w:t>
      </w:r>
      <w:r>
        <w:rPr>
          <w:color w:val="000000"/>
        </w:rPr>
        <w:t>;</w:t>
      </w:r>
    </w:p>
    <w:p w14:paraId="0437DD1B" w14:textId="29B1C627" w:rsidR="00B20BB6" w:rsidRPr="00D46F69" w:rsidRDefault="00535199">
      <w:pPr>
        <w:numPr>
          <w:ilvl w:val="0"/>
          <w:numId w:val="6"/>
        </w:numPr>
        <w:pBdr>
          <w:top w:val="nil"/>
          <w:left w:val="nil"/>
          <w:bottom w:val="nil"/>
          <w:right w:val="nil"/>
          <w:between w:val="nil"/>
        </w:pBdr>
      </w:pPr>
      <w:r>
        <w:rPr>
          <w:color w:val="000000"/>
        </w:rPr>
        <w:t>Les conditions de paiement prévues par le projet de contrat de sous-traitance</w:t>
      </w:r>
      <w:bookmarkEnd w:id="34"/>
      <w:r w:rsidR="009844DA">
        <w:rPr>
          <w:color w:val="000000"/>
        </w:rPr>
        <w:t xml:space="preserve"> le cas échéant</w:t>
      </w:r>
      <w:r>
        <w:rPr>
          <w:color w:val="000000"/>
        </w:rPr>
        <w:t>.</w:t>
      </w:r>
    </w:p>
    <w:p w14:paraId="5C9EEEC9" w14:textId="77777777" w:rsidR="00D46F69" w:rsidRPr="00041DC6" w:rsidRDefault="00D46F69" w:rsidP="00D46F69">
      <w:pPr>
        <w:pBdr>
          <w:top w:val="nil"/>
          <w:left w:val="nil"/>
          <w:bottom w:val="nil"/>
          <w:right w:val="nil"/>
          <w:between w:val="nil"/>
        </w:pBdr>
        <w:ind w:left="1352"/>
      </w:pPr>
    </w:p>
    <w:p w14:paraId="6E2A10C0" w14:textId="77777777" w:rsidR="00B20BB6" w:rsidRDefault="00535199" w:rsidP="00E6692C">
      <w:pPr>
        <w:pBdr>
          <w:top w:val="nil"/>
          <w:left w:val="nil"/>
          <w:bottom w:val="nil"/>
          <w:right w:val="nil"/>
          <w:between w:val="nil"/>
        </w:pBdr>
        <w:rPr>
          <w:color w:val="000000"/>
        </w:rPr>
      </w:pPr>
      <w:r>
        <w:rPr>
          <w:color w:val="000000"/>
        </w:rPr>
        <w:t>Pour justifier que le(s) sous-traitant(s) présenté(s) justifient de capacités professionnelles et financières appropriées et ne tombe(nt) pas sous le coup d’une interdiction d’accéder aux contrats publics, l’opérateur économique produira, pour chaque sous-traitant déclaré,</w:t>
      </w:r>
      <w:r w:rsidR="009B77E7">
        <w:rPr>
          <w:color w:val="000000"/>
        </w:rPr>
        <w:t xml:space="preserve"> </w:t>
      </w:r>
      <w:r>
        <w:rPr>
          <w:color w:val="000000"/>
        </w:rPr>
        <w:t xml:space="preserve">les renseignements et documents </w:t>
      </w:r>
      <w:r w:rsidR="005F0F0F">
        <w:rPr>
          <w:color w:val="000000"/>
        </w:rPr>
        <w:t>prévus à l’article 11 ci-après.</w:t>
      </w:r>
    </w:p>
    <w:p w14:paraId="5ED17B93" w14:textId="77777777" w:rsidR="007B7044" w:rsidRDefault="007B7044" w:rsidP="00E6692C">
      <w:pPr>
        <w:pBdr>
          <w:top w:val="nil"/>
          <w:left w:val="nil"/>
          <w:bottom w:val="nil"/>
          <w:right w:val="nil"/>
          <w:between w:val="nil"/>
        </w:pBdr>
        <w:rPr>
          <w:color w:val="000000"/>
        </w:rPr>
      </w:pPr>
    </w:p>
    <w:p w14:paraId="257EB0E9" w14:textId="77777777" w:rsidR="007B7044" w:rsidRPr="007B7044" w:rsidRDefault="007B7044" w:rsidP="007B7044">
      <w:pPr>
        <w:pStyle w:val="Paragraphedeliste"/>
        <w:numPr>
          <w:ilvl w:val="0"/>
          <w:numId w:val="21"/>
        </w:numPr>
        <w:pBdr>
          <w:top w:val="nil"/>
          <w:left w:val="nil"/>
          <w:bottom w:val="nil"/>
          <w:right w:val="nil"/>
          <w:between w:val="nil"/>
        </w:pBdr>
        <w:rPr>
          <w:color w:val="000000"/>
        </w:rPr>
      </w:pPr>
      <w:r>
        <w:rPr>
          <w:color w:val="000000"/>
        </w:rPr>
        <w:t>Si la demande de sous-traitance est formulée postérieurement à l’attribution du contrat de concession, l’opérateur économique attributaire se conformera aux dispositions prévues à l’article 10 du contrat de concession (CDC).</w:t>
      </w:r>
    </w:p>
    <w:p w14:paraId="0855B3D0" w14:textId="64A42A6B" w:rsidR="00B20BB6" w:rsidRDefault="00535199" w:rsidP="00146E3B">
      <w:pPr>
        <w:pStyle w:val="Titre1"/>
      </w:pPr>
      <w:bookmarkStart w:id="35" w:name="_Toc196230177"/>
      <w:r>
        <w:t xml:space="preserve">Article 10 </w:t>
      </w:r>
      <w:r w:rsidR="00CC46CC">
        <w:t>–</w:t>
      </w:r>
      <w:r>
        <w:t xml:space="preserve"> </w:t>
      </w:r>
      <w:r w:rsidR="00CC46CC">
        <w:t>Autres renseignements</w:t>
      </w:r>
      <w:bookmarkEnd w:id="35"/>
    </w:p>
    <w:p w14:paraId="5C765E24" w14:textId="7E78D6D7" w:rsidR="00CC46CC" w:rsidRPr="00BA6C87" w:rsidRDefault="00CC46CC" w:rsidP="00CC46CC">
      <w:pPr>
        <w:pStyle w:val="Titre2"/>
      </w:pPr>
      <w:bookmarkStart w:id="36" w:name="_Toc45077901"/>
      <w:bookmarkStart w:id="37" w:name="_Toc69191884"/>
      <w:bookmarkStart w:id="38" w:name="_Toc164444262"/>
      <w:bookmarkStart w:id="39" w:name="_Toc196230178"/>
      <w:r>
        <w:t>10.1</w:t>
      </w:r>
      <w:r w:rsidR="002E0D10">
        <w:t xml:space="preserve"> </w:t>
      </w:r>
      <w:r>
        <w:t>Contenu du dossier de consultation</w:t>
      </w:r>
      <w:bookmarkEnd w:id="36"/>
      <w:bookmarkEnd w:id="37"/>
      <w:bookmarkEnd w:id="38"/>
      <w:bookmarkEnd w:id="39"/>
    </w:p>
    <w:p w14:paraId="5ADFEBE2" w14:textId="77777777" w:rsidR="00B20BB6" w:rsidRDefault="00535199">
      <w:r>
        <w:t>Les pièces constitutives du dossier de consultation sont les suivantes :</w:t>
      </w:r>
    </w:p>
    <w:p w14:paraId="5B691537" w14:textId="2320EDB5" w:rsidR="00B20BB6" w:rsidRDefault="00535199">
      <w:pPr>
        <w:widowControl/>
        <w:numPr>
          <w:ilvl w:val="0"/>
          <w:numId w:val="14"/>
        </w:numPr>
        <w:ind w:hanging="360"/>
      </w:pPr>
      <w:r>
        <w:t>Le présent règlement de la consultation </w:t>
      </w:r>
      <w:r w:rsidR="00CC5711">
        <w:t xml:space="preserve">et ses annexes </w:t>
      </w:r>
      <w:r>
        <w:t>;</w:t>
      </w:r>
    </w:p>
    <w:p w14:paraId="695FD032" w14:textId="77777777" w:rsidR="00B20BB6" w:rsidRDefault="00535199">
      <w:pPr>
        <w:widowControl/>
        <w:numPr>
          <w:ilvl w:val="0"/>
          <w:numId w:val="14"/>
        </w:numPr>
        <w:ind w:hanging="360"/>
      </w:pPr>
      <w:r>
        <w:t>L’imprimé DC1 ;</w:t>
      </w:r>
    </w:p>
    <w:p w14:paraId="1BC2F99D" w14:textId="77777777" w:rsidR="00B20BB6" w:rsidRDefault="00535199">
      <w:pPr>
        <w:widowControl/>
        <w:numPr>
          <w:ilvl w:val="0"/>
          <w:numId w:val="14"/>
        </w:numPr>
        <w:ind w:hanging="360"/>
      </w:pPr>
      <w:r>
        <w:t>L’imprimé DC2 ;</w:t>
      </w:r>
    </w:p>
    <w:p w14:paraId="21EEC1A5" w14:textId="1EBA9856" w:rsidR="00B20BB6" w:rsidRDefault="00535199">
      <w:pPr>
        <w:widowControl/>
        <w:numPr>
          <w:ilvl w:val="0"/>
          <w:numId w:val="14"/>
        </w:numPr>
        <w:ind w:hanging="360"/>
      </w:pPr>
      <w:r>
        <w:t xml:space="preserve">L’imprimé ATTRI1 (acte </w:t>
      </w:r>
      <w:r>
        <w:rPr>
          <w:color w:val="000000"/>
        </w:rPr>
        <w:t>d’Engagement</w:t>
      </w:r>
      <w:r w:rsidR="005F0F0F">
        <w:rPr>
          <w:color w:val="000000"/>
        </w:rPr>
        <w:t>)</w:t>
      </w:r>
      <w:r w:rsidR="00E2759A">
        <w:rPr>
          <w:color w:val="000000"/>
        </w:rPr>
        <w:t xml:space="preserve"> </w:t>
      </w:r>
      <w:r>
        <w:t>;</w:t>
      </w:r>
    </w:p>
    <w:p w14:paraId="5F87A6F7" w14:textId="64EB4724" w:rsidR="00B20BB6" w:rsidRDefault="00535199" w:rsidP="008D3A14">
      <w:pPr>
        <w:widowControl/>
        <w:numPr>
          <w:ilvl w:val="0"/>
          <w:numId w:val="14"/>
        </w:numPr>
        <w:ind w:hanging="360"/>
      </w:pPr>
      <w:r>
        <w:t>Le Cahier des Charges</w:t>
      </w:r>
      <w:r w:rsidRPr="00A932A9">
        <w:t>.</w:t>
      </w:r>
      <w:bookmarkStart w:id="40" w:name="_heading=h.4f1mdlm" w:colFirst="0" w:colLast="0"/>
      <w:bookmarkEnd w:id="40"/>
    </w:p>
    <w:p w14:paraId="792D4708" w14:textId="77777777" w:rsidR="00AC271D" w:rsidRDefault="00AC271D" w:rsidP="00AC271D">
      <w:pPr>
        <w:widowControl/>
      </w:pPr>
    </w:p>
    <w:p w14:paraId="3F191641" w14:textId="77777777" w:rsidR="00AC271D" w:rsidRPr="00AC271D" w:rsidRDefault="00AC271D" w:rsidP="00AC271D">
      <w:pPr>
        <w:widowControl/>
      </w:pPr>
      <w:r w:rsidRPr="00AC271D">
        <w:t>Il est précisé que l’utilisation des imprimés (DC1, DC2, ATTRI1) joints au dossier de consultation est obligatoire.</w:t>
      </w:r>
    </w:p>
    <w:p w14:paraId="4FC4B342" w14:textId="77777777" w:rsidR="00D46F69" w:rsidRDefault="00D46F69" w:rsidP="002E0D10">
      <w:pPr>
        <w:pStyle w:val="Titre2"/>
      </w:pPr>
      <w:bookmarkStart w:id="41" w:name="_Toc164444263"/>
      <w:r>
        <w:br w:type="page"/>
      </w:r>
    </w:p>
    <w:p w14:paraId="1BF9A363" w14:textId="7DCD806C" w:rsidR="00CC46CC" w:rsidRPr="00CC46CC" w:rsidRDefault="00CC46CC" w:rsidP="002E0D10">
      <w:pPr>
        <w:pStyle w:val="Titre2"/>
      </w:pPr>
      <w:bookmarkStart w:id="42" w:name="_Toc196230179"/>
      <w:r>
        <w:lastRenderedPageBreak/>
        <w:t>10.2</w:t>
      </w:r>
      <w:r w:rsidR="002E0D10">
        <w:t xml:space="preserve"> </w:t>
      </w:r>
      <w:r>
        <w:t>Mise à disposition du dossier de consultation par voie électronique</w:t>
      </w:r>
      <w:bookmarkEnd w:id="41"/>
      <w:bookmarkEnd w:id="42"/>
      <w:r>
        <w:t xml:space="preserve"> </w:t>
      </w:r>
    </w:p>
    <w:p w14:paraId="52FDBB6B" w14:textId="5CF6AE27" w:rsidR="00CC46CC" w:rsidRDefault="00CC46CC" w:rsidP="00CC46CC">
      <w:pPr>
        <w:widowControl/>
        <w:rPr>
          <w:rFonts w:eastAsia="Times New Roman" w:cs="Arial"/>
        </w:rPr>
      </w:pPr>
      <w:r w:rsidRPr="00CC46CC">
        <w:rPr>
          <w:rFonts w:eastAsia="Times New Roman" w:cs="Arial"/>
        </w:rPr>
        <w:t>Conformément à l’article R</w:t>
      </w:r>
      <w:r w:rsidR="002E0D10" w:rsidRPr="002E0D10">
        <w:rPr>
          <w:rFonts w:eastAsia="Times New Roman" w:cs="Arial"/>
        </w:rPr>
        <w:t>3</w:t>
      </w:r>
      <w:r w:rsidRPr="00CC46CC">
        <w:rPr>
          <w:rFonts w:eastAsia="Times New Roman" w:cs="Arial"/>
        </w:rPr>
        <w:t>1</w:t>
      </w:r>
      <w:r w:rsidR="002E0D10" w:rsidRPr="002E0D10">
        <w:rPr>
          <w:rFonts w:eastAsia="Times New Roman" w:cs="Arial"/>
        </w:rPr>
        <w:t>2</w:t>
      </w:r>
      <w:r w:rsidRPr="00CC46CC">
        <w:rPr>
          <w:rFonts w:eastAsia="Times New Roman" w:cs="Arial"/>
        </w:rPr>
        <w:t>2-</w:t>
      </w:r>
      <w:r w:rsidR="002E0D10" w:rsidRPr="002E0D10">
        <w:rPr>
          <w:rFonts w:eastAsia="Times New Roman" w:cs="Arial"/>
        </w:rPr>
        <w:t>9</w:t>
      </w:r>
      <w:r w:rsidRPr="00CC46CC">
        <w:rPr>
          <w:rFonts w:eastAsia="Times New Roman" w:cs="Arial"/>
        </w:rPr>
        <w:t xml:space="preserve"> du code de la commande publique, le </w:t>
      </w:r>
      <w:r w:rsidR="002E0D10" w:rsidRPr="002E0D10">
        <w:rPr>
          <w:rFonts w:eastAsia="Times New Roman" w:cs="Arial"/>
        </w:rPr>
        <w:t>concédant</w:t>
      </w:r>
      <w:r w:rsidRPr="00CC46CC">
        <w:rPr>
          <w:rFonts w:eastAsia="Times New Roman" w:cs="Arial"/>
        </w:rPr>
        <w:t xml:space="preserve"> met à disposition le dossier de consultation par voie électronique à l’adresse suivante :</w:t>
      </w:r>
    </w:p>
    <w:p w14:paraId="6121215C" w14:textId="77777777" w:rsidR="00D46F69" w:rsidRDefault="00D46F69" w:rsidP="00CC46CC">
      <w:pPr>
        <w:widowControl/>
        <w:rPr>
          <w:rFonts w:eastAsia="Times New Roman" w:cs="Arial"/>
        </w:rPr>
      </w:pPr>
    </w:p>
    <w:p w14:paraId="6B0BE963" w14:textId="77777777" w:rsidR="00CC46CC" w:rsidRDefault="00CC46CC" w:rsidP="00CC46CC">
      <w:pPr>
        <w:widowControl/>
        <w:jc w:val="center"/>
      </w:pPr>
      <w:hyperlink r:id="rId11" w:history="1">
        <w:r w:rsidRPr="00CC46CC">
          <w:rPr>
            <w:rFonts w:eastAsia="Times New Roman" w:cs="Arial"/>
            <w:color w:val="0000FF"/>
            <w:u w:val="single"/>
          </w:rPr>
          <w:t>www.marches-publics.gouv.fr</w:t>
        </w:r>
      </w:hyperlink>
    </w:p>
    <w:p w14:paraId="3964D3FA" w14:textId="77777777" w:rsidR="00D46F69" w:rsidRPr="00CC46CC" w:rsidRDefault="00D46F69" w:rsidP="00CC46CC">
      <w:pPr>
        <w:widowControl/>
        <w:jc w:val="center"/>
        <w:rPr>
          <w:rFonts w:eastAsia="Times New Roman" w:cs="Arial"/>
          <w:color w:val="0000FF"/>
          <w:u w:val="single"/>
        </w:rPr>
      </w:pPr>
    </w:p>
    <w:p w14:paraId="3FA4485F" w14:textId="37904355" w:rsidR="00CC46CC" w:rsidRDefault="00CC46CC" w:rsidP="00CC46CC">
      <w:pPr>
        <w:widowControl/>
        <w:rPr>
          <w:rFonts w:eastAsia="Times New Roman" w:cs="Arial"/>
        </w:rPr>
      </w:pPr>
      <w:r w:rsidRPr="00CC46CC">
        <w:rPr>
          <w:rFonts w:eastAsia="Times New Roman" w:cs="Arial"/>
        </w:rPr>
        <w:t xml:space="preserve">Il est vivement recommandé aux candidats de s’identifier sur la plateforme avant le téléchargement du dossier de consultation des entreprises et de communiquer une adresse </w:t>
      </w:r>
      <w:proofErr w:type="gramStart"/>
      <w:r w:rsidRPr="00CC46CC">
        <w:rPr>
          <w:rFonts w:eastAsia="Times New Roman" w:cs="Arial"/>
        </w:rPr>
        <w:t>mail</w:t>
      </w:r>
      <w:proofErr w:type="gramEnd"/>
      <w:r w:rsidRPr="00CC46CC">
        <w:rPr>
          <w:rFonts w:eastAsia="Times New Roman" w:cs="Arial"/>
        </w:rPr>
        <w:t xml:space="preserve"> à laquelle sera envoyé les modifications et précisions éventuelles apportées aux documents de la consultation.</w:t>
      </w:r>
    </w:p>
    <w:p w14:paraId="679CE5D3" w14:textId="77777777" w:rsidR="00AC271D" w:rsidRDefault="00AC271D" w:rsidP="00CC46CC">
      <w:pPr>
        <w:widowControl/>
        <w:rPr>
          <w:rFonts w:eastAsia="Times New Roman" w:cs="Arial"/>
        </w:rPr>
      </w:pPr>
    </w:p>
    <w:p w14:paraId="73316AAA" w14:textId="77777777" w:rsidR="00CC46CC" w:rsidRPr="00CC46CC" w:rsidRDefault="00CC46CC" w:rsidP="00CC46CC">
      <w:pPr>
        <w:widowControl/>
        <w:rPr>
          <w:rFonts w:eastAsia="Times New Roman" w:cs="Arial"/>
          <w:color w:val="0000FF"/>
          <w:u w:val="single"/>
        </w:rPr>
      </w:pPr>
      <w:r w:rsidRPr="00CC46CC">
        <w:rPr>
          <w:rFonts w:eastAsia="Times New Roman" w:cs="Arial"/>
        </w:rPr>
        <w:t>En l’absence d’identification préalable, les candidats ne seront pas informés des éventuelles modifications de la consultation et en assumeront l’entière responsabilité dans l’élaboration de leur offre.</w:t>
      </w:r>
    </w:p>
    <w:p w14:paraId="49D5F956" w14:textId="5AA069E1" w:rsidR="00CC46CC" w:rsidRPr="00CC46CC" w:rsidRDefault="00CC46CC" w:rsidP="002E0D10">
      <w:pPr>
        <w:pStyle w:val="Titre2"/>
      </w:pPr>
      <w:bookmarkStart w:id="43" w:name="_Toc164444264"/>
      <w:bookmarkStart w:id="44" w:name="_Toc196230180"/>
      <w:r>
        <w:t>10.3</w:t>
      </w:r>
      <w:r w:rsidR="002E0D10">
        <w:t xml:space="preserve"> </w:t>
      </w:r>
      <w:r>
        <w:t>Condition de remise des plis</w:t>
      </w:r>
      <w:bookmarkEnd w:id="43"/>
      <w:bookmarkEnd w:id="44"/>
    </w:p>
    <w:p w14:paraId="4A970DAE" w14:textId="77777777" w:rsidR="00CC46CC" w:rsidRDefault="00CC46CC" w:rsidP="00CC46CC">
      <w:pPr>
        <w:pBdr>
          <w:top w:val="single" w:sz="4" w:space="1" w:color="000000"/>
          <w:left w:val="single" w:sz="4" w:space="4" w:color="000000"/>
          <w:bottom w:val="single" w:sz="4" w:space="1" w:color="000000"/>
          <w:right w:val="single" w:sz="4" w:space="4" w:color="000000"/>
        </w:pBdr>
        <w:jc w:val="center"/>
        <w:rPr>
          <w:b/>
          <w:sz w:val="18"/>
          <w:szCs w:val="18"/>
        </w:rPr>
      </w:pPr>
      <w:r>
        <w:rPr>
          <w:b/>
          <w:sz w:val="24"/>
          <w:szCs w:val="24"/>
        </w:rPr>
        <w:t xml:space="preserve">La CCI Essonne informe l’ensemble des candidats que leur pli devra obligatoirement être déposé sur la plateforme de dématérialisation suivante : </w:t>
      </w:r>
      <w:hyperlink r:id="rId12">
        <w:r>
          <w:rPr>
            <w:b/>
            <w:color w:val="0000FF"/>
            <w:sz w:val="24"/>
            <w:szCs w:val="24"/>
            <w:u w:val="single"/>
          </w:rPr>
          <w:t>www.marches-publics.gouv.fr</w:t>
        </w:r>
      </w:hyperlink>
    </w:p>
    <w:p w14:paraId="1FF4998A" w14:textId="77777777" w:rsidR="00CC46CC" w:rsidRDefault="00CC46CC" w:rsidP="00CC46CC">
      <w:pPr>
        <w:pBdr>
          <w:top w:val="nil"/>
          <w:left w:val="nil"/>
          <w:bottom w:val="nil"/>
          <w:right w:val="nil"/>
          <w:between w:val="nil"/>
        </w:pBdr>
        <w:rPr>
          <w:b/>
          <w:color w:val="000000"/>
        </w:rPr>
      </w:pPr>
      <w:r>
        <w:rPr>
          <w:color w:val="000000"/>
        </w:rPr>
        <w:tab/>
      </w:r>
    </w:p>
    <w:p w14:paraId="05B307FF" w14:textId="77777777" w:rsidR="00CC46CC" w:rsidRDefault="00CC46CC" w:rsidP="00CC46CC">
      <w:pPr>
        <w:pBdr>
          <w:top w:val="nil"/>
          <w:left w:val="nil"/>
          <w:bottom w:val="nil"/>
          <w:right w:val="nil"/>
          <w:between w:val="nil"/>
        </w:pBdr>
        <w:rPr>
          <w:b/>
          <w:color w:val="000000"/>
        </w:rPr>
      </w:pPr>
      <w:bookmarkStart w:id="45" w:name="_heading=h.tyjcwt" w:colFirst="0" w:colLast="0"/>
      <w:bookmarkEnd w:id="45"/>
      <w:r>
        <w:rPr>
          <w:color w:val="000000"/>
        </w:rPr>
        <w:t>Les modalités de dépôt y sont précisément indiquées. Dans cette hypothèse, le soumissionnaire se conformera aux dispositions réglementaires en vigueur et notamment aux termes de l’arrêté du 12 avril 2018 relatif à la signature électronique dans la commande publique.</w:t>
      </w:r>
    </w:p>
    <w:p w14:paraId="40467257" w14:textId="77777777" w:rsidR="00CC46CC" w:rsidRDefault="00CC46CC" w:rsidP="00CC46CC">
      <w:pPr>
        <w:pBdr>
          <w:top w:val="nil"/>
          <w:left w:val="nil"/>
          <w:bottom w:val="nil"/>
          <w:right w:val="nil"/>
          <w:between w:val="nil"/>
        </w:pBdr>
        <w:rPr>
          <w:b/>
          <w:color w:val="000000"/>
        </w:rPr>
      </w:pPr>
    </w:p>
    <w:p w14:paraId="699D4FFD" w14:textId="77777777" w:rsidR="00CC46CC" w:rsidRPr="00AD3E58" w:rsidRDefault="00CC46CC" w:rsidP="00CC46CC">
      <w:pPr>
        <w:pBdr>
          <w:top w:val="nil"/>
          <w:left w:val="nil"/>
          <w:bottom w:val="nil"/>
          <w:right w:val="nil"/>
          <w:between w:val="nil"/>
        </w:pBdr>
        <w:rPr>
          <w:b/>
          <w:bCs/>
          <w:color w:val="000080"/>
        </w:rPr>
      </w:pPr>
      <w:bookmarkStart w:id="46" w:name="_heading=h.3dy6vkm" w:colFirst="0" w:colLast="0"/>
      <w:bookmarkEnd w:id="46"/>
      <w:r w:rsidRPr="00AD3E58">
        <w:rPr>
          <w:b/>
          <w:bCs/>
          <w:color w:val="000080"/>
        </w:rPr>
        <w:t>Les soumissionnaires auront la possibilité de déposer une copie de sauvegarde à l’adresse suivante :</w:t>
      </w:r>
    </w:p>
    <w:p w14:paraId="53129BB0" w14:textId="77777777" w:rsidR="00CC46CC" w:rsidRDefault="00CC46CC" w:rsidP="00CC46CC">
      <w:pPr>
        <w:pBdr>
          <w:top w:val="nil"/>
          <w:left w:val="nil"/>
          <w:bottom w:val="nil"/>
          <w:right w:val="nil"/>
          <w:between w:val="nil"/>
        </w:pBdr>
        <w:rPr>
          <w:color w:val="000000"/>
        </w:rPr>
      </w:pPr>
      <w:bookmarkStart w:id="47" w:name="_heading=h.1t3h5sf" w:colFirst="0" w:colLast="0"/>
      <w:bookmarkEnd w:id="47"/>
    </w:p>
    <w:p w14:paraId="0BEB95AB" w14:textId="77777777" w:rsidR="00CC46CC" w:rsidRDefault="00CC46CC" w:rsidP="00CC46CC">
      <w:pPr>
        <w:pBdr>
          <w:top w:val="nil"/>
          <w:left w:val="nil"/>
          <w:bottom w:val="nil"/>
          <w:right w:val="nil"/>
          <w:between w:val="nil"/>
        </w:pBdr>
        <w:rPr>
          <w:b/>
          <w:color w:val="000000"/>
        </w:rPr>
      </w:pPr>
      <w:r>
        <w:rPr>
          <w:color w:val="000000"/>
        </w:rPr>
        <w:t>CCI ESSONNE</w:t>
      </w:r>
    </w:p>
    <w:p w14:paraId="67D975B8" w14:textId="77777777" w:rsidR="00CC46CC" w:rsidRDefault="00CC46CC" w:rsidP="00CC46CC">
      <w:pPr>
        <w:pBdr>
          <w:top w:val="nil"/>
          <w:left w:val="nil"/>
          <w:bottom w:val="nil"/>
          <w:right w:val="nil"/>
          <w:between w:val="nil"/>
        </w:pBdr>
        <w:rPr>
          <w:b/>
          <w:color w:val="000000"/>
        </w:rPr>
      </w:pPr>
      <w:bookmarkStart w:id="48" w:name="_heading=h.4d34og8" w:colFirst="0" w:colLast="0"/>
      <w:bookmarkEnd w:id="48"/>
      <w:r>
        <w:rPr>
          <w:color w:val="000000"/>
        </w:rPr>
        <w:t xml:space="preserve">2 Cours Monseigneur </w:t>
      </w:r>
      <w:proofErr w:type="spellStart"/>
      <w:r>
        <w:rPr>
          <w:color w:val="000000"/>
        </w:rPr>
        <w:t>Roméro</w:t>
      </w:r>
      <w:proofErr w:type="spellEnd"/>
      <w:r>
        <w:rPr>
          <w:color w:val="000000"/>
        </w:rPr>
        <w:t xml:space="preserve"> – CS  50135</w:t>
      </w:r>
    </w:p>
    <w:p w14:paraId="1C860151" w14:textId="77777777" w:rsidR="00CC46CC" w:rsidRDefault="00CC46CC" w:rsidP="00CC46CC">
      <w:pPr>
        <w:pBdr>
          <w:top w:val="nil"/>
          <w:left w:val="nil"/>
          <w:bottom w:val="nil"/>
          <w:right w:val="nil"/>
          <w:between w:val="nil"/>
        </w:pBdr>
        <w:rPr>
          <w:b/>
          <w:color w:val="000000"/>
        </w:rPr>
      </w:pPr>
      <w:bookmarkStart w:id="49" w:name="_heading=h.2s8eyo1" w:colFirst="0" w:colLast="0"/>
      <w:bookmarkEnd w:id="49"/>
      <w:r>
        <w:rPr>
          <w:color w:val="000000"/>
        </w:rPr>
        <w:t>91004 EVRY-COURCOURONNES Cedex</w:t>
      </w:r>
    </w:p>
    <w:p w14:paraId="5BED425C" w14:textId="77777777" w:rsidR="00CC46CC" w:rsidRDefault="00CC46CC" w:rsidP="00CC46CC">
      <w:pPr>
        <w:pBdr>
          <w:top w:val="nil"/>
          <w:left w:val="nil"/>
          <w:bottom w:val="nil"/>
          <w:right w:val="nil"/>
          <w:between w:val="nil"/>
        </w:pBdr>
        <w:rPr>
          <w:b/>
          <w:color w:val="000000"/>
        </w:rPr>
      </w:pPr>
    </w:p>
    <w:p w14:paraId="3817BDA1" w14:textId="77777777" w:rsidR="00CC46CC" w:rsidRDefault="00CC46CC" w:rsidP="00CC46CC">
      <w:pPr>
        <w:pBdr>
          <w:top w:val="nil"/>
          <w:left w:val="nil"/>
          <w:bottom w:val="nil"/>
          <w:right w:val="nil"/>
          <w:between w:val="nil"/>
        </w:pBdr>
        <w:rPr>
          <w:color w:val="000000"/>
        </w:rPr>
      </w:pPr>
      <w:bookmarkStart w:id="50" w:name="_heading=h.17dp8vu" w:colFirst="0" w:colLast="0"/>
      <w:bookmarkEnd w:id="50"/>
      <w:r>
        <w:rPr>
          <w:color w:val="000000"/>
        </w:rPr>
        <w:t xml:space="preserve">Cette copie devra mentionner très clairement </w:t>
      </w:r>
      <w:r>
        <w:rPr>
          <w:b/>
          <w:color w:val="000080"/>
        </w:rPr>
        <w:t>« COPIE DE SAUVEGARDE »</w:t>
      </w:r>
      <w:r>
        <w:rPr>
          <w:color w:val="000000"/>
        </w:rPr>
        <w:t xml:space="preserve"> avec l’intitulé de la concession. Elle devra parvenir dans le délai fixé pour la date limite de remise des candidatures et des offres. Elle pourra être transmise sur support papier ou sur support physique électronique.</w:t>
      </w:r>
    </w:p>
    <w:p w14:paraId="01D2AD26" w14:textId="77777777" w:rsidR="00CC46CC" w:rsidRDefault="00CC46CC" w:rsidP="00CC46CC">
      <w:pPr>
        <w:pBdr>
          <w:top w:val="nil"/>
          <w:left w:val="nil"/>
          <w:bottom w:val="nil"/>
          <w:right w:val="nil"/>
          <w:between w:val="nil"/>
        </w:pBdr>
        <w:rPr>
          <w:b/>
          <w:color w:val="000000"/>
        </w:rPr>
      </w:pPr>
    </w:p>
    <w:p w14:paraId="0A492E40" w14:textId="77777777" w:rsidR="00CC46CC" w:rsidRDefault="00CC46CC" w:rsidP="00CC46CC">
      <w:pPr>
        <w:pBdr>
          <w:top w:val="nil"/>
          <w:left w:val="nil"/>
          <w:bottom w:val="nil"/>
          <w:right w:val="nil"/>
          <w:between w:val="nil"/>
        </w:pBdr>
        <w:rPr>
          <w:b/>
          <w:color w:val="000000"/>
        </w:rPr>
      </w:pPr>
      <w:bookmarkStart w:id="51" w:name="_heading=h.3rdcrjn" w:colFirst="0" w:colLast="0"/>
      <w:bookmarkEnd w:id="51"/>
      <w:r>
        <w:rPr>
          <w:color w:val="000000"/>
        </w:rPr>
        <w:t>Elle ne pourra être ouverte que dans les cas mentionnés à l’article 2 de l’arrêté du 27 juillet 2018 fixant les modalités de mise à disposition des documents de la consultation et de la copie de sauvegarde. Si le pli n’était pas ouvert, il serait détruit à l’issue de la procédure.</w:t>
      </w:r>
    </w:p>
    <w:p w14:paraId="347FFD82" w14:textId="77777777" w:rsidR="00CC46CC" w:rsidRDefault="00CC46CC" w:rsidP="00CC46CC">
      <w:pPr>
        <w:pBdr>
          <w:top w:val="nil"/>
          <w:left w:val="nil"/>
          <w:bottom w:val="nil"/>
          <w:right w:val="nil"/>
          <w:between w:val="nil"/>
        </w:pBdr>
        <w:rPr>
          <w:b/>
          <w:color w:val="000000"/>
        </w:rPr>
      </w:pPr>
    </w:p>
    <w:p w14:paraId="2D2D2DCC" w14:textId="77777777" w:rsidR="00CC46CC" w:rsidRDefault="00CC46CC" w:rsidP="00CC46CC">
      <w:pPr>
        <w:pBdr>
          <w:top w:val="nil"/>
          <w:left w:val="nil"/>
          <w:bottom w:val="nil"/>
          <w:right w:val="nil"/>
          <w:between w:val="nil"/>
        </w:pBdr>
        <w:rPr>
          <w:b/>
          <w:color w:val="000000"/>
        </w:rPr>
      </w:pPr>
      <w:bookmarkStart w:id="52" w:name="_heading=h.26in1rg" w:colFirst="0" w:colLast="0"/>
      <w:bookmarkEnd w:id="52"/>
      <w:r>
        <w:rPr>
          <w:color w:val="000000"/>
        </w:rPr>
        <w:t>La copie de sauvegarde est ouverte dans les cas suivants :</w:t>
      </w:r>
    </w:p>
    <w:p w14:paraId="3942C3F0" w14:textId="77777777" w:rsidR="00CC46CC" w:rsidRDefault="00CC46CC" w:rsidP="00CC46CC">
      <w:pPr>
        <w:numPr>
          <w:ilvl w:val="0"/>
          <w:numId w:val="11"/>
        </w:numPr>
        <w:pBdr>
          <w:top w:val="nil"/>
          <w:left w:val="nil"/>
          <w:bottom w:val="nil"/>
          <w:right w:val="nil"/>
          <w:between w:val="nil"/>
        </w:pBdr>
        <w:rPr>
          <w:b/>
          <w:color w:val="000000"/>
        </w:rPr>
      </w:pPr>
      <w:bookmarkStart w:id="53" w:name="_heading=h.lnxbz9" w:colFirst="0" w:colLast="0"/>
      <w:bookmarkEnd w:id="53"/>
      <w:r>
        <w:rPr>
          <w:color w:val="000000"/>
        </w:rPr>
        <w:t>Lorsqu'un programme informatique malveillant est détecté dans les candidatures ou les offres transmises par voie électronique. La trace de cette malveillance est conservée ;</w:t>
      </w:r>
    </w:p>
    <w:p w14:paraId="5163A1B2" w14:textId="77777777" w:rsidR="00CC46CC" w:rsidRDefault="00CC46CC" w:rsidP="00CC46CC">
      <w:pPr>
        <w:numPr>
          <w:ilvl w:val="0"/>
          <w:numId w:val="11"/>
        </w:numPr>
        <w:pBdr>
          <w:top w:val="nil"/>
          <w:left w:val="nil"/>
          <w:bottom w:val="nil"/>
          <w:right w:val="nil"/>
          <w:between w:val="nil"/>
        </w:pBdr>
        <w:rPr>
          <w:b/>
          <w:color w:val="000000"/>
        </w:rPr>
      </w:pPr>
      <w:r>
        <w:rPr>
          <w:color w:val="000000"/>
        </w:rPr>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763F012D" w14:textId="77777777" w:rsidR="00CC46CC" w:rsidRDefault="00CC46CC" w:rsidP="00CC46CC">
      <w:pPr>
        <w:pBdr>
          <w:top w:val="nil"/>
          <w:left w:val="nil"/>
          <w:bottom w:val="nil"/>
          <w:right w:val="nil"/>
          <w:between w:val="nil"/>
        </w:pBdr>
        <w:rPr>
          <w:b/>
          <w:color w:val="000000"/>
        </w:rPr>
      </w:pPr>
    </w:p>
    <w:p w14:paraId="6A1D218B" w14:textId="77777777" w:rsidR="00CC46CC" w:rsidRDefault="00CC46CC" w:rsidP="00CC46CC">
      <w:pPr>
        <w:pBdr>
          <w:top w:val="nil"/>
          <w:left w:val="nil"/>
          <w:bottom w:val="nil"/>
          <w:right w:val="nil"/>
          <w:between w:val="nil"/>
        </w:pBdr>
        <w:rPr>
          <w:b/>
          <w:color w:val="000000"/>
        </w:rPr>
      </w:pPr>
      <w:bookmarkStart w:id="54" w:name="_heading=h.35nkun2" w:colFirst="0" w:colLast="0"/>
      <w:bookmarkEnd w:id="54"/>
      <w:r>
        <w:rPr>
          <w:color w:val="000000"/>
        </w:rPr>
        <w:t>Mention à indiquer sur l’enveloppe d’expédition :</w:t>
      </w:r>
    </w:p>
    <w:p w14:paraId="7A9CB79F" w14:textId="77777777" w:rsidR="00CC46CC" w:rsidRDefault="00CC46CC" w:rsidP="00CC46CC">
      <w:pPr>
        <w:pBdr>
          <w:top w:val="nil"/>
          <w:left w:val="nil"/>
          <w:bottom w:val="nil"/>
          <w:right w:val="nil"/>
          <w:between w:val="nil"/>
        </w:pBdr>
        <w:rPr>
          <w:b/>
          <w:color w:val="000000"/>
        </w:rPr>
      </w:pPr>
    </w:p>
    <w:p w14:paraId="693D3EB4" w14:textId="0B93DD17" w:rsidR="00CC46CC" w:rsidRPr="008B6F7C" w:rsidRDefault="00CC46CC" w:rsidP="00CC46CC">
      <w:pPr>
        <w:pBdr>
          <w:top w:val="nil"/>
          <w:left w:val="nil"/>
          <w:bottom w:val="nil"/>
          <w:right w:val="nil"/>
          <w:between w:val="nil"/>
        </w:pBdr>
        <w:jc w:val="center"/>
        <w:rPr>
          <w:b/>
          <w:i/>
          <w:color w:val="000080"/>
        </w:rPr>
      </w:pPr>
      <w:r w:rsidRPr="008B6F7C">
        <w:rPr>
          <w:b/>
          <w:i/>
          <w:color w:val="000080"/>
        </w:rPr>
        <w:t>« Concession de service public – Commercialisation, aménagement et gestion de la plateforme des inscriptions et des rendez-vous TECHINNOV 202</w:t>
      </w:r>
      <w:r w:rsidR="00F2516B">
        <w:rPr>
          <w:b/>
          <w:i/>
          <w:color w:val="000080"/>
        </w:rPr>
        <w:t>6</w:t>
      </w:r>
      <w:r w:rsidRPr="008B6F7C">
        <w:rPr>
          <w:b/>
          <w:i/>
          <w:color w:val="000080"/>
        </w:rPr>
        <w:t xml:space="preserve"> – CCIE-2</w:t>
      </w:r>
      <w:r w:rsidR="00F2516B">
        <w:rPr>
          <w:b/>
          <w:i/>
          <w:color w:val="000080"/>
        </w:rPr>
        <w:t>5</w:t>
      </w:r>
      <w:r w:rsidRPr="008B6F7C">
        <w:rPr>
          <w:b/>
          <w:i/>
          <w:color w:val="000080"/>
        </w:rPr>
        <w:t>-00</w:t>
      </w:r>
      <w:r w:rsidR="00F2516B">
        <w:rPr>
          <w:b/>
          <w:i/>
          <w:color w:val="000080"/>
        </w:rPr>
        <w:t>8</w:t>
      </w:r>
      <w:r w:rsidRPr="008B6F7C">
        <w:rPr>
          <w:b/>
          <w:i/>
          <w:color w:val="000080"/>
        </w:rPr>
        <w:t xml:space="preserve"> -</w:t>
      </w:r>
    </w:p>
    <w:p w14:paraId="6D9B679D" w14:textId="77777777" w:rsidR="00CC46CC" w:rsidRDefault="00CC46CC" w:rsidP="00CC46CC">
      <w:pPr>
        <w:pBdr>
          <w:top w:val="nil"/>
          <w:left w:val="nil"/>
          <w:bottom w:val="nil"/>
          <w:right w:val="nil"/>
          <w:between w:val="nil"/>
        </w:pBdr>
        <w:jc w:val="center"/>
        <w:rPr>
          <w:b/>
          <w:i/>
          <w:color w:val="000080"/>
        </w:rPr>
      </w:pPr>
      <w:r w:rsidRPr="008B6F7C">
        <w:rPr>
          <w:b/>
          <w:i/>
          <w:color w:val="000080"/>
        </w:rPr>
        <w:t>COPIE DE SAUVEGARDE - NE PAS OUVRIR »</w:t>
      </w:r>
    </w:p>
    <w:p w14:paraId="20CEF881" w14:textId="77777777" w:rsidR="00CC46CC" w:rsidRDefault="00CC46CC" w:rsidP="00CC46CC">
      <w:pPr>
        <w:rPr>
          <w:b/>
        </w:rPr>
      </w:pPr>
      <w:r>
        <w:rPr>
          <w:b/>
          <w:u w:val="single"/>
        </w:rPr>
        <w:lastRenderedPageBreak/>
        <w:t>Important</w:t>
      </w:r>
      <w:r w:rsidRPr="009B77E7">
        <w:rPr>
          <w:b/>
        </w:rPr>
        <w:t xml:space="preserve"> :</w:t>
      </w:r>
      <w:r>
        <w:rPr>
          <w:b/>
        </w:rPr>
        <w:t xml:space="preserve"> les candidats n’ont pas l’obligation de signer leur acte d’engagement au stade de la remise des offres, celle-ci est facultative.</w:t>
      </w:r>
    </w:p>
    <w:p w14:paraId="3F201F5E" w14:textId="77777777" w:rsidR="00CC46CC" w:rsidRDefault="00CC46CC" w:rsidP="00CC46CC">
      <w:pPr>
        <w:rPr>
          <w:b/>
        </w:rPr>
      </w:pPr>
      <w:r>
        <w:rPr>
          <w:b/>
        </w:rPr>
        <w:t>Seul l’acte d’engagement de l’attributaire est signé au terme de la procédure de passation.</w:t>
      </w:r>
    </w:p>
    <w:p w14:paraId="4E601CF5" w14:textId="77777777" w:rsidR="00CC46CC" w:rsidRDefault="00CC46CC" w:rsidP="00CC46CC">
      <w:pPr>
        <w:pBdr>
          <w:top w:val="nil"/>
          <w:left w:val="nil"/>
          <w:bottom w:val="nil"/>
          <w:right w:val="nil"/>
          <w:between w:val="nil"/>
        </w:pBdr>
        <w:rPr>
          <w:color w:val="000000"/>
        </w:rPr>
      </w:pPr>
      <w:bookmarkStart w:id="55" w:name="_heading=h.1ksv4uv" w:colFirst="0" w:colLast="0"/>
      <w:bookmarkEnd w:id="55"/>
    </w:p>
    <w:p w14:paraId="5843CB9A" w14:textId="68834051" w:rsidR="00CC46CC" w:rsidRDefault="00CC46CC" w:rsidP="00CC46CC">
      <w:pPr>
        <w:pBdr>
          <w:top w:val="nil"/>
          <w:left w:val="nil"/>
          <w:bottom w:val="nil"/>
          <w:right w:val="nil"/>
          <w:between w:val="nil"/>
        </w:pBdr>
        <w:rPr>
          <w:b/>
          <w:color w:val="000080"/>
        </w:rPr>
      </w:pPr>
      <w:r>
        <w:rPr>
          <w:b/>
          <w:color w:val="000080"/>
        </w:rPr>
        <w:t>Concernant la dématérialisation des candidatures et des offres, la CCI Essonne rappelle que les candidats doivent prévoir, au moins une quinzaine de jours avant la date limite de remise des offres, pour se procurer le certificat électronique.</w:t>
      </w:r>
    </w:p>
    <w:p w14:paraId="3BE6C2AA" w14:textId="77777777" w:rsidR="00CC46CC" w:rsidRDefault="00CC46CC" w:rsidP="00CC46CC">
      <w:pPr>
        <w:pBdr>
          <w:top w:val="nil"/>
          <w:left w:val="nil"/>
          <w:bottom w:val="nil"/>
          <w:right w:val="nil"/>
          <w:between w:val="nil"/>
        </w:pBdr>
        <w:rPr>
          <w:b/>
          <w:color w:val="000000"/>
        </w:rPr>
      </w:pPr>
    </w:p>
    <w:p w14:paraId="1EC6C6EE" w14:textId="6B542D8E" w:rsidR="00CC46CC" w:rsidRDefault="00CC46CC" w:rsidP="00CC46CC">
      <w:pPr>
        <w:pBdr>
          <w:top w:val="nil"/>
          <w:left w:val="nil"/>
          <w:bottom w:val="nil"/>
          <w:right w:val="nil"/>
          <w:between w:val="nil"/>
        </w:pBdr>
        <w:rPr>
          <w:b/>
          <w:color w:val="000000"/>
        </w:rPr>
      </w:pPr>
      <w:bookmarkStart w:id="56" w:name="_heading=h.44sinio" w:colFirst="0" w:colLast="0"/>
      <w:bookmarkEnd w:id="56"/>
      <w:r>
        <w:rPr>
          <w:color w:val="000000"/>
        </w:rPr>
        <w:t>ATTENTION : La CCI Essonne souhaite attirer votre attention concernant le téléchargement du DCE, lors duquel vous pouvez ou non vous authentifier. En effet, vous ne pourrez recevoir les modifications et informations concernant la consultation que si vous êtes authentifié.</w:t>
      </w:r>
    </w:p>
    <w:p w14:paraId="1ABAE519" w14:textId="77777777" w:rsidR="00B20BB6" w:rsidRDefault="00535199">
      <w:pPr>
        <w:pStyle w:val="Titre1"/>
      </w:pPr>
      <w:bookmarkStart w:id="57" w:name="_Toc196230181"/>
      <w:r>
        <w:t>Article 11 - Pièces de la candidature</w:t>
      </w:r>
      <w:bookmarkEnd w:id="57"/>
    </w:p>
    <w:p w14:paraId="0EF3A463" w14:textId="77777777" w:rsidR="00B20BB6" w:rsidRDefault="00535199">
      <w:pPr>
        <w:pBdr>
          <w:top w:val="nil"/>
          <w:left w:val="nil"/>
          <w:bottom w:val="nil"/>
          <w:right w:val="nil"/>
          <w:between w:val="nil"/>
        </w:pBdr>
        <w:rPr>
          <w:color w:val="000000"/>
        </w:rPr>
      </w:pPr>
      <w:r>
        <w:rPr>
          <w:color w:val="000000"/>
        </w:rPr>
        <w:t>Le dossier de candidature à produire par chaque opérateur économique (ou pour chacun des membres d’un groupement d’opérateurs économiques) comporte l’ensemble des renseignements, pièces et documents suivants :</w:t>
      </w:r>
    </w:p>
    <w:p w14:paraId="33F61533" w14:textId="77777777" w:rsidR="00B20BB6" w:rsidRDefault="00535199">
      <w:pPr>
        <w:pStyle w:val="Titre2"/>
      </w:pPr>
      <w:bookmarkStart w:id="58" w:name="_Toc196230182"/>
      <w:r>
        <w:t>11.1 Renseignements généraux</w:t>
      </w:r>
      <w:bookmarkEnd w:id="58"/>
    </w:p>
    <w:p w14:paraId="029817F4" w14:textId="77777777" w:rsidR="007B7044" w:rsidRPr="008D3A14" w:rsidRDefault="005270FB" w:rsidP="008D3A14">
      <w:pPr>
        <w:numPr>
          <w:ilvl w:val="0"/>
          <w:numId w:val="10"/>
        </w:numPr>
        <w:pBdr>
          <w:top w:val="nil"/>
          <w:left w:val="nil"/>
          <w:bottom w:val="nil"/>
          <w:right w:val="nil"/>
          <w:between w:val="nil"/>
        </w:pBdr>
        <w:ind w:hanging="360"/>
        <w:rPr>
          <w:b/>
          <w:color w:val="000000"/>
        </w:rPr>
      </w:pPr>
      <w:r>
        <w:rPr>
          <w:b/>
          <w:color w:val="000000"/>
        </w:rPr>
        <w:t>Le formulaire DC1</w:t>
      </w:r>
      <w:r w:rsidRPr="005270FB">
        <w:rPr>
          <w:color w:val="000000"/>
        </w:rPr>
        <w:t>, l</w:t>
      </w:r>
      <w:r w:rsidR="00535199" w:rsidRPr="005270FB">
        <w:rPr>
          <w:color w:val="000000"/>
        </w:rPr>
        <w:t>ettre de candidature</w:t>
      </w:r>
      <w:r w:rsidR="00535199" w:rsidRPr="008D3A14">
        <w:rPr>
          <w:b/>
          <w:color w:val="000000"/>
        </w:rPr>
        <w:t xml:space="preserve"> </w:t>
      </w:r>
      <w:r>
        <w:rPr>
          <w:color w:val="000000"/>
        </w:rPr>
        <w:t>-</w:t>
      </w:r>
      <w:r w:rsidRPr="008C3BE5">
        <w:t xml:space="preserve"> habilitation du mandataire par ses co-traitants, (en cas de groupement, ce document devra être dûment complété et signé par chacun des membres et présenté par le mandataire habilité à les représenter)</w:t>
      </w:r>
      <w:r>
        <w:t>. (Imprimé DC</w:t>
      </w:r>
      <w:r w:rsidRPr="008C3BE5">
        <w:t xml:space="preserve">1 </w:t>
      </w:r>
      <w:r>
        <w:t>joint au dossier de consultation des entreprises) ;</w:t>
      </w:r>
    </w:p>
    <w:p w14:paraId="1FDB97A0" w14:textId="77777777" w:rsidR="008D3A14" w:rsidRPr="008D3A14" w:rsidRDefault="008D3A14" w:rsidP="008D3A14">
      <w:pPr>
        <w:pBdr>
          <w:top w:val="nil"/>
          <w:left w:val="nil"/>
          <w:bottom w:val="nil"/>
          <w:right w:val="nil"/>
          <w:between w:val="nil"/>
        </w:pBdr>
        <w:ind w:left="644"/>
        <w:rPr>
          <w:b/>
          <w:color w:val="000000"/>
        </w:rPr>
      </w:pPr>
    </w:p>
    <w:p w14:paraId="4654A081" w14:textId="77777777" w:rsidR="00B20BB6" w:rsidRDefault="005270FB">
      <w:pPr>
        <w:numPr>
          <w:ilvl w:val="0"/>
          <w:numId w:val="10"/>
        </w:numPr>
        <w:pBdr>
          <w:top w:val="nil"/>
          <w:left w:val="nil"/>
          <w:bottom w:val="nil"/>
          <w:right w:val="nil"/>
          <w:between w:val="nil"/>
        </w:pBdr>
        <w:ind w:hanging="360"/>
      </w:pPr>
      <w:r>
        <w:rPr>
          <w:b/>
          <w:color w:val="000000"/>
        </w:rPr>
        <w:t>La d</w:t>
      </w:r>
      <w:r w:rsidR="00535199">
        <w:rPr>
          <w:b/>
          <w:color w:val="000000"/>
        </w:rPr>
        <w:t xml:space="preserve">éclaration sur l’honneur </w:t>
      </w:r>
      <w:r w:rsidR="00535199">
        <w:rPr>
          <w:color w:val="000000"/>
        </w:rPr>
        <w:t xml:space="preserve">attestant que l’opérateur économique (ou chaque membre du groupement) : </w:t>
      </w:r>
    </w:p>
    <w:p w14:paraId="5123EB35" w14:textId="6EF2613A" w:rsidR="00B20BB6" w:rsidRDefault="50DBAA92" w:rsidP="5504E08E">
      <w:pPr>
        <w:numPr>
          <w:ilvl w:val="0"/>
          <w:numId w:val="3"/>
        </w:numPr>
        <w:pBdr>
          <w:top w:val="nil"/>
          <w:left w:val="nil"/>
          <w:bottom w:val="nil"/>
          <w:right w:val="nil"/>
          <w:between w:val="nil"/>
        </w:pBdr>
      </w:pPr>
      <w:r w:rsidRPr="5504E08E">
        <w:rPr>
          <w:color w:val="000000" w:themeColor="text1"/>
        </w:rPr>
        <w:t>N’est</w:t>
      </w:r>
      <w:r w:rsidR="00535199" w:rsidRPr="5504E08E">
        <w:rPr>
          <w:color w:val="000000" w:themeColor="text1"/>
        </w:rPr>
        <w:t xml:space="preserve"> frappé d’aucune interdiction de soumissionner en application des articles </w:t>
      </w:r>
      <w:r w:rsidR="00535199" w:rsidRPr="5504E08E">
        <w:rPr>
          <w:rFonts w:ascii="Arial" w:eastAsia="Arial" w:hAnsi="Arial" w:cs="Arial"/>
          <w:b/>
          <w:bCs/>
          <w:color w:val="000000" w:themeColor="text1"/>
          <w:sz w:val="23"/>
          <w:szCs w:val="23"/>
          <w:highlight w:val="white"/>
        </w:rPr>
        <w:t xml:space="preserve"> </w:t>
      </w:r>
      <w:r w:rsidR="00535199" w:rsidRPr="5504E08E">
        <w:rPr>
          <w:color w:val="000000" w:themeColor="text1"/>
          <w:highlight w:val="white"/>
        </w:rPr>
        <w:t>L3123-1 à L3123-5 et L3123-7 à L3123-10 du code de la commande publique</w:t>
      </w:r>
      <w:r w:rsidR="00535199" w:rsidRPr="5504E08E">
        <w:rPr>
          <w:color w:val="000000" w:themeColor="text1"/>
        </w:rPr>
        <w:t xml:space="preserve"> ;</w:t>
      </w:r>
    </w:p>
    <w:p w14:paraId="157E5763" w14:textId="2F483F73" w:rsidR="00B20BB6" w:rsidRDefault="5AC9E38D" w:rsidP="5504E08E">
      <w:pPr>
        <w:numPr>
          <w:ilvl w:val="0"/>
          <w:numId w:val="3"/>
        </w:numPr>
        <w:pBdr>
          <w:top w:val="nil"/>
          <w:left w:val="nil"/>
          <w:bottom w:val="nil"/>
          <w:right w:val="nil"/>
          <w:between w:val="nil"/>
        </w:pBdr>
      </w:pPr>
      <w:r w:rsidRPr="5504E08E">
        <w:rPr>
          <w:color w:val="000000" w:themeColor="text1"/>
        </w:rPr>
        <w:t>Que</w:t>
      </w:r>
      <w:r w:rsidR="00535199" w:rsidRPr="5504E08E">
        <w:rPr>
          <w:color w:val="000000" w:themeColor="text1"/>
        </w:rPr>
        <w:t xml:space="preserve"> les renseignements et documents relatifs à ses capacités et à ses aptitudes exigées en application de l’article L3123-18 et L3123-19 du code de la commande publique et dans les conditions fixées aux articles R3123-1 à R3123-5, sont exacts ;</w:t>
      </w:r>
    </w:p>
    <w:p w14:paraId="1A912CD6" w14:textId="5744005C" w:rsidR="00B20BB6" w:rsidRDefault="02724CDF" w:rsidP="5504E08E">
      <w:pPr>
        <w:numPr>
          <w:ilvl w:val="0"/>
          <w:numId w:val="3"/>
        </w:numPr>
        <w:pBdr>
          <w:top w:val="nil"/>
          <w:left w:val="nil"/>
          <w:bottom w:val="nil"/>
          <w:right w:val="nil"/>
          <w:between w:val="nil"/>
        </w:pBdr>
      </w:pPr>
      <w:r w:rsidRPr="5504E08E">
        <w:rPr>
          <w:color w:val="000000" w:themeColor="text1"/>
        </w:rPr>
        <w:t>Qu’il</w:t>
      </w:r>
      <w:r w:rsidR="00535199" w:rsidRPr="5504E08E">
        <w:rPr>
          <w:color w:val="000000" w:themeColor="text1"/>
        </w:rPr>
        <w:t xml:space="preserve"> respecte l'obligation d'emploi des travailleurs handicapés prévue aux articles L5212-2 à L5212-4 du Code du travail.</w:t>
      </w:r>
    </w:p>
    <w:p w14:paraId="4E71D1ED" w14:textId="620FC018" w:rsidR="00B20BB6" w:rsidRDefault="00535199">
      <w:pPr>
        <w:pStyle w:val="Titre2"/>
      </w:pPr>
      <w:bookmarkStart w:id="59" w:name="_Toc196230183"/>
      <w:r>
        <w:t>11.2 Renseignements relatifs à la capacité économique et financière</w:t>
      </w:r>
      <w:bookmarkEnd w:id="59"/>
    </w:p>
    <w:p w14:paraId="7F8F562C" w14:textId="77777777" w:rsidR="00B20BB6" w:rsidRDefault="005270FB">
      <w:pPr>
        <w:numPr>
          <w:ilvl w:val="0"/>
          <w:numId w:val="12"/>
        </w:numPr>
        <w:pBdr>
          <w:top w:val="nil"/>
          <w:left w:val="nil"/>
          <w:bottom w:val="nil"/>
          <w:right w:val="nil"/>
          <w:between w:val="nil"/>
        </w:pBdr>
        <w:ind w:hanging="360"/>
      </w:pPr>
      <w:r w:rsidRPr="005270FB">
        <w:rPr>
          <w:b/>
          <w:color w:val="000000"/>
        </w:rPr>
        <w:t>Le F</w:t>
      </w:r>
      <w:r w:rsidR="00535199" w:rsidRPr="005270FB">
        <w:rPr>
          <w:b/>
          <w:color w:val="000000"/>
        </w:rPr>
        <w:t>ormulaire DC2</w:t>
      </w:r>
      <w:r w:rsidRPr="005270FB">
        <w:rPr>
          <w:color w:val="000000"/>
        </w:rPr>
        <w:t>, déclaration du candidat individuel ou du membre du groupement. (Imprimé DC2 joint au dossier de consultation des entreprises) ;</w:t>
      </w:r>
    </w:p>
    <w:p w14:paraId="38E9D776" w14:textId="77777777" w:rsidR="00B20BB6" w:rsidRDefault="00B20BB6"/>
    <w:p w14:paraId="7DFB9EE8" w14:textId="77777777" w:rsidR="00B20BB6" w:rsidRDefault="00535199">
      <w:pPr>
        <w:numPr>
          <w:ilvl w:val="0"/>
          <w:numId w:val="12"/>
        </w:numPr>
        <w:pBdr>
          <w:top w:val="nil"/>
          <w:left w:val="nil"/>
          <w:bottom w:val="nil"/>
          <w:right w:val="nil"/>
          <w:between w:val="nil"/>
        </w:pBdr>
        <w:ind w:hanging="360"/>
      </w:pPr>
      <w:r>
        <w:rPr>
          <w:b/>
          <w:color w:val="000000"/>
        </w:rPr>
        <w:t>Déclaration concernant le chiffre d'affaires global du candidat</w:t>
      </w:r>
      <w:r>
        <w:rPr>
          <w:color w:val="000000"/>
        </w:rPr>
        <w:t xml:space="preserve"> et, le cas échéant, le chiffre d'affaires du domaine d'activité faisant l'objet, portant sur les trois derniers exercices disponibles en fonction de la date de création de l'entreprise ou du début d'activité de l'opérateur économique, dans la mesure où les informations sur ces chiffres d'affaires sont disponibles ;</w:t>
      </w:r>
    </w:p>
    <w:p w14:paraId="23B53E23" w14:textId="77777777" w:rsidR="00B20BB6" w:rsidRDefault="00535199" w:rsidP="009C2154">
      <w:pPr>
        <w:pBdr>
          <w:top w:val="nil"/>
          <w:left w:val="nil"/>
          <w:bottom w:val="nil"/>
          <w:right w:val="nil"/>
          <w:between w:val="nil"/>
        </w:pBdr>
        <w:ind w:left="644"/>
      </w:pPr>
      <w:r>
        <w:rPr>
          <w:color w:val="000000"/>
        </w:rPr>
        <w:t>Si, pour une raison justifiée, l'opérateur économique n'est pas en mesure de produire les renseignements et documents demandés par le Concédant, il est autorisé à prouver sa capacité économique et financière par tout autre moyen considéré comme approprié par</w:t>
      </w:r>
      <w:r w:rsidR="009B77E7">
        <w:rPr>
          <w:color w:val="000000"/>
        </w:rPr>
        <w:t xml:space="preserve"> le Concédant.</w:t>
      </w:r>
    </w:p>
    <w:p w14:paraId="7B1D88E5" w14:textId="1CCB8392" w:rsidR="00B20BB6" w:rsidRDefault="00535199" w:rsidP="00BF38CA">
      <w:pPr>
        <w:pStyle w:val="Titre2"/>
        <w:numPr>
          <w:ilvl w:val="1"/>
          <w:numId w:val="36"/>
        </w:numPr>
      </w:pPr>
      <w:bookmarkStart w:id="60" w:name="_Toc196230184"/>
      <w:r>
        <w:t xml:space="preserve">Renseignements relatifs aux capacités techniques et </w:t>
      </w:r>
      <w:r w:rsidR="00EE0970">
        <w:t>professionnelles</w:t>
      </w:r>
      <w:r>
        <w:t>.</w:t>
      </w:r>
      <w:bookmarkEnd w:id="60"/>
    </w:p>
    <w:p w14:paraId="3719C4A2" w14:textId="2798679C" w:rsidR="00B20BB6" w:rsidRPr="00BF38CA" w:rsidRDefault="00535199" w:rsidP="00BF38CA">
      <w:pPr>
        <w:numPr>
          <w:ilvl w:val="0"/>
          <w:numId w:val="13"/>
        </w:numPr>
        <w:pBdr>
          <w:top w:val="nil"/>
          <w:left w:val="nil"/>
          <w:bottom w:val="nil"/>
          <w:right w:val="nil"/>
          <w:between w:val="nil"/>
        </w:pBdr>
      </w:pPr>
      <w:r>
        <w:rPr>
          <w:b/>
          <w:color w:val="000000"/>
        </w:rPr>
        <w:t>Liste des principaux services fournis au cours des trois dernières années</w:t>
      </w:r>
      <w:r>
        <w:rPr>
          <w:color w:val="000000"/>
        </w:rPr>
        <w:t xml:space="preserve">, indiquant le montant, la date et le destinataire public ou privé </w:t>
      </w:r>
      <w:r w:rsidR="00BF38CA" w:rsidRPr="00BF38CA">
        <w:rPr>
          <w:color w:val="000000"/>
        </w:rPr>
        <w:t xml:space="preserve">ou, le cas échéant, tout </w:t>
      </w:r>
      <w:r w:rsidR="00BF38CA" w:rsidRPr="00BF38CA">
        <w:rPr>
          <w:color w:val="000000"/>
        </w:rPr>
        <w:lastRenderedPageBreak/>
        <w:t>document permettant d’évaluer les capacités professionnelles et techniques du candidat, ainsi que son expérience. En cas d’absence de référence de la société soumissionnaire, les références de ses dirigeants et intervenants seront prises en compte par la Chambre de commerce et d’industrie de l’Essonne. En tout état de cause, l’absence de référence ne pourra constituer un motif de rejet</w:t>
      </w:r>
      <w:r w:rsidR="00BF38CA">
        <w:t xml:space="preserve"> </w:t>
      </w:r>
      <w:r w:rsidRPr="00BF38CA">
        <w:rPr>
          <w:color w:val="000000"/>
        </w:rPr>
        <w:t>;</w:t>
      </w:r>
    </w:p>
    <w:p w14:paraId="378B8019" w14:textId="77777777" w:rsidR="00BF38CA" w:rsidRDefault="00BF38CA" w:rsidP="00BF38CA">
      <w:pPr>
        <w:pBdr>
          <w:top w:val="nil"/>
          <w:left w:val="nil"/>
          <w:bottom w:val="nil"/>
          <w:right w:val="nil"/>
          <w:between w:val="nil"/>
        </w:pBdr>
        <w:ind w:left="643"/>
      </w:pPr>
    </w:p>
    <w:p w14:paraId="7F8699A4" w14:textId="77777777" w:rsidR="00B20BB6" w:rsidRDefault="00535199">
      <w:pPr>
        <w:numPr>
          <w:ilvl w:val="0"/>
          <w:numId w:val="13"/>
        </w:numPr>
        <w:pBdr>
          <w:top w:val="nil"/>
          <w:left w:val="nil"/>
          <w:bottom w:val="nil"/>
          <w:right w:val="nil"/>
          <w:between w:val="nil"/>
        </w:pBdr>
      </w:pPr>
      <w:r>
        <w:rPr>
          <w:b/>
          <w:color w:val="000000"/>
        </w:rPr>
        <w:t>Déclaration indiquant les effectifs moyens annuels du candidat</w:t>
      </w:r>
      <w:r>
        <w:rPr>
          <w:color w:val="000000"/>
        </w:rPr>
        <w:t xml:space="preserve"> et l'importance du personnel d'encadrement pendant les trois dernières années ;</w:t>
      </w:r>
    </w:p>
    <w:p w14:paraId="69C12AE0" w14:textId="77777777" w:rsidR="00B20BB6" w:rsidRDefault="00B20BB6">
      <w:pPr>
        <w:pBdr>
          <w:top w:val="nil"/>
          <w:left w:val="nil"/>
          <w:bottom w:val="nil"/>
          <w:right w:val="nil"/>
          <w:between w:val="nil"/>
        </w:pBdr>
        <w:rPr>
          <w:color w:val="000000"/>
        </w:rPr>
      </w:pPr>
    </w:p>
    <w:p w14:paraId="3296CEC8" w14:textId="77777777" w:rsidR="00B20BB6" w:rsidRDefault="00535199">
      <w:pPr>
        <w:numPr>
          <w:ilvl w:val="0"/>
          <w:numId w:val="13"/>
        </w:numPr>
        <w:pBdr>
          <w:top w:val="nil"/>
          <w:left w:val="nil"/>
          <w:bottom w:val="nil"/>
          <w:right w:val="nil"/>
          <w:between w:val="nil"/>
        </w:pBdr>
      </w:pPr>
      <w:r>
        <w:rPr>
          <w:b/>
          <w:color w:val="000000"/>
        </w:rPr>
        <w:t>Description de l'outillage, du matériel et de l'équipement technique</w:t>
      </w:r>
      <w:r>
        <w:rPr>
          <w:color w:val="000000"/>
        </w:rPr>
        <w:t xml:space="preserve"> dont le candidat disposera pour la réalisation des prestations ;</w:t>
      </w:r>
    </w:p>
    <w:p w14:paraId="5E87AEB6" w14:textId="77777777" w:rsidR="00B20BB6" w:rsidRDefault="00B20BB6">
      <w:pPr>
        <w:pBdr>
          <w:top w:val="nil"/>
          <w:left w:val="nil"/>
          <w:bottom w:val="nil"/>
          <w:right w:val="nil"/>
          <w:between w:val="nil"/>
        </w:pBdr>
        <w:rPr>
          <w:color w:val="000000"/>
        </w:rPr>
      </w:pPr>
    </w:p>
    <w:p w14:paraId="16467714" w14:textId="5E605D2D" w:rsidR="00B20BB6" w:rsidRPr="00D4148B" w:rsidRDefault="00535199">
      <w:pPr>
        <w:numPr>
          <w:ilvl w:val="0"/>
          <w:numId w:val="7"/>
        </w:numPr>
        <w:pBdr>
          <w:top w:val="nil"/>
          <w:left w:val="nil"/>
          <w:bottom w:val="nil"/>
          <w:right w:val="nil"/>
          <w:between w:val="nil"/>
        </w:pBdr>
        <w:ind w:hanging="360"/>
      </w:pPr>
      <w:r>
        <w:rPr>
          <w:b/>
          <w:color w:val="000000"/>
        </w:rPr>
        <w:t>Un ou des exemples d’évènement(s) similaire(s)</w:t>
      </w:r>
      <w:r>
        <w:rPr>
          <w:color w:val="000000"/>
        </w:rPr>
        <w:t xml:space="preserve"> tant par la taille que par la typologie ;</w:t>
      </w:r>
    </w:p>
    <w:p w14:paraId="462BE909" w14:textId="77777777" w:rsidR="00D4148B" w:rsidRPr="004B3B78" w:rsidRDefault="00D4148B" w:rsidP="00D4148B">
      <w:pPr>
        <w:pBdr>
          <w:top w:val="nil"/>
          <w:left w:val="nil"/>
          <w:bottom w:val="nil"/>
          <w:right w:val="nil"/>
          <w:between w:val="nil"/>
        </w:pBdr>
        <w:ind w:left="644"/>
      </w:pPr>
    </w:p>
    <w:p w14:paraId="2852F084" w14:textId="77777777" w:rsidR="00B20BB6" w:rsidRPr="00F2516B" w:rsidRDefault="00535199">
      <w:pPr>
        <w:numPr>
          <w:ilvl w:val="0"/>
          <w:numId w:val="7"/>
        </w:numPr>
        <w:pBdr>
          <w:top w:val="nil"/>
          <w:left w:val="nil"/>
          <w:bottom w:val="nil"/>
          <w:right w:val="nil"/>
          <w:between w:val="nil"/>
        </w:pBdr>
        <w:ind w:hanging="360"/>
      </w:pPr>
      <w:r>
        <w:rPr>
          <w:b/>
          <w:color w:val="000000"/>
        </w:rPr>
        <w:t>Démarches relatives liées au développement durable</w:t>
      </w:r>
      <w:r>
        <w:rPr>
          <w:color w:val="000000"/>
        </w:rPr>
        <w:t xml:space="preserve"> (</w:t>
      </w:r>
      <w:r w:rsidR="009B77E7">
        <w:rPr>
          <w:color w:val="000000"/>
        </w:rPr>
        <w:t>démarches</w:t>
      </w:r>
      <w:r>
        <w:rPr>
          <w:color w:val="000000"/>
        </w:rPr>
        <w:t xml:space="preserve"> économique, social</w:t>
      </w:r>
      <w:r w:rsidR="009B77E7">
        <w:rPr>
          <w:color w:val="000000"/>
        </w:rPr>
        <w:t>e</w:t>
      </w:r>
      <w:r>
        <w:rPr>
          <w:color w:val="000000"/>
        </w:rPr>
        <w:t xml:space="preserve"> et </w:t>
      </w:r>
      <w:r w:rsidR="009B77E7">
        <w:rPr>
          <w:color w:val="000000"/>
        </w:rPr>
        <w:t>environnementale</w:t>
      </w:r>
      <w:r>
        <w:rPr>
          <w:color w:val="000000"/>
        </w:rPr>
        <w:t>) mises en œuvre par l’entreprise : pratiques, certifications… ;</w:t>
      </w:r>
    </w:p>
    <w:p w14:paraId="7C3976FC" w14:textId="77777777" w:rsidR="00F2516B" w:rsidRPr="00DC6879" w:rsidRDefault="00F2516B" w:rsidP="00F2516B">
      <w:pPr>
        <w:pBdr>
          <w:top w:val="nil"/>
          <w:left w:val="nil"/>
          <w:bottom w:val="nil"/>
          <w:right w:val="nil"/>
          <w:between w:val="nil"/>
        </w:pBdr>
      </w:pPr>
    </w:p>
    <w:p w14:paraId="45AEF978" w14:textId="77777777" w:rsidR="00DF7892" w:rsidRDefault="00DF7892" w:rsidP="00DF7892">
      <w:pPr>
        <w:pStyle w:val="Paragraphedeliste"/>
        <w:numPr>
          <w:ilvl w:val="0"/>
          <w:numId w:val="2"/>
        </w:numPr>
      </w:pPr>
      <w:r w:rsidRPr="00DF7892">
        <w:t xml:space="preserve">Tout document que le candidat juge utile afin de justifier de ses capacités </w:t>
      </w:r>
      <w:r>
        <w:t xml:space="preserve">techniques et </w:t>
      </w:r>
      <w:r w:rsidRPr="00DF7892">
        <w:t>professionnelles.</w:t>
      </w:r>
    </w:p>
    <w:p w14:paraId="38707488" w14:textId="6319E07C" w:rsidR="00A932A9" w:rsidRDefault="005270FB" w:rsidP="5504E08E">
      <w:r>
        <w:t xml:space="preserve">   </w:t>
      </w:r>
      <w:r>
        <w:rPr>
          <w:noProof/>
        </w:rPr>
        <w:drawing>
          <wp:inline distT="0" distB="0" distL="0" distR="0" wp14:anchorId="77CF4AC8" wp14:editId="5B10F1D2">
            <wp:extent cx="5864861" cy="24130"/>
            <wp:effectExtent l="0" t="0" r="254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pic:nvPicPr>
                  <pic:blipFill>
                    <a:blip r:embed="rId13">
                      <a:extLst>
                        <a:ext uri="{28A0092B-C50C-407E-A947-70E740481C1C}">
                          <a14:useLocalDpi xmlns:a14="http://schemas.microsoft.com/office/drawing/2010/main" val="0"/>
                        </a:ext>
                      </a:extLst>
                    </a:blip>
                    <a:stretch>
                      <a:fillRect/>
                    </a:stretch>
                  </pic:blipFill>
                  <pic:spPr>
                    <a:xfrm>
                      <a:off x="0" y="0"/>
                      <a:ext cx="5864861" cy="24130"/>
                    </a:xfrm>
                    <a:prstGeom prst="rect">
                      <a:avLst/>
                    </a:prstGeom>
                  </pic:spPr>
                </pic:pic>
              </a:graphicData>
            </a:graphic>
          </wp:inline>
        </w:drawing>
      </w:r>
    </w:p>
    <w:p w14:paraId="0CA49D72" w14:textId="77777777" w:rsidR="00D46F69" w:rsidRDefault="00D46F69" w:rsidP="00F2516B">
      <w:pPr>
        <w:pBdr>
          <w:top w:val="nil"/>
          <w:left w:val="nil"/>
          <w:bottom w:val="nil"/>
          <w:right w:val="nil"/>
          <w:between w:val="nil"/>
        </w:pBdr>
        <w:rPr>
          <w:b/>
          <w:color w:val="000000"/>
        </w:rPr>
      </w:pPr>
    </w:p>
    <w:p w14:paraId="7D52B988" w14:textId="3F6123BB" w:rsidR="005270FB" w:rsidRDefault="005270FB" w:rsidP="00F2516B">
      <w:pPr>
        <w:pBdr>
          <w:top w:val="nil"/>
          <w:left w:val="nil"/>
          <w:bottom w:val="nil"/>
          <w:right w:val="nil"/>
          <w:between w:val="nil"/>
        </w:pBdr>
        <w:rPr>
          <w:bCs/>
          <w:color w:val="000000"/>
        </w:rPr>
      </w:pPr>
      <w:r w:rsidRPr="00FF391D">
        <w:rPr>
          <w:b/>
          <w:color w:val="000000"/>
        </w:rPr>
        <w:t>Toute candidature (DC1, DC2, déclaration sur l’honneur, références</w:t>
      </w:r>
      <w:r w:rsidR="00B21AFF">
        <w:rPr>
          <w:b/>
          <w:color w:val="000000"/>
        </w:rPr>
        <w:t xml:space="preserve"> </w:t>
      </w:r>
      <w:r w:rsidRPr="00FF391D">
        <w:rPr>
          <w:b/>
          <w:color w:val="000000"/>
        </w:rPr>
        <w:t xml:space="preserve">etc…) incomplète </w:t>
      </w:r>
      <w:r w:rsidR="008B6F7C">
        <w:rPr>
          <w:b/>
          <w:color w:val="000000"/>
        </w:rPr>
        <w:t>pourr</w:t>
      </w:r>
      <w:r w:rsidRPr="00FF391D">
        <w:rPr>
          <w:b/>
          <w:color w:val="000000"/>
        </w:rPr>
        <w:t>a être régularisée dans le délai de 5 jours</w:t>
      </w:r>
      <w:r w:rsidR="00F2516B">
        <w:rPr>
          <w:b/>
          <w:color w:val="000000"/>
        </w:rPr>
        <w:t xml:space="preserve"> ouvrés</w:t>
      </w:r>
      <w:r w:rsidRPr="00FF391D">
        <w:rPr>
          <w:b/>
          <w:color w:val="000000"/>
        </w:rPr>
        <w:t xml:space="preserve"> à compter de la demande de la CCI Essonne </w:t>
      </w:r>
      <w:r w:rsidR="00F2516B" w:rsidRPr="00F2516B">
        <w:rPr>
          <w:b/>
          <w:color w:val="000000"/>
        </w:rPr>
        <w:t xml:space="preserve">(faite sous format électronique via la plateforme de dématérialisation www.marches-publics.gouv.fr). </w:t>
      </w:r>
      <w:r w:rsidR="00F2516B" w:rsidRPr="00F2516B">
        <w:rPr>
          <w:bCs/>
          <w:color w:val="000000"/>
        </w:rPr>
        <w:t xml:space="preserve">Si une telle régularisation devait être demandée à une ou plusieurs entreprises, la CCI Essonne </w:t>
      </w:r>
      <w:proofErr w:type="gramStart"/>
      <w:r w:rsidR="00F2516B" w:rsidRPr="00F2516B">
        <w:rPr>
          <w:bCs/>
          <w:color w:val="000000"/>
        </w:rPr>
        <w:t>informera</w:t>
      </w:r>
      <w:proofErr w:type="gramEnd"/>
      <w:r w:rsidR="00F2516B" w:rsidRPr="00F2516B">
        <w:rPr>
          <w:bCs/>
          <w:color w:val="000000"/>
        </w:rPr>
        <w:t xml:space="preserve"> l’ensemble des autres candidats, de leur possibilité de compléter leur candidature, s’ils le souhaitent, dans le même délai.</w:t>
      </w:r>
    </w:p>
    <w:p w14:paraId="25DEE8BF" w14:textId="77777777" w:rsidR="00F2516B" w:rsidRPr="00FF391D" w:rsidRDefault="00F2516B" w:rsidP="00F2516B">
      <w:pPr>
        <w:pBdr>
          <w:top w:val="nil"/>
          <w:left w:val="nil"/>
          <w:bottom w:val="nil"/>
          <w:right w:val="nil"/>
          <w:between w:val="nil"/>
        </w:pBdr>
        <w:rPr>
          <w:color w:val="000000"/>
        </w:rPr>
      </w:pPr>
    </w:p>
    <w:p w14:paraId="69A484A0" w14:textId="11AD2831" w:rsidR="005270FB" w:rsidRDefault="005270FB" w:rsidP="005270FB">
      <w:pPr>
        <w:pBdr>
          <w:top w:val="nil"/>
          <w:left w:val="nil"/>
          <w:bottom w:val="nil"/>
          <w:right w:val="nil"/>
          <w:between w:val="nil"/>
        </w:pBdr>
        <w:rPr>
          <w:color w:val="000000"/>
        </w:rPr>
      </w:pPr>
      <w:r w:rsidRPr="00FF391D">
        <w:rPr>
          <w:color w:val="000000"/>
        </w:rPr>
        <w:t>Si le candidat souhaite que les capacités de son (ses) sous-traitant(s) soient prises en compte lors de l’examen de sa candidature, il doit :</w:t>
      </w:r>
    </w:p>
    <w:p w14:paraId="6780CF74" w14:textId="77777777" w:rsidR="005270FB" w:rsidRPr="00FF391D" w:rsidRDefault="005270FB" w:rsidP="005270FB">
      <w:pPr>
        <w:numPr>
          <w:ilvl w:val="0"/>
          <w:numId w:val="14"/>
        </w:numPr>
        <w:pBdr>
          <w:top w:val="nil"/>
          <w:left w:val="nil"/>
          <w:bottom w:val="nil"/>
          <w:right w:val="nil"/>
          <w:between w:val="nil"/>
        </w:pBdr>
        <w:rPr>
          <w:color w:val="000000"/>
        </w:rPr>
      </w:pPr>
      <w:r w:rsidRPr="00FF391D">
        <w:rPr>
          <w:color w:val="000000"/>
        </w:rPr>
        <w:t>Justifier :</w:t>
      </w:r>
    </w:p>
    <w:p w14:paraId="53A39378" w14:textId="31C3DC29" w:rsidR="005270FB" w:rsidRPr="00FF391D" w:rsidRDefault="3A785C57" w:rsidP="5504E08E">
      <w:pPr>
        <w:numPr>
          <w:ilvl w:val="1"/>
          <w:numId w:val="14"/>
        </w:numPr>
        <w:pBdr>
          <w:top w:val="nil"/>
          <w:left w:val="nil"/>
          <w:bottom w:val="nil"/>
          <w:right w:val="nil"/>
          <w:between w:val="nil"/>
        </w:pBdr>
        <w:rPr>
          <w:color w:val="000000"/>
        </w:rPr>
      </w:pPr>
      <w:r w:rsidRPr="5504E08E">
        <w:rPr>
          <w:color w:val="000000" w:themeColor="text1"/>
        </w:rPr>
        <w:t>Que</w:t>
      </w:r>
      <w:r w:rsidR="005270FB" w:rsidRPr="5504E08E">
        <w:rPr>
          <w:color w:val="000000" w:themeColor="text1"/>
        </w:rPr>
        <w:t xml:space="preserve"> le(s) sous-traitant(s) possèdent(nt) bien lesdites capacités ;</w:t>
      </w:r>
    </w:p>
    <w:p w14:paraId="455D45E0" w14:textId="0F5EC3B4" w:rsidR="005270FB" w:rsidRPr="00FF391D" w:rsidRDefault="7049B94E" w:rsidP="5504E08E">
      <w:pPr>
        <w:numPr>
          <w:ilvl w:val="1"/>
          <w:numId w:val="14"/>
        </w:numPr>
        <w:pBdr>
          <w:top w:val="nil"/>
          <w:left w:val="nil"/>
          <w:bottom w:val="nil"/>
          <w:right w:val="nil"/>
          <w:between w:val="nil"/>
        </w:pBdr>
        <w:rPr>
          <w:color w:val="000000"/>
        </w:rPr>
      </w:pPr>
      <w:r w:rsidRPr="5504E08E">
        <w:rPr>
          <w:color w:val="000000" w:themeColor="text1"/>
        </w:rPr>
        <w:t>Qu’il</w:t>
      </w:r>
      <w:r w:rsidR="005270FB" w:rsidRPr="5504E08E">
        <w:rPr>
          <w:color w:val="000000" w:themeColor="text1"/>
        </w:rPr>
        <w:t xml:space="preserve"> dispose réellement dudit (desdits) sous-traitant(s).</w:t>
      </w:r>
    </w:p>
    <w:p w14:paraId="264E6FB4" w14:textId="0ABFBAEC" w:rsidR="005270FB" w:rsidRDefault="005270FB" w:rsidP="005270FB">
      <w:pPr>
        <w:numPr>
          <w:ilvl w:val="0"/>
          <w:numId w:val="14"/>
        </w:numPr>
        <w:pBdr>
          <w:top w:val="nil"/>
          <w:left w:val="nil"/>
          <w:bottom w:val="nil"/>
          <w:right w:val="nil"/>
          <w:between w:val="nil"/>
        </w:pBdr>
        <w:rPr>
          <w:color w:val="000000"/>
        </w:rPr>
      </w:pPr>
      <w:r w:rsidRPr="00FF391D">
        <w:rPr>
          <w:color w:val="000000"/>
        </w:rPr>
        <w:t>Remettre l’ensemble des pièces exigées du candidat (DC2</w:t>
      </w:r>
      <w:r w:rsidR="00EF42E4">
        <w:rPr>
          <w:color w:val="000000"/>
        </w:rPr>
        <w:t>, renseignements relatifs aux capacités techniques et professionnelles</w:t>
      </w:r>
      <w:r w:rsidRPr="00FF391D">
        <w:rPr>
          <w:color w:val="000000"/>
        </w:rPr>
        <w:t>).</w:t>
      </w:r>
    </w:p>
    <w:p w14:paraId="2A201140" w14:textId="77777777" w:rsidR="005270FB" w:rsidRPr="00FF391D" w:rsidRDefault="005270FB" w:rsidP="005270FB">
      <w:pPr>
        <w:pBdr>
          <w:top w:val="nil"/>
          <w:left w:val="nil"/>
          <w:bottom w:val="nil"/>
          <w:right w:val="nil"/>
          <w:between w:val="nil"/>
        </w:pBdr>
        <w:rPr>
          <w:color w:val="000000"/>
        </w:rPr>
      </w:pPr>
      <w:r w:rsidRPr="00FF391D">
        <w:rPr>
          <w:color w:val="000000"/>
        </w:rPr>
        <w:t>En outre, les informations citées à l’article 9 du présent règlement de consultation devront être transmises.</w:t>
      </w:r>
    </w:p>
    <w:p w14:paraId="0077DEDB" w14:textId="77777777" w:rsidR="003841F7" w:rsidRDefault="003841F7" w:rsidP="005270FB">
      <w:pPr>
        <w:pBdr>
          <w:top w:val="nil"/>
          <w:left w:val="nil"/>
          <w:bottom w:val="nil"/>
          <w:right w:val="nil"/>
          <w:between w:val="nil"/>
        </w:pBdr>
        <w:rPr>
          <w:color w:val="000000"/>
        </w:rPr>
      </w:pPr>
    </w:p>
    <w:p w14:paraId="354D4ED0" w14:textId="70DA4437" w:rsidR="005270FB" w:rsidRPr="00FF391D" w:rsidRDefault="005270FB" w:rsidP="005270FB">
      <w:pPr>
        <w:pBdr>
          <w:top w:val="nil"/>
          <w:left w:val="nil"/>
          <w:bottom w:val="nil"/>
          <w:right w:val="nil"/>
          <w:between w:val="nil"/>
        </w:pBdr>
        <w:rPr>
          <w:color w:val="000000"/>
        </w:rPr>
      </w:pPr>
      <w:r w:rsidRPr="00FF391D">
        <w:rPr>
          <w:color w:val="000000"/>
        </w:rPr>
        <w:t>En cas de groupement, les mêmes pièces sont exigées de chaque membre du groupement L’appréciation des capacités professionnelles, techniques et financières sera globale.</w:t>
      </w:r>
      <w:r w:rsidRPr="005270FB">
        <w:rPr>
          <w:rFonts w:eastAsia="Times New Roman" w:cs="Times New Roman"/>
        </w:rPr>
        <w:t xml:space="preserve"> </w:t>
      </w:r>
      <w:r w:rsidRPr="005270FB">
        <w:rPr>
          <w:color w:val="000000"/>
        </w:rPr>
        <w:t>Il n'est pas exigé que chaque entreprise ait la totalité des compétences techniques requises pour l'exécution d</w:t>
      </w:r>
      <w:r w:rsidR="008D46CB">
        <w:rPr>
          <w:color w:val="000000"/>
        </w:rPr>
        <w:t>e la concession</w:t>
      </w:r>
      <w:r w:rsidRPr="005270FB">
        <w:rPr>
          <w:color w:val="000000"/>
        </w:rPr>
        <w:t>.</w:t>
      </w:r>
    </w:p>
    <w:p w14:paraId="71D559FA" w14:textId="77777777" w:rsidR="00B20BB6" w:rsidRDefault="00535199">
      <w:pPr>
        <w:pStyle w:val="Titre1"/>
      </w:pPr>
      <w:bookmarkStart w:id="61" w:name="_Toc196230185"/>
      <w:r>
        <w:t>Article 12 – Pièces de l’offre</w:t>
      </w:r>
      <w:bookmarkEnd w:id="61"/>
    </w:p>
    <w:p w14:paraId="20E9B28D" w14:textId="555A7366" w:rsidR="00B20BB6" w:rsidRDefault="00535199">
      <w:pPr>
        <w:pBdr>
          <w:top w:val="nil"/>
          <w:left w:val="nil"/>
          <w:bottom w:val="nil"/>
          <w:right w:val="nil"/>
          <w:between w:val="nil"/>
        </w:pBdr>
        <w:rPr>
          <w:color w:val="000000"/>
        </w:rPr>
      </w:pPr>
      <w:r>
        <w:rPr>
          <w:color w:val="000000"/>
        </w:rPr>
        <w:t xml:space="preserve">L’offre à remettre par chaque candidat comprend obligatoirement les pièces </w:t>
      </w:r>
      <w:r w:rsidR="004B3B78">
        <w:rPr>
          <w:color w:val="000000"/>
        </w:rPr>
        <w:t>suivantes :</w:t>
      </w:r>
    </w:p>
    <w:p w14:paraId="40737FE6" w14:textId="77777777" w:rsidR="00B20BB6" w:rsidRDefault="00535199">
      <w:pPr>
        <w:pStyle w:val="Titre2"/>
      </w:pPr>
      <w:bookmarkStart w:id="62" w:name="_Toc196230186"/>
      <w:r>
        <w:t>12.1 Offre financière du candidat</w:t>
      </w:r>
      <w:bookmarkEnd w:id="62"/>
    </w:p>
    <w:p w14:paraId="59B89057" w14:textId="3CA8A346" w:rsidR="00B20BB6" w:rsidRDefault="00535199" w:rsidP="00CC5711">
      <w:pPr>
        <w:widowControl/>
        <w:numPr>
          <w:ilvl w:val="0"/>
          <w:numId w:val="14"/>
        </w:numPr>
        <w:ind w:hanging="360"/>
      </w:pPr>
      <w:r w:rsidRPr="00CC5711">
        <w:rPr>
          <w:b/>
        </w:rPr>
        <w:t>L'Acte d'Engagement (imprimé ATTRI1).</w:t>
      </w:r>
      <w:r>
        <w:t xml:space="preserve"> Cet acte d'engagement sera accompagné éventuellement par les demandes d'acceptation des sous-traitants, et d'agrément des conditions de paiement, pour tous les sous-traitants désignés à la concession (imprimé </w:t>
      </w:r>
      <w:r>
        <w:lastRenderedPageBreak/>
        <w:t>DC4 à fournir)</w:t>
      </w:r>
      <w:r w:rsidR="00CC5711">
        <w:t xml:space="preserve">. </w:t>
      </w:r>
      <w:r>
        <w:t>Pour chaque sous-traitant présenté dans l’offre, le soumissionnaire devra joindre, en sus de l’annexe, l’imprimé DC2 dûment complété et signé.</w:t>
      </w:r>
    </w:p>
    <w:p w14:paraId="188639BE" w14:textId="71ABEF96" w:rsidR="00B20BB6" w:rsidRDefault="00535199">
      <w:pPr>
        <w:widowControl/>
        <w:ind w:left="644"/>
      </w:pPr>
      <w:r>
        <w:t xml:space="preserve">En cas de groupement : l’acte d’engagement sera accompagné, le cas échéant, de l’habilitation du mandataire à signer l’acte d’engagement au nom et pour le compte de ses cotraitants. </w:t>
      </w:r>
    </w:p>
    <w:p w14:paraId="7893EC9A" w14:textId="77777777" w:rsidR="00D46F69" w:rsidRDefault="00D46F69">
      <w:pPr>
        <w:widowControl/>
        <w:ind w:left="644"/>
      </w:pPr>
    </w:p>
    <w:p w14:paraId="4D1B43D5" w14:textId="3A98F99E" w:rsidR="00B13634" w:rsidRPr="00C47125" w:rsidRDefault="00B13634" w:rsidP="5504E08E">
      <w:pPr>
        <w:pStyle w:val="Paragraphedeliste"/>
        <w:numPr>
          <w:ilvl w:val="0"/>
          <w:numId w:val="14"/>
        </w:numPr>
        <w:rPr>
          <w:b/>
          <w:bCs/>
        </w:rPr>
      </w:pPr>
      <w:r w:rsidRPr="5504E08E">
        <w:rPr>
          <w:color w:val="000000" w:themeColor="text1"/>
        </w:rPr>
        <w:t xml:space="preserve">Chaque candidat a l’obligation de formuler </w:t>
      </w:r>
      <w:r w:rsidRPr="5504E08E">
        <w:rPr>
          <w:b/>
          <w:bCs/>
          <w:color w:val="000000" w:themeColor="text1"/>
          <w:u w:val="single"/>
        </w:rPr>
        <w:t>trois</w:t>
      </w:r>
      <w:r w:rsidRPr="5504E08E">
        <w:rPr>
          <w:color w:val="000000" w:themeColor="text1"/>
          <w:u w:val="single"/>
        </w:rPr>
        <w:t xml:space="preserve"> </w:t>
      </w:r>
      <w:r w:rsidRPr="5504E08E">
        <w:rPr>
          <w:b/>
          <w:bCs/>
          <w:color w:val="000000" w:themeColor="text1"/>
          <w:u w:val="single"/>
        </w:rPr>
        <w:t>budgets prévisionnels</w:t>
      </w:r>
      <w:r w:rsidRPr="5504E08E">
        <w:rPr>
          <w:b/>
          <w:bCs/>
          <w:color w:val="000000" w:themeColor="text1"/>
        </w:rPr>
        <w:t xml:space="preserve"> détaillés </w:t>
      </w:r>
      <w:r w:rsidRPr="5504E08E">
        <w:rPr>
          <w:b/>
          <w:bCs/>
        </w:rPr>
        <w:t xml:space="preserve">de </w:t>
      </w:r>
      <w:r w:rsidRPr="5504E08E">
        <w:rPr>
          <w:b/>
          <w:bCs/>
          <w:color w:val="000000" w:themeColor="text1"/>
        </w:rPr>
        <w:t>l</w:t>
      </w:r>
      <w:r w:rsidRPr="5504E08E">
        <w:rPr>
          <w:b/>
          <w:bCs/>
        </w:rPr>
        <w:t>’organisation pour chaque format de l’événement (présentiel, hybride, 100</w:t>
      </w:r>
      <w:r w:rsidR="1AC71DF5" w:rsidRPr="5504E08E">
        <w:rPr>
          <w:b/>
          <w:bCs/>
        </w:rPr>
        <w:t xml:space="preserve"> </w:t>
      </w:r>
      <w:r w:rsidRPr="5504E08E">
        <w:rPr>
          <w:b/>
          <w:bCs/>
        </w:rPr>
        <w:t>% digital) afin de tenir compte d’éventuelles contraintes pouvant conduire à retenir le format hybride ou 100</w:t>
      </w:r>
      <w:r w:rsidR="3DBD46D7" w:rsidRPr="5504E08E">
        <w:rPr>
          <w:b/>
          <w:bCs/>
        </w:rPr>
        <w:t xml:space="preserve"> </w:t>
      </w:r>
      <w:r w:rsidRPr="5504E08E">
        <w:rPr>
          <w:b/>
          <w:bCs/>
        </w:rPr>
        <w:t xml:space="preserve">% digitale de l’événement. Le format présentiel restant le format privilégié. </w:t>
      </w:r>
      <w:r>
        <w:t>Les budgets prévisionnels</w:t>
      </w:r>
      <w:r w:rsidRPr="5504E08E">
        <w:rPr>
          <w:b/>
          <w:bCs/>
        </w:rPr>
        <w:t xml:space="preserve"> </w:t>
      </w:r>
      <w:r w:rsidRPr="5504E08E">
        <w:rPr>
          <w:color w:val="000000" w:themeColor="text1"/>
        </w:rPr>
        <w:t xml:space="preserve">devront faire état des dépenses et des recettes que le candidat envisage dans le cadre de la présente concession. </w:t>
      </w:r>
    </w:p>
    <w:p w14:paraId="735FC976" w14:textId="77777777" w:rsidR="00C47125" w:rsidRPr="0075105F" w:rsidRDefault="00C47125" w:rsidP="00C47125">
      <w:pPr>
        <w:pStyle w:val="Paragraphedeliste"/>
        <w:ind w:left="644"/>
        <w:rPr>
          <w:b/>
        </w:rPr>
      </w:pPr>
    </w:p>
    <w:p w14:paraId="2A062BA8" w14:textId="77777777" w:rsidR="00B13634" w:rsidRDefault="00B13634" w:rsidP="00B13634">
      <w:pPr>
        <w:pBdr>
          <w:top w:val="nil"/>
          <w:left w:val="nil"/>
          <w:bottom w:val="nil"/>
          <w:right w:val="nil"/>
          <w:between w:val="nil"/>
        </w:pBdr>
        <w:tabs>
          <w:tab w:val="left" w:pos="1294"/>
        </w:tabs>
        <w:ind w:left="646"/>
        <w:rPr>
          <w:color w:val="000000"/>
        </w:rPr>
      </w:pPr>
      <w:r>
        <w:rPr>
          <w:color w:val="000000"/>
        </w:rPr>
        <w:t xml:space="preserve">Il évaluera le montant des dépenses de l’ensemble des prestations qui lui seront nécessaires à la réalisation de ses objectifs. </w:t>
      </w:r>
    </w:p>
    <w:p w14:paraId="5D0A3E8D" w14:textId="77777777" w:rsidR="00B13634" w:rsidRDefault="00B13634" w:rsidP="00B13634">
      <w:pPr>
        <w:pBdr>
          <w:top w:val="nil"/>
          <w:left w:val="nil"/>
          <w:bottom w:val="nil"/>
          <w:right w:val="nil"/>
          <w:between w:val="nil"/>
        </w:pBdr>
        <w:tabs>
          <w:tab w:val="left" w:pos="1294"/>
        </w:tabs>
        <w:ind w:left="646"/>
        <w:rPr>
          <w:color w:val="000000"/>
        </w:rPr>
      </w:pPr>
      <w:r>
        <w:rPr>
          <w:color w:val="000000"/>
        </w:rPr>
        <w:t>De la même façon, il fera une estimation des recettes qu’il estime pouvoir générer par les ventes des inscriptions et des prestations qu’il facturera directement aux participants au titre de la manifestation.</w:t>
      </w:r>
    </w:p>
    <w:p w14:paraId="0440B894" w14:textId="77777777" w:rsidR="00F2516B" w:rsidRDefault="00F2516B" w:rsidP="00B13634">
      <w:pPr>
        <w:pBdr>
          <w:top w:val="nil"/>
          <w:left w:val="nil"/>
          <w:bottom w:val="nil"/>
          <w:right w:val="nil"/>
          <w:between w:val="nil"/>
        </w:pBdr>
        <w:tabs>
          <w:tab w:val="left" w:pos="1294"/>
        </w:tabs>
        <w:ind w:left="646"/>
        <w:rPr>
          <w:color w:val="000000"/>
        </w:rPr>
      </w:pPr>
    </w:p>
    <w:p w14:paraId="1D192E6F" w14:textId="5898373D" w:rsidR="00B13634" w:rsidRDefault="00B13634" w:rsidP="00B13634">
      <w:pPr>
        <w:pBdr>
          <w:top w:val="nil"/>
          <w:left w:val="nil"/>
          <w:bottom w:val="nil"/>
          <w:right w:val="nil"/>
          <w:between w:val="nil"/>
        </w:pBdr>
        <w:tabs>
          <w:tab w:val="left" w:pos="1294"/>
        </w:tabs>
        <w:ind w:left="646"/>
        <w:rPr>
          <w:color w:val="000000"/>
        </w:rPr>
      </w:pPr>
      <w:r>
        <w:rPr>
          <w:color w:val="000000"/>
        </w:rPr>
        <w:t>Chaque candidat devra</w:t>
      </w:r>
      <w:r>
        <w:t>,</w:t>
      </w:r>
      <w:r>
        <w:rPr>
          <w:color w:val="000000"/>
        </w:rPr>
        <w:t xml:space="preserve"> enfin, fournir une </w:t>
      </w:r>
      <w:r w:rsidRPr="00B21AFF">
        <w:rPr>
          <w:b/>
          <w:color w:val="000000"/>
          <w:u w:val="single"/>
        </w:rPr>
        <w:t xml:space="preserve">grille tarifaire </w:t>
      </w:r>
      <w:r w:rsidR="00FB422D">
        <w:rPr>
          <w:b/>
          <w:color w:val="000000"/>
          <w:u w:val="single"/>
        </w:rPr>
        <w:t xml:space="preserve">des prestations proposées </w:t>
      </w:r>
      <w:r w:rsidRPr="00B21AFF">
        <w:rPr>
          <w:b/>
          <w:color w:val="000000"/>
          <w:u w:val="single"/>
        </w:rPr>
        <w:t>avec volume de ventes par catégorie de produits</w:t>
      </w:r>
      <w:r w:rsidR="00FB422D">
        <w:rPr>
          <w:b/>
          <w:color w:val="000000"/>
          <w:u w:val="single"/>
        </w:rPr>
        <w:t xml:space="preserve"> (formules de participations et options etc…)</w:t>
      </w:r>
      <w:r w:rsidR="00041DC6">
        <w:rPr>
          <w:color w:val="000000"/>
        </w:rPr>
        <w:t>.</w:t>
      </w:r>
    </w:p>
    <w:p w14:paraId="40D10810" w14:textId="77777777" w:rsidR="007049D7" w:rsidRDefault="007049D7" w:rsidP="007049D7">
      <w:pPr>
        <w:pBdr>
          <w:top w:val="nil"/>
          <w:left w:val="nil"/>
          <w:bottom w:val="nil"/>
          <w:right w:val="nil"/>
          <w:between w:val="nil"/>
        </w:pBdr>
        <w:tabs>
          <w:tab w:val="left" w:pos="1294"/>
        </w:tabs>
        <w:rPr>
          <w:color w:val="000000"/>
        </w:rPr>
      </w:pPr>
    </w:p>
    <w:p w14:paraId="1C764FEE" w14:textId="77777777" w:rsidR="001B13F9" w:rsidRDefault="007049D7" w:rsidP="008519DA">
      <w:pPr>
        <w:pStyle w:val="Paragraphedeliste"/>
        <w:numPr>
          <w:ilvl w:val="0"/>
          <w:numId w:val="14"/>
        </w:numPr>
      </w:pPr>
      <w:r w:rsidRPr="008B6F7C">
        <w:rPr>
          <w:b/>
          <w:bCs/>
          <w:u w:val="single"/>
        </w:rPr>
        <w:t>Une évaluation détaillée des frais de gestion de projet portant sur l’aménagement</w:t>
      </w:r>
      <w:r w:rsidRPr="00C47125">
        <w:t xml:space="preserve"> (cf. article 5.2 du présent document).</w:t>
      </w:r>
    </w:p>
    <w:p w14:paraId="4BC798DC" w14:textId="77777777" w:rsidR="001B13F9" w:rsidRPr="001B13F9" w:rsidRDefault="001B13F9" w:rsidP="001B13F9">
      <w:pPr>
        <w:pStyle w:val="Paragraphedeliste"/>
        <w:ind w:left="644"/>
      </w:pPr>
    </w:p>
    <w:p w14:paraId="637516AF" w14:textId="23E5D7AC" w:rsidR="008519DA" w:rsidRPr="001B13F9" w:rsidRDefault="001B13F9" w:rsidP="008519DA">
      <w:pPr>
        <w:pStyle w:val="Paragraphedeliste"/>
        <w:numPr>
          <w:ilvl w:val="0"/>
          <w:numId w:val="14"/>
        </w:numPr>
      </w:pPr>
      <w:r w:rsidRPr="001B13F9">
        <w:rPr>
          <w:b/>
          <w:u w:val="single"/>
        </w:rPr>
        <w:t>Le détail des coûts d’aménagement prévisionnels des parties fixes (aréna, accueil etc…) et variables (stands équipés et options supplémentaires)</w:t>
      </w:r>
      <w:r>
        <w:rPr>
          <w:b/>
        </w:rPr>
        <w:t xml:space="preserve">. </w:t>
      </w:r>
    </w:p>
    <w:p w14:paraId="086DDFA1" w14:textId="77777777" w:rsidR="001B13F9" w:rsidRPr="008519DA" w:rsidRDefault="001B13F9" w:rsidP="001B13F9"/>
    <w:p w14:paraId="69F80014" w14:textId="190F0EF7" w:rsidR="008519DA" w:rsidRPr="008519DA" w:rsidRDefault="008519DA" w:rsidP="008519DA">
      <w:pPr>
        <w:widowControl/>
        <w:spacing w:line="233" w:lineRule="auto"/>
        <w:ind w:left="644"/>
      </w:pPr>
      <w:r>
        <w:t>Cette grille devra détailler le coût d’aménagement de chaque espace</w:t>
      </w:r>
      <w:r w:rsidR="001B13F9">
        <w:t xml:space="preserve">, y compris ceux </w:t>
      </w:r>
      <w:r>
        <w:t>vendu</w:t>
      </w:r>
      <w:r w:rsidR="001B13F9">
        <w:t>s</w:t>
      </w:r>
      <w:r>
        <w:t xml:space="preserve"> par le concessionnaire, sachant que ce dernier commercialise des espaces de 3, 4 et 6m² comportant les matériels et mobiliers indiqués en annexe (cf. catalogue des aménagements complémentaires 202</w:t>
      </w:r>
      <w:r w:rsidR="71BB2958">
        <w:t>5</w:t>
      </w:r>
      <w:r>
        <w:t xml:space="preserve">). </w:t>
      </w:r>
    </w:p>
    <w:p w14:paraId="6A27ED8F" w14:textId="77777777" w:rsidR="008519DA" w:rsidRDefault="008519DA" w:rsidP="008519DA">
      <w:pPr>
        <w:widowControl/>
        <w:spacing w:line="233" w:lineRule="auto"/>
      </w:pPr>
    </w:p>
    <w:p w14:paraId="18D16F2D" w14:textId="77777777" w:rsidR="008519DA" w:rsidRPr="008519DA" w:rsidRDefault="008519DA" w:rsidP="008519DA">
      <w:pPr>
        <w:widowControl/>
        <w:spacing w:line="233" w:lineRule="auto"/>
        <w:ind w:firstLine="644"/>
      </w:pPr>
      <w:r w:rsidRPr="008519DA">
        <w:rPr>
          <w:u w:val="single"/>
        </w:rPr>
        <w:t>Exemple de modèle de grille des coûts d’aménagement</w:t>
      </w:r>
      <w:r w:rsidRPr="008519DA">
        <w:t> :</w:t>
      </w:r>
    </w:p>
    <w:p w14:paraId="35A2DE3A" w14:textId="77777777" w:rsidR="008519DA" w:rsidRPr="008519DA" w:rsidRDefault="008519DA" w:rsidP="008519DA">
      <w:pPr>
        <w:widowControl/>
        <w:spacing w:line="233" w:lineRule="auto"/>
      </w:pPr>
    </w:p>
    <w:p w14:paraId="4434187C" w14:textId="77777777" w:rsidR="008519DA" w:rsidRPr="008519DA" w:rsidRDefault="008519DA" w:rsidP="008519DA">
      <w:pPr>
        <w:pStyle w:val="Paragraphedeliste"/>
        <w:widowControl/>
        <w:numPr>
          <w:ilvl w:val="0"/>
          <w:numId w:val="26"/>
        </w:numPr>
        <w:spacing w:line="233" w:lineRule="auto"/>
        <w:ind w:left="1134"/>
        <w:contextualSpacing w:val="0"/>
      </w:pPr>
      <w:r w:rsidRPr="008519DA">
        <w:t>Corner de 3 m²</w:t>
      </w:r>
    </w:p>
    <w:p w14:paraId="1D9C167B" w14:textId="77777777" w:rsidR="008519DA" w:rsidRPr="008519DA" w:rsidRDefault="008519DA" w:rsidP="008519DA">
      <w:pPr>
        <w:pStyle w:val="Paragraphedeliste"/>
        <w:widowControl/>
        <w:numPr>
          <w:ilvl w:val="0"/>
          <w:numId w:val="25"/>
        </w:numPr>
        <w:spacing w:line="233" w:lineRule="auto"/>
        <w:contextualSpacing w:val="0"/>
      </w:pPr>
      <w:r w:rsidRPr="008519DA">
        <w:t>Surface moquettée…………………………………………………………………………………………</w:t>
      </w:r>
      <w:proofErr w:type="gramStart"/>
      <w:r w:rsidRPr="008519DA">
        <w:t>…….</w:t>
      </w:r>
      <w:proofErr w:type="gramEnd"/>
      <w:r w:rsidRPr="008519DA">
        <w:t>.XX €</w:t>
      </w:r>
    </w:p>
    <w:p w14:paraId="08172076" w14:textId="77777777" w:rsidR="008519DA" w:rsidRPr="008519DA" w:rsidRDefault="008519DA" w:rsidP="008519DA">
      <w:pPr>
        <w:pStyle w:val="Paragraphedeliste"/>
        <w:numPr>
          <w:ilvl w:val="0"/>
          <w:numId w:val="25"/>
        </w:numPr>
        <w:spacing w:line="233" w:lineRule="auto"/>
        <w:contextualSpacing w:val="0"/>
      </w:pPr>
      <w:r w:rsidRPr="008519DA">
        <w:t>Un mange-debout……………………………………………………………………………………………</w:t>
      </w:r>
      <w:proofErr w:type="gramStart"/>
      <w:r w:rsidRPr="008519DA">
        <w:t>…….</w:t>
      </w:r>
      <w:proofErr w:type="gramEnd"/>
      <w:r w:rsidRPr="008519DA">
        <w:t>XX €</w:t>
      </w:r>
    </w:p>
    <w:p w14:paraId="7A45160C" w14:textId="43EB8CF7" w:rsidR="008519DA" w:rsidRPr="008519DA" w:rsidRDefault="73DC1EDC" w:rsidP="5504E08E">
      <w:pPr>
        <w:pStyle w:val="Paragraphedeliste"/>
        <w:numPr>
          <w:ilvl w:val="0"/>
          <w:numId w:val="25"/>
        </w:numPr>
        <w:spacing w:line="233" w:lineRule="auto"/>
      </w:pPr>
      <w:r>
        <w:t>Tabourets</w:t>
      </w:r>
      <w:r w:rsidR="008519DA">
        <w:t>………………………………………………………………………………………………</w:t>
      </w:r>
      <w:r w:rsidR="00460FB3">
        <w:t>…………</w:t>
      </w:r>
      <w:proofErr w:type="gramStart"/>
      <w:r w:rsidR="00460FB3">
        <w:t>…...</w:t>
      </w:r>
      <w:r w:rsidR="008519DA">
        <w:t>.</w:t>
      </w:r>
      <w:proofErr w:type="gramEnd"/>
      <w:r w:rsidR="008519DA">
        <w:t>XX €</w:t>
      </w:r>
    </w:p>
    <w:p w14:paraId="476BB9A1" w14:textId="4C9714DD" w:rsidR="008519DA" w:rsidRPr="008519DA" w:rsidRDefault="008519DA" w:rsidP="008519DA">
      <w:pPr>
        <w:pStyle w:val="Paragraphedeliste"/>
        <w:numPr>
          <w:ilvl w:val="0"/>
          <w:numId w:val="25"/>
        </w:numPr>
        <w:spacing w:line="233" w:lineRule="auto"/>
        <w:contextualSpacing w:val="0"/>
      </w:pPr>
      <w:r w:rsidRPr="008519DA">
        <w:t xml:space="preserve">Cloisons de séparation modulaire </w:t>
      </w:r>
      <w:r w:rsidR="00460FB3">
        <w:t>………………………………………</w:t>
      </w:r>
      <w:r w:rsidRPr="008519DA">
        <w:t>…………………………</w:t>
      </w:r>
      <w:proofErr w:type="gramStart"/>
      <w:r w:rsidRPr="008519DA">
        <w:t>…</w:t>
      </w:r>
      <w:r w:rsidR="00460FB3">
        <w:t>…</w:t>
      </w:r>
      <w:r w:rsidRPr="008519DA">
        <w:t>.</w:t>
      </w:r>
      <w:proofErr w:type="gramEnd"/>
      <w:r w:rsidRPr="008519DA">
        <w:t>XX €</w:t>
      </w:r>
    </w:p>
    <w:p w14:paraId="0ABD254A" w14:textId="77777777" w:rsidR="008519DA" w:rsidRPr="008519DA" w:rsidRDefault="008519DA" w:rsidP="008519DA">
      <w:pPr>
        <w:pStyle w:val="Paragraphedeliste"/>
        <w:numPr>
          <w:ilvl w:val="0"/>
          <w:numId w:val="25"/>
        </w:numPr>
        <w:spacing w:line="233" w:lineRule="auto"/>
        <w:contextualSpacing w:val="0"/>
      </w:pPr>
      <w:r w:rsidRPr="008519DA">
        <w:t>Une prise de courant 220V……………………………………………………………………………………XX €</w:t>
      </w:r>
    </w:p>
    <w:p w14:paraId="154C4C85" w14:textId="77777777" w:rsidR="008519DA" w:rsidRPr="008519DA" w:rsidRDefault="008519DA" w:rsidP="008519DA">
      <w:pPr>
        <w:pStyle w:val="Paragraphedeliste"/>
        <w:numPr>
          <w:ilvl w:val="0"/>
          <w:numId w:val="25"/>
        </w:numPr>
        <w:spacing w:line="233" w:lineRule="auto"/>
        <w:contextualSpacing w:val="0"/>
      </w:pPr>
      <w:r w:rsidRPr="008519DA">
        <w:t xml:space="preserve">Une enseigne drapeau recto-verso imprimée………………………………………………………XX € </w:t>
      </w:r>
    </w:p>
    <w:p w14:paraId="2B204C7B" w14:textId="11494DC3" w:rsidR="008519DA" w:rsidRDefault="008519DA" w:rsidP="008519DA">
      <w:pPr>
        <w:spacing w:line="233" w:lineRule="auto"/>
        <w:ind w:left="3600" w:firstLine="720"/>
        <w:rPr>
          <w:b/>
        </w:rPr>
      </w:pPr>
      <w:r w:rsidRPr="008519DA">
        <w:rPr>
          <w:b/>
        </w:rPr>
        <w:t>TOTAL coût d’aménagement du Corner = XX €</w:t>
      </w:r>
    </w:p>
    <w:p w14:paraId="4438DAAD" w14:textId="77777777" w:rsidR="007049D7" w:rsidRPr="008519DA" w:rsidRDefault="007049D7" w:rsidP="007049D7">
      <w:pPr>
        <w:spacing w:line="233" w:lineRule="auto"/>
        <w:rPr>
          <w:b/>
        </w:rPr>
      </w:pPr>
    </w:p>
    <w:p w14:paraId="7F2202D4" w14:textId="77777777" w:rsidR="008519DA" w:rsidRPr="008519DA" w:rsidRDefault="008519DA" w:rsidP="008519DA">
      <w:pPr>
        <w:pStyle w:val="Paragraphedeliste"/>
        <w:numPr>
          <w:ilvl w:val="0"/>
          <w:numId w:val="26"/>
        </w:numPr>
        <w:spacing w:line="233" w:lineRule="auto"/>
        <w:ind w:left="1134"/>
        <w:contextualSpacing w:val="0"/>
        <w:jc w:val="left"/>
      </w:pPr>
      <w:r w:rsidRPr="008519DA">
        <w:t>Matériel ou Option supplémentaires</w:t>
      </w:r>
    </w:p>
    <w:p w14:paraId="56D3704E" w14:textId="77777777" w:rsidR="008519DA" w:rsidRPr="008519DA" w:rsidRDefault="008519DA" w:rsidP="008519DA">
      <w:pPr>
        <w:pStyle w:val="Paragraphedeliste"/>
        <w:numPr>
          <w:ilvl w:val="0"/>
          <w:numId w:val="25"/>
        </w:numPr>
        <w:spacing w:line="233" w:lineRule="auto"/>
        <w:contextualSpacing w:val="0"/>
        <w:jc w:val="left"/>
      </w:pPr>
      <w:r w:rsidRPr="008519DA">
        <w:t>Cloison personnalisable sur stand de 4m²……………………………………………………</w:t>
      </w:r>
      <w:proofErr w:type="gramStart"/>
      <w:r w:rsidRPr="008519DA">
        <w:t>…….</w:t>
      </w:r>
      <w:proofErr w:type="gramEnd"/>
      <w:r w:rsidRPr="008519DA">
        <w:t>.XX €</w:t>
      </w:r>
    </w:p>
    <w:p w14:paraId="088852C1" w14:textId="77777777" w:rsidR="008519DA" w:rsidRPr="008519DA" w:rsidRDefault="008519DA" w:rsidP="008519DA">
      <w:pPr>
        <w:pStyle w:val="Paragraphedeliste"/>
        <w:numPr>
          <w:ilvl w:val="0"/>
          <w:numId w:val="25"/>
        </w:numPr>
        <w:spacing w:line="233" w:lineRule="auto"/>
        <w:contextualSpacing w:val="0"/>
        <w:jc w:val="left"/>
      </w:pPr>
      <w:r w:rsidRPr="008519DA">
        <w:t>Totem (format à préciser) sur Pavillon partenaire………………………………………………XX €</w:t>
      </w:r>
    </w:p>
    <w:p w14:paraId="70DB7799" w14:textId="77777777" w:rsidR="008519DA" w:rsidRPr="008519DA" w:rsidRDefault="008519DA" w:rsidP="008519DA">
      <w:pPr>
        <w:pStyle w:val="Paragraphedeliste"/>
        <w:numPr>
          <w:ilvl w:val="0"/>
          <w:numId w:val="25"/>
        </w:numPr>
        <w:spacing w:line="233" w:lineRule="auto"/>
        <w:contextualSpacing w:val="0"/>
        <w:jc w:val="left"/>
      </w:pPr>
      <w:r w:rsidRPr="008519DA">
        <w:t>Bloc 3 prises……………………………………………………………………………………………………</w:t>
      </w:r>
      <w:proofErr w:type="gramStart"/>
      <w:r w:rsidRPr="008519DA">
        <w:t>…….</w:t>
      </w:r>
      <w:proofErr w:type="gramEnd"/>
      <w:r w:rsidRPr="008519DA">
        <w:t>XX €</w:t>
      </w:r>
    </w:p>
    <w:p w14:paraId="2E881F58" w14:textId="39741E6D" w:rsidR="008519DA" w:rsidRPr="008519DA" w:rsidRDefault="008519DA" w:rsidP="5504E08E">
      <w:pPr>
        <w:pStyle w:val="Paragraphedeliste"/>
        <w:numPr>
          <w:ilvl w:val="0"/>
          <w:numId w:val="25"/>
        </w:numPr>
        <w:spacing w:line="233" w:lineRule="auto"/>
        <w:jc w:val="left"/>
      </w:pPr>
      <w:r>
        <w:t xml:space="preserve">Table (dimensions à </w:t>
      </w:r>
      <w:r w:rsidR="691AABAD">
        <w:t>préciser) …</w:t>
      </w:r>
      <w:r>
        <w:t>……………………………………………………………………………XX €</w:t>
      </w:r>
    </w:p>
    <w:p w14:paraId="37274910" w14:textId="77777777" w:rsidR="008519DA" w:rsidRDefault="008519DA" w:rsidP="008519DA">
      <w:pPr>
        <w:pStyle w:val="Paragraphedeliste"/>
        <w:numPr>
          <w:ilvl w:val="0"/>
          <w:numId w:val="25"/>
        </w:numPr>
        <w:spacing w:line="233" w:lineRule="auto"/>
        <w:contextualSpacing w:val="0"/>
        <w:jc w:val="left"/>
      </w:pPr>
      <w:r w:rsidRPr="008519DA">
        <w:t>Banque d’accueil……………………………………………………………………………………………</w:t>
      </w:r>
      <w:proofErr w:type="gramStart"/>
      <w:r w:rsidRPr="008519DA">
        <w:t>…….</w:t>
      </w:r>
      <w:proofErr w:type="gramEnd"/>
      <w:r w:rsidRPr="008519DA">
        <w:t>.XX €</w:t>
      </w:r>
    </w:p>
    <w:p w14:paraId="0250218B" w14:textId="77777777" w:rsidR="00BF38CA" w:rsidRDefault="00BF38CA" w:rsidP="00BF38CA">
      <w:pPr>
        <w:spacing w:line="233" w:lineRule="auto"/>
        <w:jc w:val="left"/>
      </w:pPr>
    </w:p>
    <w:p w14:paraId="3424E7E2" w14:textId="77777777" w:rsidR="00BF38CA" w:rsidRPr="008519DA" w:rsidRDefault="00BF38CA" w:rsidP="00BF38CA">
      <w:pPr>
        <w:spacing w:line="233" w:lineRule="auto"/>
        <w:jc w:val="left"/>
      </w:pPr>
    </w:p>
    <w:p w14:paraId="365AA0B1" w14:textId="77777777" w:rsidR="00B20BB6" w:rsidRDefault="00535199">
      <w:pPr>
        <w:pStyle w:val="Titre2"/>
      </w:pPr>
      <w:bookmarkStart w:id="63" w:name="_Toc196230187"/>
      <w:r>
        <w:lastRenderedPageBreak/>
        <w:t>12.2 Offre technique du candidat</w:t>
      </w:r>
      <w:bookmarkEnd w:id="63"/>
    </w:p>
    <w:p w14:paraId="4DD381A3" w14:textId="37F6801D" w:rsidR="00B20BB6" w:rsidRDefault="00535199" w:rsidP="00884AC2">
      <w:pPr>
        <w:pBdr>
          <w:top w:val="nil"/>
          <w:left w:val="nil"/>
          <w:bottom w:val="nil"/>
          <w:right w:val="nil"/>
          <w:between w:val="nil"/>
        </w:pBdr>
        <w:rPr>
          <w:color w:val="000000"/>
        </w:rPr>
      </w:pPr>
      <w:r>
        <w:rPr>
          <w:color w:val="000000"/>
        </w:rPr>
        <w:t xml:space="preserve">Chaque candidat devra obligatoirement remplir </w:t>
      </w:r>
      <w:r w:rsidRPr="005270FB">
        <w:rPr>
          <w:b/>
          <w:color w:val="000000"/>
        </w:rPr>
        <w:t>les cadres de réponse</w:t>
      </w:r>
      <w:r>
        <w:rPr>
          <w:color w:val="000000"/>
        </w:rPr>
        <w:t xml:space="preserve"> figurant dans le cahier des charges joint au dossier </w:t>
      </w:r>
      <w:r w:rsidR="004B3B78">
        <w:rPr>
          <w:color w:val="000000"/>
        </w:rPr>
        <w:t>de consultation</w:t>
      </w:r>
      <w:r>
        <w:rPr>
          <w:color w:val="000000"/>
        </w:rPr>
        <w:t xml:space="preserve"> et décrivant les modalités de mise en œuvre des prestations objets de la concession.</w:t>
      </w:r>
    </w:p>
    <w:p w14:paraId="77C1D937" w14:textId="77777777" w:rsidR="00D46F69" w:rsidRDefault="00D46F69" w:rsidP="00884AC2">
      <w:pPr>
        <w:pBdr>
          <w:top w:val="nil"/>
          <w:left w:val="nil"/>
          <w:bottom w:val="nil"/>
          <w:right w:val="nil"/>
          <w:between w:val="nil"/>
        </w:pBdr>
        <w:rPr>
          <w:color w:val="000000"/>
        </w:rPr>
      </w:pPr>
    </w:p>
    <w:p w14:paraId="02DB02F5" w14:textId="1B7E22BD" w:rsidR="00B20BB6" w:rsidRDefault="00535199" w:rsidP="00884AC2">
      <w:pPr>
        <w:pBdr>
          <w:top w:val="nil"/>
          <w:left w:val="nil"/>
          <w:bottom w:val="nil"/>
          <w:right w:val="nil"/>
          <w:between w:val="nil"/>
        </w:pBdr>
        <w:rPr>
          <w:color w:val="000000"/>
        </w:rPr>
      </w:pPr>
      <w:r>
        <w:rPr>
          <w:color w:val="000000"/>
        </w:rPr>
        <w:t>Les candidats devront également </w:t>
      </w:r>
      <w:r w:rsidR="00B13634">
        <w:rPr>
          <w:color w:val="000000"/>
        </w:rPr>
        <w:t xml:space="preserve">fournir </w:t>
      </w:r>
      <w:r>
        <w:rPr>
          <w:color w:val="000000"/>
        </w:rPr>
        <w:t>:</w:t>
      </w:r>
    </w:p>
    <w:p w14:paraId="758CA8A5" w14:textId="6C2279A1" w:rsidR="00B13634" w:rsidRDefault="00B13634" w:rsidP="00884AC2">
      <w:pPr>
        <w:pBdr>
          <w:top w:val="nil"/>
          <w:left w:val="nil"/>
          <w:bottom w:val="nil"/>
          <w:right w:val="nil"/>
          <w:between w:val="nil"/>
        </w:pBdr>
        <w:rPr>
          <w:color w:val="000000"/>
        </w:rPr>
      </w:pPr>
    </w:p>
    <w:p w14:paraId="2C6BF183" w14:textId="56DA58EB" w:rsidR="00B13634" w:rsidRPr="00B13634" w:rsidRDefault="00B13634" w:rsidP="00B13634">
      <w:pPr>
        <w:numPr>
          <w:ilvl w:val="0"/>
          <w:numId w:val="14"/>
        </w:numPr>
        <w:pBdr>
          <w:top w:val="nil"/>
          <w:left w:val="nil"/>
          <w:bottom w:val="nil"/>
          <w:right w:val="nil"/>
          <w:between w:val="nil"/>
        </w:pBdr>
        <w:rPr>
          <w:color w:val="000000"/>
        </w:rPr>
      </w:pPr>
      <w:r w:rsidRPr="00B13634">
        <w:rPr>
          <w:b/>
          <w:color w:val="000000"/>
        </w:rPr>
        <w:t>Le catalogue des aménagements des parties fixes et parties variables avec à minima, 2 gammes de mobilier</w:t>
      </w:r>
      <w:r w:rsidR="00460FB3">
        <w:rPr>
          <w:b/>
          <w:color w:val="000000"/>
        </w:rPr>
        <w:t>s</w:t>
      </w:r>
      <w:r w:rsidR="00884AC2">
        <w:rPr>
          <w:b/>
          <w:color w:val="000000"/>
        </w:rPr>
        <w:t xml:space="preserve"> prévisionnelles </w:t>
      </w:r>
      <w:r w:rsidR="00884AC2" w:rsidRPr="007425B7">
        <w:rPr>
          <w:bCs/>
          <w:color w:val="000000"/>
        </w:rPr>
        <w:t>en vue de la 1</w:t>
      </w:r>
      <w:r w:rsidR="00884AC2" w:rsidRPr="007425B7">
        <w:rPr>
          <w:bCs/>
          <w:color w:val="000000"/>
          <w:vertAlign w:val="superscript"/>
        </w:rPr>
        <w:t>ère</w:t>
      </w:r>
      <w:r w:rsidR="00884AC2" w:rsidRPr="007425B7">
        <w:rPr>
          <w:bCs/>
          <w:color w:val="000000"/>
        </w:rPr>
        <w:t xml:space="preserve"> réunion de coordination (cf. article 5.4 du cahier des charges)</w:t>
      </w:r>
      <w:r w:rsidR="00884AC2">
        <w:rPr>
          <w:b/>
          <w:color w:val="000000"/>
        </w:rPr>
        <w:t xml:space="preserve"> </w:t>
      </w:r>
      <w:r w:rsidRPr="00B13634">
        <w:rPr>
          <w:bCs/>
          <w:color w:val="000000"/>
        </w:rPr>
        <w:t>;</w:t>
      </w:r>
    </w:p>
    <w:p w14:paraId="2424CBD3" w14:textId="3086B2BE" w:rsidR="00B13634" w:rsidRPr="00B13634" w:rsidRDefault="00B13634" w:rsidP="5504E08E">
      <w:pPr>
        <w:numPr>
          <w:ilvl w:val="0"/>
          <w:numId w:val="14"/>
        </w:numPr>
        <w:pBdr>
          <w:top w:val="nil"/>
          <w:left w:val="nil"/>
          <w:bottom w:val="nil"/>
          <w:right w:val="nil"/>
          <w:between w:val="nil"/>
        </w:pBdr>
        <w:rPr>
          <w:color w:val="000000"/>
        </w:rPr>
      </w:pPr>
      <w:r w:rsidRPr="5504E08E">
        <w:rPr>
          <w:b/>
          <w:bCs/>
          <w:color w:val="000000" w:themeColor="text1"/>
        </w:rPr>
        <w:t xml:space="preserve">Le catalogue des aménagements </w:t>
      </w:r>
      <w:r w:rsidRPr="5504E08E">
        <w:rPr>
          <w:b/>
          <w:bCs/>
          <w:color w:val="000000" w:themeColor="text1"/>
          <w:u w:val="single"/>
        </w:rPr>
        <w:t>complémentaires</w:t>
      </w:r>
      <w:r w:rsidRPr="5504E08E">
        <w:rPr>
          <w:b/>
          <w:bCs/>
          <w:color w:val="000000" w:themeColor="text1"/>
        </w:rPr>
        <w:t xml:space="preserve">. </w:t>
      </w:r>
      <w:r w:rsidRPr="5504E08E">
        <w:rPr>
          <w:color w:val="000000" w:themeColor="text1"/>
        </w:rPr>
        <w:t>Le candidat doit transmettre son catalogue des aménagements complémentaires 202</w:t>
      </w:r>
      <w:r w:rsidR="57C28DAD" w:rsidRPr="5504E08E">
        <w:rPr>
          <w:color w:val="000000" w:themeColor="text1"/>
        </w:rPr>
        <w:t>6</w:t>
      </w:r>
      <w:r w:rsidRPr="5504E08E">
        <w:rPr>
          <w:color w:val="000000" w:themeColor="text1"/>
        </w:rPr>
        <w:t>. Doivent figurer sur ce catalogue, les visuels et prix de vente</w:t>
      </w:r>
      <w:r w:rsidR="00921BB9" w:rsidRPr="5504E08E">
        <w:rPr>
          <w:color w:val="000000" w:themeColor="text1"/>
        </w:rPr>
        <w:t xml:space="preserve"> publics</w:t>
      </w:r>
      <w:r w:rsidRPr="5504E08E">
        <w:rPr>
          <w:color w:val="000000" w:themeColor="text1"/>
        </w:rPr>
        <w:t xml:space="preserve"> de chaque produit : écrans (22 pouces, 42 pouces, 55 pouces avec ou sans pieds…), mobiliers (meuble de rangement, banque d’accueil, présentoir, mange-debout, porte manteau, chaise haute) matériels électriques (bloc prises, rallonge…) et autres besoins (corbeille à papiers, wifi…) ;</w:t>
      </w:r>
    </w:p>
    <w:p w14:paraId="270D205C" w14:textId="1E7E4D42" w:rsidR="00B20BB6" w:rsidRDefault="00B13634">
      <w:pPr>
        <w:numPr>
          <w:ilvl w:val="0"/>
          <w:numId w:val="2"/>
        </w:numPr>
        <w:pBdr>
          <w:top w:val="nil"/>
          <w:left w:val="nil"/>
          <w:bottom w:val="nil"/>
          <w:right w:val="nil"/>
          <w:between w:val="nil"/>
        </w:pBdr>
        <w:ind w:hanging="360"/>
        <w:rPr>
          <w:color w:val="000000"/>
        </w:rPr>
      </w:pPr>
      <w:r>
        <w:rPr>
          <w:color w:val="000000"/>
        </w:rPr>
        <w:t>Tout</w:t>
      </w:r>
      <w:r w:rsidR="00535199">
        <w:rPr>
          <w:color w:val="000000"/>
        </w:rPr>
        <w:t xml:space="preserve"> élément permettant de tester la plateforme (back et front office)</w:t>
      </w:r>
      <w:r w:rsidR="00041DC6">
        <w:rPr>
          <w:color w:val="000000"/>
        </w:rPr>
        <w:t xml:space="preserve"> </w:t>
      </w:r>
      <w:r w:rsidR="00535199">
        <w:rPr>
          <w:color w:val="000000"/>
        </w:rPr>
        <w:t xml:space="preserve">: lien internet, clé </w:t>
      </w:r>
      <w:proofErr w:type="spellStart"/>
      <w:r w:rsidR="00535199">
        <w:rPr>
          <w:color w:val="000000"/>
        </w:rPr>
        <w:t>usb</w:t>
      </w:r>
      <w:proofErr w:type="spellEnd"/>
      <w:r w:rsidR="00535199">
        <w:rPr>
          <w:color w:val="000000"/>
        </w:rPr>
        <w:t>, CD…) ;</w:t>
      </w:r>
    </w:p>
    <w:p w14:paraId="3D9F3B79" w14:textId="0506565F" w:rsidR="00B20BB6" w:rsidRDefault="00764EAE">
      <w:pPr>
        <w:numPr>
          <w:ilvl w:val="0"/>
          <w:numId w:val="2"/>
        </w:numPr>
        <w:pBdr>
          <w:top w:val="nil"/>
          <w:left w:val="nil"/>
          <w:bottom w:val="nil"/>
          <w:right w:val="nil"/>
          <w:between w:val="nil"/>
        </w:pBdr>
        <w:ind w:hanging="360"/>
      </w:pPr>
      <w:r>
        <w:rPr>
          <w:color w:val="000000"/>
        </w:rPr>
        <w:t>Q</w:t>
      </w:r>
      <w:r w:rsidR="00535199">
        <w:rPr>
          <w:color w:val="000000"/>
        </w:rPr>
        <w:t>ualifications professionnelles des personnes qui seront chargées de l’exécution du contrat de concession ; Profils des intervenants (</w:t>
      </w:r>
      <w:r w:rsidR="00E31A86">
        <w:rPr>
          <w:color w:val="000000"/>
        </w:rPr>
        <w:t xml:space="preserve">CV, </w:t>
      </w:r>
      <w:r w:rsidR="00535199">
        <w:rPr>
          <w:color w:val="000000"/>
        </w:rPr>
        <w:t xml:space="preserve">profils sur les aspects techniques et organisationnels) ; </w:t>
      </w:r>
    </w:p>
    <w:p w14:paraId="20B95777" w14:textId="77777777" w:rsidR="00B20BB6" w:rsidRDefault="00535199">
      <w:pPr>
        <w:numPr>
          <w:ilvl w:val="0"/>
          <w:numId w:val="2"/>
        </w:numPr>
        <w:pBdr>
          <w:top w:val="nil"/>
          <w:left w:val="nil"/>
          <w:bottom w:val="nil"/>
          <w:right w:val="nil"/>
          <w:between w:val="nil"/>
        </w:pBdr>
        <w:ind w:hanging="360"/>
        <w:rPr>
          <w:color w:val="000000"/>
        </w:rPr>
      </w:pPr>
      <w:r>
        <w:rPr>
          <w:color w:val="000000"/>
        </w:rPr>
        <w:t>Préciser les modalités d’exécution des prestations ;</w:t>
      </w:r>
    </w:p>
    <w:p w14:paraId="015D4727" w14:textId="77777777" w:rsidR="00B20BB6" w:rsidRDefault="00535199">
      <w:pPr>
        <w:numPr>
          <w:ilvl w:val="0"/>
          <w:numId w:val="2"/>
        </w:numPr>
        <w:pBdr>
          <w:top w:val="nil"/>
          <w:left w:val="nil"/>
          <w:bottom w:val="nil"/>
          <w:right w:val="nil"/>
          <w:between w:val="nil"/>
        </w:pBdr>
        <w:ind w:hanging="360"/>
        <w:rPr>
          <w:color w:val="000000"/>
        </w:rPr>
      </w:pPr>
      <w:r>
        <w:rPr>
          <w:color w:val="000000"/>
        </w:rPr>
        <w:t>Les critères d’évaluation de la performance de l’équipe ;</w:t>
      </w:r>
    </w:p>
    <w:p w14:paraId="727F4B40" w14:textId="77777777" w:rsidR="00B20BB6" w:rsidRDefault="00535199">
      <w:pPr>
        <w:numPr>
          <w:ilvl w:val="0"/>
          <w:numId w:val="2"/>
        </w:numPr>
        <w:pBdr>
          <w:top w:val="nil"/>
          <w:left w:val="nil"/>
          <w:bottom w:val="nil"/>
          <w:right w:val="nil"/>
          <w:between w:val="nil"/>
        </w:pBdr>
        <w:ind w:hanging="360"/>
        <w:rPr>
          <w:color w:val="000000"/>
        </w:rPr>
      </w:pPr>
      <w:r>
        <w:rPr>
          <w:color w:val="000000"/>
        </w:rPr>
        <w:t>Tout autre élément permettant à la CCI Essonne de juger de la qualité de l’offre au rega</w:t>
      </w:r>
      <w:r w:rsidR="00FF391D">
        <w:rPr>
          <w:color w:val="000000"/>
        </w:rPr>
        <w:t>rd des critères indiqués dans l’article 13 du présent document</w:t>
      </w:r>
      <w:r>
        <w:rPr>
          <w:color w:val="000000"/>
        </w:rPr>
        <w:t>.</w:t>
      </w:r>
    </w:p>
    <w:p w14:paraId="7AE0B0C6" w14:textId="23003395" w:rsidR="00B20BB6" w:rsidRDefault="00535199">
      <w:pPr>
        <w:pStyle w:val="Titre1"/>
      </w:pPr>
      <w:bookmarkStart w:id="64" w:name="_Toc196230188"/>
      <w:r>
        <w:t xml:space="preserve">Article 13 - </w:t>
      </w:r>
      <w:r w:rsidR="008B6F7C">
        <w:t>Procédure</w:t>
      </w:r>
      <w:bookmarkEnd w:id="64"/>
    </w:p>
    <w:p w14:paraId="18EA92FE" w14:textId="77777777" w:rsidR="00B20BB6" w:rsidRDefault="00535199">
      <w:pPr>
        <w:pStyle w:val="Titre2"/>
      </w:pPr>
      <w:bookmarkStart w:id="65" w:name="_Toc196230189"/>
      <w:r>
        <w:t>13.1 Examen des candidatures</w:t>
      </w:r>
      <w:bookmarkEnd w:id="65"/>
    </w:p>
    <w:p w14:paraId="7A15E5DF" w14:textId="21A285B5" w:rsidR="00B20BB6" w:rsidRDefault="00650A6F">
      <w:pPr>
        <w:numPr>
          <w:ilvl w:val="0"/>
          <w:numId w:val="4"/>
        </w:numPr>
        <w:pBdr>
          <w:top w:val="nil"/>
          <w:left w:val="nil"/>
          <w:bottom w:val="nil"/>
          <w:right w:val="nil"/>
          <w:between w:val="nil"/>
        </w:pBdr>
        <w:ind w:hanging="360"/>
        <w:rPr>
          <w:color w:val="000000"/>
        </w:rPr>
      </w:pPr>
      <w:r w:rsidRPr="004755CC">
        <w:rPr>
          <w:b/>
          <w:color w:val="000000"/>
        </w:rPr>
        <w:t>Capacité financière</w:t>
      </w:r>
      <w:r>
        <w:rPr>
          <w:color w:val="000000"/>
        </w:rPr>
        <w:t> : portant sur la d</w:t>
      </w:r>
      <w:r w:rsidR="00535199">
        <w:rPr>
          <w:color w:val="000000"/>
        </w:rPr>
        <w:t>éclaration concernant le chiffre d’affaires global et le cas échéant, le chiffre d’affaires du domaine d’activité faisant l’objet de la concession, portant au maximum sur les trois derniers exercices disponibles ;</w:t>
      </w:r>
    </w:p>
    <w:p w14:paraId="40AB096B" w14:textId="77777777" w:rsidR="00650A6F" w:rsidRDefault="00535199" w:rsidP="00650A6F">
      <w:pPr>
        <w:numPr>
          <w:ilvl w:val="0"/>
          <w:numId w:val="4"/>
        </w:numPr>
        <w:pBdr>
          <w:top w:val="nil"/>
          <w:left w:val="nil"/>
          <w:bottom w:val="nil"/>
          <w:right w:val="nil"/>
          <w:between w:val="nil"/>
        </w:pBdr>
        <w:ind w:hanging="360"/>
        <w:rPr>
          <w:color w:val="000000"/>
        </w:rPr>
      </w:pPr>
      <w:r w:rsidRPr="004755CC">
        <w:rPr>
          <w:b/>
          <w:color w:val="000000"/>
        </w:rPr>
        <w:t xml:space="preserve">Capacité technique </w:t>
      </w:r>
      <w:r>
        <w:rPr>
          <w:color w:val="000000"/>
        </w:rPr>
        <w:t>du soumissionnaire</w:t>
      </w:r>
      <w:r w:rsidR="00650A6F">
        <w:rPr>
          <w:color w:val="000000"/>
        </w:rPr>
        <w:t xml:space="preserve"> portant sur</w:t>
      </w:r>
      <w:r>
        <w:rPr>
          <w:color w:val="000000"/>
        </w:rPr>
        <w:t> :</w:t>
      </w:r>
    </w:p>
    <w:p w14:paraId="7C9521A3" w14:textId="371E5A19" w:rsidR="00650A6F" w:rsidRPr="00650A6F" w:rsidRDefault="2695B04E" w:rsidP="5504E08E">
      <w:pPr>
        <w:pStyle w:val="Paragraphedeliste"/>
        <w:numPr>
          <w:ilvl w:val="0"/>
          <w:numId w:val="20"/>
        </w:numPr>
        <w:pBdr>
          <w:top w:val="nil"/>
          <w:left w:val="nil"/>
          <w:bottom w:val="nil"/>
          <w:right w:val="nil"/>
          <w:between w:val="nil"/>
        </w:pBdr>
        <w:rPr>
          <w:color w:val="000000"/>
        </w:rPr>
      </w:pPr>
      <w:r w:rsidRPr="5504E08E">
        <w:rPr>
          <w:color w:val="000000" w:themeColor="text1"/>
        </w:rPr>
        <w:t>La</w:t>
      </w:r>
      <w:r w:rsidR="00650A6F" w:rsidRPr="5504E08E">
        <w:rPr>
          <w:color w:val="000000" w:themeColor="text1"/>
        </w:rPr>
        <w:t xml:space="preserve"> liste des principaux services fournis au cours des trois dernières années</w:t>
      </w:r>
      <w:r w:rsidR="00B21AFF" w:rsidRPr="5504E08E">
        <w:rPr>
          <w:color w:val="000000" w:themeColor="text1"/>
        </w:rPr>
        <w:t xml:space="preserve"> </w:t>
      </w:r>
      <w:r w:rsidR="00650A6F" w:rsidRPr="5504E08E">
        <w:rPr>
          <w:color w:val="000000" w:themeColor="text1"/>
        </w:rPr>
        <w:t>;</w:t>
      </w:r>
    </w:p>
    <w:p w14:paraId="00386D45" w14:textId="3F88DE65" w:rsidR="00B20BB6" w:rsidRDefault="55690D41" w:rsidP="5504E08E">
      <w:pPr>
        <w:numPr>
          <w:ilvl w:val="0"/>
          <w:numId w:val="3"/>
        </w:numPr>
        <w:pBdr>
          <w:top w:val="nil"/>
          <w:left w:val="nil"/>
          <w:bottom w:val="nil"/>
          <w:right w:val="nil"/>
          <w:between w:val="nil"/>
        </w:pBdr>
        <w:rPr>
          <w:color w:val="000000"/>
        </w:rPr>
      </w:pPr>
      <w:r w:rsidRPr="5504E08E">
        <w:rPr>
          <w:color w:val="000000" w:themeColor="text1"/>
        </w:rPr>
        <w:t>Les</w:t>
      </w:r>
      <w:r w:rsidR="00535199" w:rsidRPr="5504E08E">
        <w:rPr>
          <w:color w:val="000000" w:themeColor="text1"/>
        </w:rPr>
        <w:t xml:space="preserve"> effectifs moyens annuels du candidat et l’importance du personnel d’encadrement pendant les trois dernières années ;</w:t>
      </w:r>
    </w:p>
    <w:p w14:paraId="0FC497B5" w14:textId="5E02819A" w:rsidR="00B20BB6" w:rsidRDefault="0DFC879F" w:rsidP="5504E08E">
      <w:pPr>
        <w:numPr>
          <w:ilvl w:val="0"/>
          <w:numId w:val="3"/>
        </w:numPr>
        <w:pBdr>
          <w:top w:val="nil"/>
          <w:left w:val="nil"/>
          <w:bottom w:val="nil"/>
          <w:right w:val="nil"/>
          <w:between w:val="nil"/>
        </w:pBdr>
        <w:rPr>
          <w:color w:val="000000"/>
        </w:rPr>
      </w:pPr>
      <w:r w:rsidRPr="5504E08E">
        <w:rPr>
          <w:color w:val="000000" w:themeColor="text1"/>
        </w:rPr>
        <w:t>L'outillage</w:t>
      </w:r>
      <w:r w:rsidR="00794E84" w:rsidRPr="5504E08E">
        <w:rPr>
          <w:color w:val="000000" w:themeColor="text1"/>
        </w:rPr>
        <w:t xml:space="preserve">, le matériel et l'équipement technique </w:t>
      </w:r>
      <w:r w:rsidR="00535199" w:rsidRPr="5504E08E">
        <w:rPr>
          <w:color w:val="000000" w:themeColor="text1"/>
        </w:rPr>
        <w:t xml:space="preserve">; </w:t>
      </w:r>
    </w:p>
    <w:p w14:paraId="03FCB19B" w14:textId="3AAFC4A1" w:rsidR="00B20BB6" w:rsidRDefault="5DCD905F" w:rsidP="5504E08E">
      <w:pPr>
        <w:numPr>
          <w:ilvl w:val="0"/>
          <w:numId w:val="3"/>
        </w:numPr>
        <w:pBdr>
          <w:top w:val="nil"/>
          <w:left w:val="nil"/>
          <w:bottom w:val="nil"/>
          <w:right w:val="nil"/>
          <w:between w:val="nil"/>
        </w:pBdr>
        <w:rPr>
          <w:color w:val="000000"/>
        </w:rPr>
      </w:pPr>
      <w:r w:rsidRPr="5504E08E">
        <w:rPr>
          <w:color w:val="000000" w:themeColor="text1"/>
        </w:rPr>
        <w:t>Le</w:t>
      </w:r>
      <w:r w:rsidR="00650A6F" w:rsidRPr="5504E08E">
        <w:rPr>
          <w:color w:val="000000" w:themeColor="text1"/>
        </w:rPr>
        <w:t xml:space="preserve"> ou les</w:t>
      </w:r>
      <w:r w:rsidR="00535199" w:rsidRPr="5504E08E">
        <w:rPr>
          <w:color w:val="000000" w:themeColor="text1"/>
        </w:rPr>
        <w:t xml:space="preserve"> exemples </w:t>
      </w:r>
      <w:r w:rsidR="00535199">
        <w:t>d'événement</w:t>
      </w:r>
      <w:r w:rsidR="55950CF1">
        <w:t>s</w:t>
      </w:r>
      <w:r w:rsidR="00535199" w:rsidRPr="5504E08E">
        <w:rPr>
          <w:color w:val="000000" w:themeColor="text1"/>
        </w:rPr>
        <w:t xml:space="preserve"> similaire</w:t>
      </w:r>
      <w:r w:rsidR="36B34236" w:rsidRPr="5504E08E">
        <w:rPr>
          <w:color w:val="000000" w:themeColor="text1"/>
        </w:rPr>
        <w:t>s</w:t>
      </w:r>
      <w:r w:rsidR="00535199" w:rsidRPr="5504E08E">
        <w:rPr>
          <w:color w:val="000000" w:themeColor="text1"/>
        </w:rPr>
        <w:t xml:space="preserve"> tant par la taille que par la typologie ;</w:t>
      </w:r>
    </w:p>
    <w:p w14:paraId="0D67B47C" w14:textId="77777777" w:rsidR="00B20BB6" w:rsidRDefault="00535199">
      <w:pPr>
        <w:numPr>
          <w:ilvl w:val="0"/>
          <w:numId w:val="8"/>
        </w:numPr>
        <w:pBdr>
          <w:top w:val="nil"/>
          <w:left w:val="nil"/>
          <w:bottom w:val="nil"/>
          <w:right w:val="nil"/>
          <w:between w:val="nil"/>
        </w:pBdr>
        <w:ind w:hanging="360"/>
        <w:rPr>
          <w:color w:val="000000"/>
        </w:rPr>
      </w:pPr>
      <w:r w:rsidRPr="004755CC">
        <w:rPr>
          <w:b/>
          <w:color w:val="000000"/>
        </w:rPr>
        <w:t>Démarches relatives liées au développement durable</w:t>
      </w:r>
      <w:r>
        <w:rPr>
          <w:color w:val="000000"/>
        </w:rPr>
        <w:t xml:space="preserve"> (critères économique, social et environnemental) mises en œuvre par l’entreprise : pratiques, certifications…).</w:t>
      </w:r>
    </w:p>
    <w:p w14:paraId="15FF58AC" w14:textId="77777777" w:rsidR="003841F7" w:rsidRDefault="003841F7">
      <w:pPr>
        <w:pBdr>
          <w:top w:val="nil"/>
          <w:left w:val="nil"/>
          <w:bottom w:val="nil"/>
          <w:right w:val="nil"/>
          <w:between w:val="nil"/>
        </w:pBdr>
        <w:rPr>
          <w:color w:val="000000"/>
        </w:rPr>
      </w:pPr>
    </w:p>
    <w:p w14:paraId="7B473859" w14:textId="1F01ED23" w:rsidR="00DF7892" w:rsidRDefault="00535199" w:rsidP="5504E08E">
      <w:pPr>
        <w:pBdr>
          <w:top w:val="nil"/>
          <w:left w:val="nil"/>
          <w:bottom w:val="nil"/>
          <w:right w:val="nil"/>
          <w:between w:val="nil"/>
        </w:pBdr>
        <w:rPr>
          <w:color w:val="000000"/>
        </w:rPr>
      </w:pPr>
      <w:r w:rsidRPr="5504E08E">
        <w:rPr>
          <w:color w:val="000000" w:themeColor="text1"/>
        </w:rPr>
        <w:t>Avant de procéder à l’examen des candidatures, si le Concédant constate que des pièces ou informations dont la production était obligatoire en vertu du présent Règlement de consultation sont manquantes ou incomplètes, il pourra inviter le (les) candidat(s) concerné(s) à compléter leur dossier de candidature</w:t>
      </w:r>
      <w:r w:rsidR="00D4148B" w:rsidRPr="5504E08E">
        <w:rPr>
          <w:color w:val="000000" w:themeColor="text1"/>
        </w:rPr>
        <w:t xml:space="preserve"> selon </w:t>
      </w:r>
      <w:r w:rsidR="751E708D" w:rsidRPr="5504E08E">
        <w:rPr>
          <w:color w:val="000000" w:themeColor="text1"/>
        </w:rPr>
        <w:t>les dispositions indiquées</w:t>
      </w:r>
      <w:r w:rsidR="00D4148B" w:rsidRPr="5504E08E">
        <w:rPr>
          <w:color w:val="000000" w:themeColor="text1"/>
        </w:rPr>
        <w:t xml:space="preserve"> dans l’article 11 du présent document</w:t>
      </w:r>
      <w:r w:rsidRPr="5504E08E">
        <w:rPr>
          <w:color w:val="000000" w:themeColor="text1"/>
        </w:rPr>
        <w:t>. Les autres candidats en seront informés.</w:t>
      </w:r>
    </w:p>
    <w:p w14:paraId="089CEA8C" w14:textId="77777777" w:rsidR="00F2516B" w:rsidRDefault="00F2516B">
      <w:pPr>
        <w:pBdr>
          <w:top w:val="nil"/>
          <w:left w:val="nil"/>
          <w:bottom w:val="nil"/>
          <w:right w:val="nil"/>
          <w:between w:val="nil"/>
        </w:pBdr>
        <w:rPr>
          <w:color w:val="000000"/>
        </w:rPr>
      </w:pPr>
    </w:p>
    <w:p w14:paraId="24A98FFE" w14:textId="2DF4A9DC" w:rsidR="00764EAE" w:rsidRDefault="00535199" w:rsidP="00CC5711">
      <w:pPr>
        <w:pBdr>
          <w:top w:val="nil"/>
          <w:left w:val="nil"/>
          <w:bottom w:val="nil"/>
          <w:right w:val="nil"/>
          <w:between w:val="nil"/>
        </w:pBdr>
      </w:pPr>
      <w:r>
        <w:rPr>
          <w:color w:val="000000"/>
        </w:rPr>
        <w:t xml:space="preserve">Les candidats qui font l’objet d’une interdiction de soumissionner en application des articles L3123-1 à L3123-6 du code de la commande publique, </w:t>
      </w:r>
      <w:r w:rsidRPr="00FA3399">
        <w:rPr>
          <w:color w:val="000000"/>
        </w:rPr>
        <w:t>ou dont la candidature es</w:t>
      </w:r>
      <w:r w:rsidR="00B21AFF" w:rsidRPr="00FA3399">
        <w:rPr>
          <w:color w:val="000000"/>
        </w:rPr>
        <w:t xml:space="preserve">t </w:t>
      </w:r>
      <w:r w:rsidRPr="00FA3399">
        <w:rPr>
          <w:color w:val="000000"/>
        </w:rPr>
        <w:t>incomplète</w:t>
      </w:r>
      <w:r w:rsidR="00FA3399" w:rsidRPr="00FA3399">
        <w:rPr>
          <w:rFonts w:eastAsia="Times New Roman" w:cs="Arial"/>
          <w:szCs w:val="22"/>
        </w:rPr>
        <w:t xml:space="preserve"> après mise en œuvre de la faculté dont dispose le concédant de demander des compléments,</w:t>
      </w:r>
      <w:r w:rsidRPr="00FA3399">
        <w:rPr>
          <w:color w:val="000000"/>
        </w:rPr>
        <w:t xml:space="preserve"> ou comporte de faux renseignements ou documents, ou qui ne satisfont pas aux exigences de</w:t>
      </w:r>
      <w:r>
        <w:rPr>
          <w:color w:val="000000"/>
        </w:rPr>
        <w:t xml:space="preserve"> capacité minimales fixées au présent article, ne seront pas admis à participer à la suite de la procédure de passation. Leur offre ne sera pas examinée.</w:t>
      </w:r>
    </w:p>
    <w:p w14:paraId="02F61851" w14:textId="19531DC3" w:rsidR="00B20BB6" w:rsidRDefault="00535199">
      <w:pPr>
        <w:pStyle w:val="Titre2"/>
      </w:pPr>
      <w:bookmarkStart w:id="66" w:name="_Hlk164445701"/>
      <w:bookmarkStart w:id="67" w:name="_Toc196230190"/>
      <w:r>
        <w:lastRenderedPageBreak/>
        <w:t xml:space="preserve">13.2 Critères </w:t>
      </w:r>
      <w:bookmarkEnd w:id="66"/>
      <w:r>
        <w:t>de sélection des offres</w:t>
      </w:r>
      <w:bookmarkEnd w:id="67"/>
    </w:p>
    <w:p w14:paraId="360F7AD2" w14:textId="77777777" w:rsidR="00B20BB6" w:rsidRDefault="00535199">
      <w:pPr>
        <w:pBdr>
          <w:top w:val="nil"/>
          <w:left w:val="nil"/>
          <w:bottom w:val="nil"/>
          <w:right w:val="nil"/>
          <w:between w:val="nil"/>
        </w:pBdr>
        <w:rPr>
          <w:color w:val="000000"/>
        </w:rPr>
      </w:pPr>
      <w:r>
        <w:rPr>
          <w:color w:val="000000"/>
        </w:rPr>
        <w:t xml:space="preserve">Le jugement des offres sera effectué dans les conditions prévues aux articles L3124-5 et R3124-4 à R3124-6 </w:t>
      </w:r>
      <w:r w:rsidR="00650A6F">
        <w:rPr>
          <w:color w:val="000000"/>
        </w:rPr>
        <w:t>du code de la commande publique.</w:t>
      </w:r>
    </w:p>
    <w:p w14:paraId="0AE7A841" w14:textId="77777777" w:rsidR="00650A6F" w:rsidRDefault="00650A6F">
      <w:pPr>
        <w:pBdr>
          <w:top w:val="nil"/>
          <w:left w:val="nil"/>
          <w:bottom w:val="nil"/>
          <w:right w:val="nil"/>
          <w:between w:val="nil"/>
        </w:pBdr>
        <w:rPr>
          <w:color w:val="000000"/>
        </w:rPr>
      </w:pPr>
    </w:p>
    <w:p w14:paraId="742E878C" w14:textId="77777777" w:rsidR="00B20BB6" w:rsidRDefault="00535199">
      <w:pPr>
        <w:pBdr>
          <w:top w:val="nil"/>
          <w:left w:val="nil"/>
          <w:bottom w:val="nil"/>
          <w:right w:val="nil"/>
          <w:between w:val="nil"/>
        </w:pBdr>
        <w:rPr>
          <w:color w:val="000000"/>
        </w:rPr>
      </w:pPr>
      <w:r>
        <w:rPr>
          <w:color w:val="000000"/>
        </w:rPr>
        <w:t>La meilleure offre au regard de l’avantage économique global sera appréciée en fonction des critères hiérarchisées de la façon suivante par ordre de priorité décroissante :</w:t>
      </w:r>
    </w:p>
    <w:p w14:paraId="38130011" w14:textId="77777777" w:rsidR="00B20BB6" w:rsidRDefault="00B20BB6">
      <w:pPr>
        <w:pBdr>
          <w:top w:val="nil"/>
          <w:left w:val="nil"/>
          <w:bottom w:val="nil"/>
          <w:right w:val="nil"/>
          <w:between w:val="nil"/>
        </w:pBdr>
      </w:pPr>
    </w:p>
    <w:p w14:paraId="4BF66FE8" w14:textId="77777777" w:rsidR="00B20BB6" w:rsidRDefault="00535199" w:rsidP="005F0F0F">
      <w:pPr>
        <w:pStyle w:val="Paragraphedeliste"/>
        <w:numPr>
          <w:ilvl w:val="0"/>
          <w:numId w:val="18"/>
        </w:numPr>
        <w:pBdr>
          <w:top w:val="nil"/>
          <w:left w:val="nil"/>
          <w:bottom w:val="nil"/>
          <w:right w:val="nil"/>
          <w:between w:val="nil"/>
        </w:pBdr>
      </w:pPr>
      <w:r w:rsidRPr="005F0F0F">
        <w:rPr>
          <w:b/>
          <w:color w:val="000080"/>
        </w:rPr>
        <w:t>Critères techniques</w:t>
      </w:r>
      <w:r w:rsidRPr="005F0F0F">
        <w:rPr>
          <w:color w:val="000000"/>
        </w:rPr>
        <w:t xml:space="preserve"> pour </w:t>
      </w:r>
      <w:r w:rsidRPr="005F0F0F">
        <w:rPr>
          <w:b/>
        </w:rPr>
        <w:t>5</w:t>
      </w:r>
      <w:r w:rsidRPr="005F0F0F">
        <w:rPr>
          <w:b/>
          <w:color w:val="000000"/>
        </w:rPr>
        <w:t>0</w:t>
      </w:r>
      <w:r w:rsidRPr="005F0F0F">
        <w:rPr>
          <w:color w:val="000000"/>
        </w:rPr>
        <w:t xml:space="preserve"> points :</w:t>
      </w:r>
    </w:p>
    <w:p w14:paraId="482FE80E" w14:textId="77777777" w:rsidR="00B20BB6" w:rsidRDefault="00B20BB6">
      <w:pPr>
        <w:pBdr>
          <w:top w:val="nil"/>
          <w:left w:val="nil"/>
          <w:bottom w:val="nil"/>
          <w:right w:val="nil"/>
          <w:between w:val="nil"/>
        </w:pBdr>
      </w:pPr>
    </w:p>
    <w:p w14:paraId="70E63394" w14:textId="4552DFFD" w:rsidR="00B20BB6" w:rsidRDefault="00535199">
      <w:pPr>
        <w:numPr>
          <w:ilvl w:val="0"/>
          <w:numId w:val="8"/>
        </w:numPr>
        <w:pBdr>
          <w:top w:val="nil"/>
          <w:left w:val="nil"/>
          <w:bottom w:val="nil"/>
          <w:right w:val="nil"/>
          <w:between w:val="nil"/>
        </w:pBdr>
        <w:ind w:hanging="360"/>
      </w:pPr>
      <w:r>
        <w:t>Commercialisation (objectifs, plan marketing</w:t>
      </w:r>
      <w:r w:rsidR="00B004C7">
        <w:t xml:space="preserve">, méthodologie envisagée, moyens humains et outils dédiés…) </w:t>
      </w:r>
      <w:r>
        <w:t xml:space="preserve">pour </w:t>
      </w:r>
      <w:r w:rsidR="009F71A6" w:rsidRPr="009F71A6">
        <w:rPr>
          <w:b/>
        </w:rPr>
        <w:t>25</w:t>
      </w:r>
      <w:r>
        <w:t xml:space="preserve"> points ; </w:t>
      </w:r>
    </w:p>
    <w:p w14:paraId="4A55B471" w14:textId="1805C80F" w:rsidR="009F71A6" w:rsidRPr="009F71A6" w:rsidRDefault="009F71A6">
      <w:pPr>
        <w:numPr>
          <w:ilvl w:val="0"/>
          <w:numId w:val="8"/>
        </w:numPr>
        <w:pBdr>
          <w:top w:val="nil"/>
          <w:left w:val="nil"/>
          <w:bottom w:val="nil"/>
          <w:right w:val="nil"/>
          <w:between w:val="nil"/>
        </w:pBdr>
        <w:ind w:hanging="360"/>
      </w:pPr>
      <w:r w:rsidRPr="00764EAE">
        <w:t>Gestion de l’aménagement (</w:t>
      </w:r>
      <w:r>
        <w:t xml:space="preserve">Régie technique, aménagements des espaces, gestion de projet…) pour </w:t>
      </w:r>
      <w:r w:rsidRPr="009F71A6">
        <w:rPr>
          <w:b/>
        </w:rPr>
        <w:t>15</w:t>
      </w:r>
      <w:r>
        <w:t xml:space="preserve"> points</w:t>
      </w:r>
      <w:r w:rsidR="004B3B78">
        <w:t> ;</w:t>
      </w:r>
    </w:p>
    <w:p w14:paraId="54F840AB" w14:textId="77777777" w:rsidR="00B20BB6" w:rsidRDefault="00535199">
      <w:pPr>
        <w:numPr>
          <w:ilvl w:val="0"/>
          <w:numId w:val="8"/>
        </w:numPr>
        <w:pBdr>
          <w:top w:val="nil"/>
          <w:left w:val="nil"/>
          <w:bottom w:val="nil"/>
          <w:right w:val="nil"/>
          <w:between w:val="nil"/>
        </w:pBdr>
        <w:ind w:hanging="360"/>
      </w:pPr>
      <w:r>
        <w:t xml:space="preserve">Gestion de la plateforme d’inscriptions et de rendez-vous (Front et back-office, fonctionnalités espace clients et administrateur…) pour </w:t>
      </w:r>
      <w:r w:rsidR="009F71A6">
        <w:rPr>
          <w:b/>
        </w:rPr>
        <w:t>10</w:t>
      </w:r>
      <w:r w:rsidR="00E07620">
        <w:t xml:space="preserve"> points.</w:t>
      </w:r>
    </w:p>
    <w:p w14:paraId="52D5D65B" w14:textId="77777777" w:rsidR="00B20BB6" w:rsidRDefault="00B20BB6" w:rsidP="007049D7">
      <w:pPr>
        <w:pBdr>
          <w:top w:val="nil"/>
          <w:left w:val="nil"/>
          <w:bottom w:val="nil"/>
          <w:right w:val="nil"/>
          <w:between w:val="nil"/>
        </w:pBdr>
        <w:rPr>
          <w:color w:val="000000"/>
        </w:rPr>
      </w:pPr>
    </w:p>
    <w:p w14:paraId="708D5306" w14:textId="77777777" w:rsidR="00B20BB6" w:rsidRPr="005F0F0F" w:rsidRDefault="00535199" w:rsidP="005F0F0F">
      <w:pPr>
        <w:pStyle w:val="Paragraphedeliste"/>
        <w:numPr>
          <w:ilvl w:val="0"/>
          <w:numId w:val="18"/>
        </w:numPr>
        <w:pBdr>
          <w:top w:val="nil"/>
          <w:left w:val="nil"/>
          <w:bottom w:val="nil"/>
          <w:right w:val="nil"/>
          <w:between w:val="nil"/>
        </w:pBdr>
        <w:rPr>
          <w:color w:val="000000"/>
        </w:rPr>
      </w:pPr>
      <w:r w:rsidRPr="00691CF5">
        <w:rPr>
          <w:b/>
          <w:color w:val="000080"/>
        </w:rPr>
        <w:t>Valeur économique</w:t>
      </w:r>
      <w:r w:rsidRPr="005F0F0F">
        <w:rPr>
          <w:color w:val="000080"/>
        </w:rPr>
        <w:t xml:space="preserve"> </w:t>
      </w:r>
      <w:r w:rsidRPr="005F0F0F">
        <w:rPr>
          <w:color w:val="000000"/>
        </w:rPr>
        <w:t xml:space="preserve">pour </w:t>
      </w:r>
      <w:r w:rsidRPr="005F0F0F">
        <w:rPr>
          <w:b/>
        </w:rPr>
        <w:t xml:space="preserve">50 </w:t>
      </w:r>
      <w:r w:rsidRPr="005F0F0F">
        <w:rPr>
          <w:color w:val="000000"/>
        </w:rPr>
        <w:t>points :</w:t>
      </w:r>
    </w:p>
    <w:p w14:paraId="78B6F195" w14:textId="77777777" w:rsidR="00B20BB6" w:rsidRDefault="00B20BB6">
      <w:pPr>
        <w:pBdr>
          <w:top w:val="nil"/>
          <w:left w:val="nil"/>
          <w:bottom w:val="nil"/>
          <w:right w:val="nil"/>
          <w:between w:val="nil"/>
        </w:pBdr>
      </w:pPr>
    </w:p>
    <w:p w14:paraId="1D5ECA41" w14:textId="26DDBEB8" w:rsidR="00B20BB6" w:rsidRPr="00C47125" w:rsidRDefault="00535199">
      <w:pPr>
        <w:numPr>
          <w:ilvl w:val="0"/>
          <w:numId w:val="8"/>
        </w:numPr>
        <w:ind w:hanging="360"/>
      </w:pPr>
      <w:r w:rsidRPr="00C47125">
        <w:t>Budget</w:t>
      </w:r>
      <w:r w:rsidR="006759D1" w:rsidRPr="00C47125">
        <w:t>s</w:t>
      </w:r>
      <w:r w:rsidRPr="00C47125">
        <w:t xml:space="preserve"> détaillé</w:t>
      </w:r>
      <w:r w:rsidR="006759D1" w:rsidRPr="00C47125">
        <w:t>s</w:t>
      </w:r>
      <w:r w:rsidRPr="00C47125">
        <w:t xml:space="preserve"> pour</w:t>
      </w:r>
      <w:r w:rsidRPr="00C47125">
        <w:rPr>
          <w:b/>
        </w:rPr>
        <w:t xml:space="preserve"> </w:t>
      </w:r>
      <w:r w:rsidR="007049D7" w:rsidRPr="00C47125">
        <w:rPr>
          <w:b/>
        </w:rPr>
        <w:t>25</w:t>
      </w:r>
      <w:r w:rsidRPr="00C47125">
        <w:t xml:space="preserve"> points ;</w:t>
      </w:r>
    </w:p>
    <w:p w14:paraId="2ED85E63" w14:textId="21FF6431" w:rsidR="007049D7" w:rsidRDefault="007049D7" w:rsidP="007049D7">
      <w:pPr>
        <w:numPr>
          <w:ilvl w:val="0"/>
          <w:numId w:val="8"/>
        </w:numPr>
        <w:ind w:hanging="360"/>
      </w:pPr>
      <w:r w:rsidRPr="007049D7">
        <w:t xml:space="preserve">La grille tarifaire des prestations proposées (formules de participation et options…) pour </w:t>
      </w:r>
      <w:r w:rsidRPr="00C47125">
        <w:rPr>
          <w:b/>
        </w:rPr>
        <w:t>1</w:t>
      </w:r>
      <w:r w:rsidRPr="007049D7">
        <w:rPr>
          <w:b/>
        </w:rPr>
        <w:t>0</w:t>
      </w:r>
      <w:r w:rsidRPr="007049D7">
        <w:t xml:space="preserve"> points</w:t>
      </w:r>
      <w:r w:rsidR="00FB422D">
        <w:t> ;</w:t>
      </w:r>
    </w:p>
    <w:p w14:paraId="7A5B10A7" w14:textId="013AB52C" w:rsidR="00FB422D" w:rsidRDefault="00FB422D" w:rsidP="00FB422D">
      <w:pPr>
        <w:numPr>
          <w:ilvl w:val="0"/>
          <w:numId w:val="8"/>
        </w:numPr>
        <w:ind w:hanging="360"/>
      </w:pPr>
      <w:r w:rsidRPr="00C47125">
        <w:t xml:space="preserve">L’évaluation détaillée des frais de gestion de projet portant sur l’aménagement pour </w:t>
      </w:r>
      <w:r w:rsidRPr="00C47125">
        <w:rPr>
          <w:b/>
          <w:bCs/>
        </w:rPr>
        <w:t>1</w:t>
      </w:r>
      <w:r>
        <w:rPr>
          <w:b/>
          <w:bCs/>
        </w:rPr>
        <w:t>0</w:t>
      </w:r>
      <w:r w:rsidRPr="00C47125">
        <w:t xml:space="preserve"> points ;</w:t>
      </w:r>
    </w:p>
    <w:p w14:paraId="4DC1C8C2" w14:textId="1EF81F5D" w:rsidR="00FB422D" w:rsidRPr="00FB422D" w:rsidRDefault="001B13F9" w:rsidP="00FB422D">
      <w:pPr>
        <w:pStyle w:val="Paragraphedeliste"/>
        <w:numPr>
          <w:ilvl w:val="0"/>
          <w:numId w:val="8"/>
        </w:numPr>
      </w:pPr>
      <w:bookmarkStart w:id="68" w:name="_Hlk164768131"/>
      <w:r>
        <w:t>Le détail</w:t>
      </w:r>
      <w:r w:rsidR="00FB422D" w:rsidRPr="00FB422D">
        <w:t xml:space="preserve"> des coûts d’aménagement </w:t>
      </w:r>
      <w:r>
        <w:t>prévisionnels des parties fixes (aréna, accueil etc…) et variables (</w:t>
      </w:r>
      <w:r w:rsidR="00FB422D" w:rsidRPr="00FB422D">
        <w:t>stands équipés et options supplémentaires</w:t>
      </w:r>
      <w:r w:rsidR="00B836F5">
        <w:t>)</w:t>
      </w:r>
      <w:r>
        <w:t xml:space="preserve"> </w:t>
      </w:r>
      <w:bookmarkEnd w:id="68"/>
      <w:r w:rsidR="00FB422D">
        <w:t xml:space="preserve">pour </w:t>
      </w:r>
      <w:r w:rsidR="00FB422D" w:rsidRPr="00FB422D">
        <w:rPr>
          <w:b/>
          <w:bCs/>
        </w:rPr>
        <w:t>5</w:t>
      </w:r>
      <w:r w:rsidR="00FB422D">
        <w:t xml:space="preserve"> points</w:t>
      </w:r>
      <w:r w:rsidR="00FB422D" w:rsidRPr="00FB422D">
        <w:t>.</w:t>
      </w:r>
    </w:p>
    <w:p w14:paraId="017A8001" w14:textId="3061DDE2" w:rsidR="008B6F7C" w:rsidRDefault="008B6F7C" w:rsidP="008B6F7C">
      <w:pPr>
        <w:pStyle w:val="Titre2"/>
      </w:pPr>
      <w:bookmarkStart w:id="69" w:name="_Toc196230191"/>
      <w:r>
        <w:t>13.3 Attribution de la concession</w:t>
      </w:r>
      <w:bookmarkEnd w:id="69"/>
    </w:p>
    <w:p w14:paraId="41BEAD19" w14:textId="0EC45630" w:rsidR="005E7D7B" w:rsidRDefault="00200A03" w:rsidP="005E7D7B">
      <w:pPr>
        <w:rPr>
          <w:rFonts w:cs="Times New Roman"/>
          <w:bCs/>
        </w:rPr>
      </w:pPr>
      <w:r w:rsidRPr="00E8321C">
        <w:rPr>
          <w:rFonts w:cs="Times New Roman"/>
          <w:b/>
        </w:rPr>
        <w:t xml:space="preserve">L’offre la mieux classée sera retenue à titre provisoire en attendant que le ou les candidats produisent les </w:t>
      </w:r>
      <w:r w:rsidR="00E8321C" w:rsidRPr="00E8321C">
        <w:rPr>
          <w:rFonts w:cs="Times New Roman"/>
          <w:b/>
        </w:rPr>
        <w:t xml:space="preserve">documents listés ci-dessous. </w:t>
      </w:r>
      <w:r w:rsidR="005E7D7B" w:rsidRPr="00E8321C">
        <w:rPr>
          <w:rFonts w:cs="Times New Roman"/>
          <w:bCs/>
        </w:rPr>
        <w:t xml:space="preserve">Le délai imparti par </w:t>
      </w:r>
      <w:r w:rsidR="00592350">
        <w:rPr>
          <w:rFonts w:cs="Times New Roman"/>
          <w:bCs/>
        </w:rPr>
        <w:t>l’autorité concédante</w:t>
      </w:r>
      <w:r w:rsidR="005E7D7B" w:rsidRPr="00E8321C">
        <w:rPr>
          <w:rFonts w:cs="Times New Roman"/>
          <w:bCs/>
        </w:rPr>
        <w:t xml:space="preserve"> pour remettre ces</w:t>
      </w:r>
      <w:r w:rsidR="005E7D7B" w:rsidRPr="00402A7E">
        <w:rPr>
          <w:rFonts w:cs="Times New Roman"/>
          <w:bCs/>
        </w:rPr>
        <w:t xml:space="preserve"> documents ne pourra être supérieur à </w:t>
      </w:r>
      <w:r w:rsidR="005E7D7B" w:rsidRPr="00402A7E">
        <w:rPr>
          <w:rFonts w:cs="Times New Roman"/>
          <w:b/>
          <w:u w:val="single"/>
        </w:rPr>
        <w:t>8 jours</w:t>
      </w:r>
      <w:r w:rsidR="00D46F69">
        <w:rPr>
          <w:rFonts w:cs="Times New Roman"/>
          <w:b/>
          <w:u w:val="single"/>
        </w:rPr>
        <w:t xml:space="preserve"> calendaires</w:t>
      </w:r>
      <w:r w:rsidR="00D46F69" w:rsidRPr="00D46F69">
        <w:rPr>
          <w:rFonts w:cs="Times New Roman"/>
          <w:b/>
        </w:rPr>
        <w:t xml:space="preserve"> </w:t>
      </w:r>
      <w:r w:rsidR="005E7D7B" w:rsidRPr="00402A7E">
        <w:rPr>
          <w:rFonts w:cs="Times New Roman"/>
          <w:bCs/>
        </w:rPr>
        <w:t>:</w:t>
      </w:r>
    </w:p>
    <w:p w14:paraId="135BA7EB" w14:textId="4306B0D9" w:rsidR="005E7D7B" w:rsidRDefault="00D46F69" w:rsidP="000850E9">
      <w:pPr>
        <w:widowControl/>
        <w:numPr>
          <w:ilvl w:val="0"/>
          <w:numId w:val="22"/>
        </w:numPr>
        <w:ind w:left="714" w:hanging="357"/>
        <w:rPr>
          <w:rFonts w:eastAsia="Times New Roman" w:cs="Times New Roman"/>
        </w:rPr>
      </w:pPr>
      <w:r w:rsidRPr="00D46F69">
        <w:rPr>
          <w:rFonts w:eastAsia="Times New Roman" w:cs="Times New Roman"/>
          <w:b/>
          <w:bCs/>
        </w:rPr>
        <w:t xml:space="preserve">Une des pièces </w:t>
      </w:r>
      <w:r w:rsidRPr="00D46F69">
        <w:rPr>
          <w:rFonts w:eastAsia="Times New Roman" w:cs="Times New Roman"/>
        </w:rPr>
        <w:t>prévues à l'article D8222-5 2° du code du travail</w:t>
      </w:r>
      <w:r w:rsidRPr="00D46F69">
        <w:rPr>
          <w:rFonts w:eastAsia="Times New Roman" w:cs="Times New Roman"/>
          <w:b/>
          <w:bCs/>
        </w:rPr>
        <w:t xml:space="preserve"> </w:t>
      </w:r>
      <w:r w:rsidR="005E7D7B" w:rsidRPr="005E7D7B">
        <w:rPr>
          <w:rFonts w:eastAsia="Times New Roman" w:cs="Times New Roman"/>
        </w:rPr>
        <w:t>;</w:t>
      </w:r>
    </w:p>
    <w:p w14:paraId="4A03BEAB" w14:textId="77777777" w:rsidR="008B6F7C" w:rsidRDefault="008B6F7C" w:rsidP="008B6F7C">
      <w:pPr>
        <w:numPr>
          <w:ilvl w:val="0"/>
          <w:numId w:val="15"/>
        </w:numPr>
        <w:pBdr>
          <w:top w:val="nil"/>
          <w:left w:val="nil"/>
          <w:bottom w:val="nil"/>
          <w:right w:val="nil"/>
          <w:between w:val="nil"/>
        </w:pBdr>
        <w:rPr>
          <w:color w:val="000000"/>
        </w:rPr>
      </w:pPr>
      <w:r w:rsidRPr="00FF391D">
        <w:rPr>
          <w:b/>
          <w:color w:val="000000"/>
        </w:rPr>
        <w:t>Les documents justifiant l’absence d’exclusion</w:t>
      </w:r>
      <w:r w:rsidRPr="00FF391D">
        <w:rPr>
          <w:color w:val="000000"/>
        </w:rPr>
        <w:t xml:space="preserve"> au titre des articles L3123-1 à L3123-5 et L.3123-7 à L.3123-10 du code de la commande publique, précités, dont :</w:t>
      </w:r>
    </w:p>
    <w:p w14:paraId="0CB6709A" w14:textId="3FD74908" w:rsidR="008B6F7C" w:rsidRPr="00E07620" w:rsidRDefault="008B6F7C" w:rsidP="008B6F7C">
      <w:pPr>
        <w:pBdr>
          <w:top w:val="nil"/>
          <w:left w:val="nil"/>
          <w:bottom w:val="nil"/>
          <w:right w:val="nil"/>
          <w:between w:val="nil"/>
        </w:pBdr>
        <w:ind w:left="720"/>
        <w:rPr>
          <w:color w:val="000000"/>
        </w:rPr>
      </w:pPr>
      <w:r w:rsidRPr="00E07620">
        <w:rPr>
          <w:b/>
          <w:color w:val="000000"/>
        </w:rPr>
        <w:t xml:space="preserve">Les certificats fiscaux et sociaux </w:t>
      </w:r>
      <w:r w:rsidR="00AD229C">
        <w:rPr>
          <w:b/>
          <w:color w:val="000000"/>
        </w:rPr>
        <w:t>du concessionnaire</w:t>
      </w:r>
      <w:r w:rsidRPr="00E07620">
        <w:rPr>
          <w:color w:val="000000"/>
        </w:rPr>
        <w:t xml:space="preserve"> </w:t>
      </w:r>
      <w:r w:rsidRPr="00E07620">
        <w:rPr>
          <w:b/>
          <w:color w:val="000000"/>
        </w:rPr>
        <w:t>datant de moins de 6 mois</w:t>
      </w:r>
      <w:r w:rsidRPr="00E07620">
        <w:rPr>
          <w:color w:val="000000"/>
        </w:rPr>
        <w:t xml:space="preserve"> </w:t>
      </w:r>
      <w:r w:rsidRPr="00E07620">
        <w:rPr>
          <w:b/>
          <w:color w:val="000080"/>
        </w:rPr>
        <w:t>ou le cas échéant, une attestation sur l’honneur du soumissionnaire attestant que celui-ci n’est pas assujetti aux obligations fiscales et sociales </w:t>
      </w:r>
      <w:r w:rsidRPr="00E07620">
        <w:rPr>
          <w:color w:val="000000"/>
        </w:rPr>
        <w:t>:</w:t>
      </w:r>
    </w:p>
    <w:p w14:paraId="4E0A8C8D" w14:textId="77777777" w:rsidR="008B6F7C" w:rsidRPr="00FF391D" w:rsidRDefault="008B6F7C" w:rsidP="008B6F7C">
      <w:pPr>
        <w:numPr>
          <w:ilvl w:val="0"/>
          <w:numId w:val="3"/>
        </w:numPr>
        <w:pBdr>
          <w:top w:val="nil"/>
          <w:left w:val="nil"/>
          <w:bottom w:val="nil"/>
          <w:right w:val="nil"/>
          <w:between w:val="nil"/>
        </w:pBdr>
        <w:rPr>
          <w:color w:val="000000"/>
        </w:rPr>
      </w:pPr>
      <w:r w:rsidRPr="004B3B78">
        <w:rPr>
          <w:b/>
          <w:bCs/>
          <w:color w:val="000000"/>
        </w:rPr>
        <w:t>Une attestation de vigilance</w:t>
      </w:r>
      <w:r w:rsidRPr="00FF391D">
        <w:rPr>
          <w:color w:val="000000"/>
        </w:rPr>
        <w:t xml:space="preserve"> délivrée en ligne sur le site de l'Urssaf,</w:t>
      </w:r>
    </w:p>
    <w:p w14:paraId="05BED771" w14:textId="77777777" w:rsidR="008B6F7C" w:rsidRPr="00FF391D" w:rsidRDefault="008B6F7C" w:rsidP="008B6F7C">
      <w:pPr>
        <w:numPr>
          <w:ilvl w:val="0"/>
          <w:numId w:val="3"/>
        </w:numPr>
        <w:pBdr>
          <w:top w:val="nil"/>
          <w:left w:val="nil"/>
          <w:bottom w:val="nil"/>
          <w:right w:val="nil"/>
          <w:between w:val="nil"/>
        </w:pBdr>
        <w:rPr>
          <w:color w:val="000000"/>
        </w:rPr>
      </w:pPr>
      <w:r w:rsidRPr="004B3B78">
        <w:rPr>
          <w:b/>
          <w:bCs/>
          <w:color w:val="000000"/>
        </w:rPr>
        <w:t>Une attestation fiscale</w:t>
      </w:r>
      <w:r w:rsidRPr="00FF391D">
        <w:rPr>
          <w:color w:val="000000"/>
        </w:rPr>
        <w:t xml:space="preserve"> justifiant de la régularité de sa situation fiscale (paiement de la TVA et de l'impôt sur le revenu ou sur les sociétés) et qui peut être obtenue : </w:t>
      </w:r>
    </w:p>
    <w:p w14:paraId="055BB1D7" w14:textId="38A76F6A" w:rsidR="008B6F7C" w:rsidRDefault="0554C8D2" w:rsidP="5504E08E">
      <w:pPr>
        <w:pStyle w:val="Paragraphedeliste"/>
        <w:numPr>
          <w:ilvl w:val="0"/>
          <w:numId w:val="23"/>
        </w:numPr>
        <w:pBdr>
          <w:top w:val="nil"/>
          <w:left w:val="nil"/>
          <w:bottom w:val="nil"/>
          <w:right w:val="nil"/>
          <w:between w:val="nil"/>
        </w:pBdr>
        <w:rPr>
          <w:color w:val="000000"/>
        </w:rPr>
      </w:pPr>
      <w:r w:rsidRPr="5504E08E">
        <w:rPr>
          <w:color w:val="000000" w:themeColor="text1"/>
        </w:rPr>
        <w:t>En</w:t>
      </w:r>
      <w:r w:rsidR="008B6F7C" w:rsidRPr="5504E08E">
        <w:rPr>
          <w:color w:val="000000" w:themeColor="text1"/>
        </w:rPr>
        <w:t xml:space="preserve"> ligne via son compte fiscal pour les entreprises soumises à l'impôt sur les sociétés (IS) et assujetties à la TVA ; </w:t>
      </w:r>
    </w:p>
    <w:p w14:paraId="29C249E4" w14:textId="4E3AD856" w:rsidR="008B6F7C" w:rsidRPr="005270FB" w:rsidRDefault="4A904346" w:rsidP="5504E08E">
      <w:pPr>
        <w:pStyle w:val="Paragraphedeliste"/>
        <w:numPr>
          <w:ilvl w:val="0"/>
          <w:numId w:val="23"/>
        </w:numPr>
        <w:pBdr>
          <w:top w:val="nil"/>
          <w:left w:val="nil"/>
          <w:bottom w:val="nil"/>
          <w:right w:val="nil"/>
          <w:between w:val="nil"/>
        </w:pBdr>
        <w:rPr>
          <w:color w:val="000000"/>
        </w:rPr>
      </w:pPr>
      <w:r w:rsidRPr="5504E08E">
        <w:rPr>
          <w:color w:val="000000" w:themeColor="text1"/>
        </w:rPr>
        <w:t>Auprès</w:t>
      </w:r>
      <w:r w:rsidR="008B6F7C" w:rsidRPr="5504E08E">
        <w:rPr>
          <w:color w:val="000000" w:themeColor="text1"/>
        </w:rPr>
        <w:t xml:space="preserve"> du service des impôts via le formulaire n°3666 pour les entreprises soumises à l'impôt sur le revenu, notamment les entrepreneurs individuels (artisan, micro-entrepreneur par exemple) ;</w:t>
      </w:r>
    </w:p>
    <w:p w14:paraId="24CD879B" w14:textId="77777777" w:rsidR="008B6F7C" w:rsidRDefault="008B6F7C" w:rsidP="008B6F7C">
      <w:pPr>
        <w:numPr>
          <w:ilvl w:val="0"/>
          <w:numId w:val="15"/>
        </w:numPr>
        <w:pBdr>
          <w:top w:val="nil"/>
          <w:left w:val="nil"/>
          <w:bottom w:val="nil"/>
          <w:right w:val="nil"/>
          <w:between w:val="nil"/>
        </w:pBdr>
        <w:rPr>
          <w:color w:val="000000"/>
        </w:rPr>
      </w:pPr>
      <w:r w:rsidRPr="00FF391D">
        <w:rPr>
          <w:b/>
          <w:color w:val="000000"/>
        </w:rPr>
        <w:t>Attestation d’assurance responsabilité civile professionnelle</w:t>
      </w:r>
      <w:r w:rsidRPr="00FF391D">
        <w:rPr>
          <w:color w:val="000000"/>
        </w:rPr>
        <w:t xml:space="preserve"> à jour à la date d’établissement des offres par les candidats ;</w:t>
      </w:r>
    </w:p>
    <w:p w14:paraId="366027F0" w14:textId="69D47136" w:rsidR="00654471" w:rsidRPr="00654471" w:rsidRDefault="00654471" w:rsidP="00654471">
      <w:pPr>
        <w:numPr>
          <w:ilvl w:val="0"/>
          <w:numId w:val="15"/>
        </w:numPr>
        <w:pBdr>
          <w:top w:val="nil"/>
          <w:left w:val="nil"/>
          <w:bottom w:val="nil"/>
          <w:right w:val="nil"/>
          <w:between w:val="nil"/>
        </w:pBdr>
        <w:rPr>
          <w:rFonts w:cs="Times New Roman"/>
        </w:rPr>
      </w:pPr>
      <w:r w:rsidRPr="00402A7E">
        <w:rPr>
          <w:rFonts w:cs="Times New Roman"/>
          <w:b/>
          <w:bCs/>
        </w:rPr>
        <w:t xml:space="preserve">Une liste nominative des salariés étrangers soumis à autorisation de travail ou une déclaration sur l’honneur du non-emploi de travailleurs étrangers </w:t>
      </w:r>
      <w:r w:rsidRPr="00402A7E">
        <w:rPr>
          <w:rFonts w:cs="Times New Roman"/>
        </w:rPr>
        <w:t>(application de l'article D8254-2 du code du travail) ;</w:t>
      </w:r>
    </w:p>
    <w:p w14:paraId="2CEAC995" w14:textId="77777777" w:rsidR="008B6F7C" w:rsidRPr="00FF391D" w:rsidRDefault="008B6F7C" w:rsidP="008B6F7C">
      <w:pPr>
        <w:numPr>
          <w:ilvl w:val="0"/>
          <w:numId w:val="15"/>
        </w:numPr>
        <w:pBdr>
          <w:top w:val="nil"/>
          <w:left w:val="nil"/>
          <w:bottom w:val="nil"/>
          <w:right w:val="nil"/>
          <w:between w:val="nil"/>
        </w:pBdr>
        <w:rPr>
          <w:color w:val="000000"/>
        </w:rPr>
      </w:pPr>
      <w:r w:rsidRPr="00FF391D">
        <w:rPr>
          <w:b/>
          <w:color w:val="000000"/>
        </w:rPr>
        <w:t>Un relevé d’identité bancaire ou postal.</w:t>
      </w:r>
    </w:p>
    <w:p w14:paraId="4644227C" w14:textId="77777777" w:rsidR="008B6F7C" w:rsidRPr="005270FB" w:rsidRDefault="008B6F7C" w:rsidP="008B6F7C">
      <w:pPr>
        <w:pBdr>
          <w:top w:val="nil"/>
          <w:left w:val="nil"/>
          <w:bottom w:val="nil"/>
          <w:right w:val="nil"/>
          <w:between w:val="nil"/>
        </w:pBdr>
        <w:rPr>
          <w:color w:val="000080"/>
        </w:rPr>
      </w:pPr>
    </w:p>
    <w:p w14:paraId="275A5EF0" w14:textId="1B6925DE" w:rsidR="00654471" w:rsidRPr="00654471" w:rsidRDefault="00654471" w:rsidP="00654471">
      <w:pPr>
        <w:pBdr>
          <w:top w:val="nil"/>
          <w:left w:val="nil"/>
          <w:bottom w:val="nil"/>
          <w:right w:val="nil"/>
          <w:between w:val="nil"/>
        </w:pBdr>
        <w:rPr>
          <w:rFonts w:eastAsia="Times New Roman" w:cs="Times New Roman"/>
          <w:b/>
          <w:color w:val="000080"/>
        </w:rPr>
      </w:pPr>
      <w:r w:rsidRPr="00654471">
        <w:rPr>
          <w:rFonts w:eastAsia="Times New Roman" w:cs="Times New Roman"/>
          <w:b/>
          <w:color w:val="000080"/>
        </w:rPr>
        <w:t xml:space="preserve">Ces documents seront à mettre à jour tout au long de l’exécution </w:t>
      </w:r>
      <w:r w:rsidR="00AD17E9">
        <w:rPr>
          <w:rFonts w:eastAsia="Times New Roman" w:cs="Times New Roman"/>
          <w:b/>
          <w:color w:val="000080"/>
        </w:rPr>
        <w:t>de la concession</w:t>
      </w:r>
      <w:r w:rsidRPr="00654471">
        <w:rPr>
          <w:rFonts w:eastAsia="Times New Roman" w:cs="Times New Roman"/>
          <w:b/>
          <w:color w:val="000080"/>
        </w:rPr>
        <w:t>.</w:t>
      </w:r>
    </w:p>
    <w:p w14:paraId="3852348A" w14:textId="77777777" w:rsidR="00654471" w:rsidRDefault="00654471" w:rsidP="008B6F7C">
      <w:pPr>
        <w:pBdr>
          <w:top w:val="nil"/>
          <w:left w:val="nil"/>
          <w:bottom w:val="nil"/>
          <w:right w:val="nil"/>
          <w:between w:val="nil"/>
        </w:pBdr>
        <w:rPr>
          <w:b/>
          <w:color w:val="000080"/>
        </w:rPr>
      </w:pPr>
    </w:p>
    <w:p w14:paraId="71CB7621" w14:textId="77777777" w:rsidR="00BF38CA" w:rsidRDefault="00BF38CA" w:rsidP="00AD17E9">
      <w:pPr>
        <w:pStyle w:val="Paragraphedeliste"/>
        <w:ind w:left="0"/>
        <w:rPr>
          <w:bCs/>
          <w:color w:val="000000"/>
        </w:rPr>
      </w:pPr>
    </w:p>
    <w:p w14:paraId="4150C826" w14:textId="01429143" w:rsidR="00654471" w:rsidRPr="00AD17E9" w:rsidRDefault="00654471" w:rsidP="00AD17E9">
      <w:pPr>
        <w:pStyle w:val="Paragraphedeliste"/>
        <w:ind w:left="0"/>
        <w:rPr>
          <w:bCs/>
          <w:color w:val="000000"/>
        </w:rPr>
      </w:pPr>
      <w:r w:rsidRPr="00A37107">
        <w:rPr>
          <w:bCs/>
          <w:color w:val="000000"/>
        </w:rPr>
        <w:lastRenderedPageBreak/>
        <w:t>Ainsi que </w:t>
      </w:r>
      <w:r>
        <w:rPr>
          <w:bCs/>
          <w:color w:val="000000"/>
        </w:rPr>
        <w:t xml:space="preserve">les documents suivants </w:t>
      </w:r>
      <w:r w:rsidRPr="00A37107">
        <w:rPr>
          <w:bCs/>
          <w:color w:val="000000"/>
        </w:rPr>
        <w:t xml:space="preserve">: </w:t>
      </w:r>
    </w:p>
    <w:p w14:paraId="3006C978" w14:textId="72BB3BDC" w:rsidR="00AD17E9" w:rsidRDefault="00654471" w:rsidP="5504E08E">
      <w:pPr>
        <w:numPr>
          <w:ilvl w:val="0"/>
          <w:numId w:val="22"/>
        </w:numPr>
        <w:pBdr>
          <w:top w:val="nil"/>
          <w:left w:val="nil"/>
          <w:bottom w:val="nil"/>
          <w:right w:val="nil"/>
          <w:between w:val="nil"/>
        </w:pBdr>
        <w:rPr>
          <w:color w:val="000000"/>
        </w:rPr>
      </w:pPr>
      <w:r w:rsidRPr="5504E08E">
        <w:rPr>
          <w:color w:val="000000" w:themeColor="text1"/>
        </w:rPr>
        <w:t xml:space="preserve">L’acte d’engagement, </w:t>
      </w:r>
      <w:r w:rsidRPr="5504E08E">
        <w:rPr>
          <w:b/>
          <w:bCs/>
          <w:color w:val="000000" w:themeColor="text1"/>
        </w:rPr>
        <w:t>imprimé ATTRI</w:t>
      </w:r>
      <w:r w:rsidR="00D46F69">
        <w:rPr>
          <w:b/>
          <w:bCs/>
          <w:color w:val="000000" w:themeColor="text1"/>
        </w:rPr>
        <w:t>1</w:t>
      </w:r>
      <w:r w:rsidRPr="5504E08E">
        <w:rPr>
          <w:color w:val="000000" w:themeColor="text1"/>
        </w:rPr>
        <w:t xml:space="preserve"> et les </w:t>
      </w:r>
      <w:r w:rsidRPr="5504E08E">
        <w:rPr>
          <w:b/>
          <w:bCs/>
          <w:color w:val="000000" w:themeColor="text1"/>
        </w:rPr>
        <w:t>trois</w:t>
      </w:r>
      <w:r w:rsidRPr="5504E08E">
        <w:rPr>
          <w:color w:val="000000" w:themeColor="text1"/>
        </w:rPr>
        <w:t xml:space="preserve"> </w:t>
      </w:r>
      <w:r w:rsidRPr="5504E08E">
        <w:rPr>
          <w:b/>
          <w:bCs/>
          <w:color w:val="000000" w:themeColor="text1"/>
        </w:rPr>
        <w:t>budgets prévisionnels détaillés de l’organisation pour chaque format de l’événement (présentiel, hybride, 100</w:t>
      </w:r>
      <w:r w:rsidR="1A800A9F" w:rsidRPr="5504E08E">
        <w:rPr>
          <w:b/>
          <w:bCs/>
          <w:color w:val="000000" w:themeColor="text1"/>
        </w:rPr>
        <w:t xml:space="preserve"> </w:t>
      </w:r>
      <w:r w:rsidRPr="5504E08E">
        <w:rPr>
          <w:b/>
          <w:bCs/>
          <w:color w:val="000000" w:themeColor="text1"/>
        </w:rPr>
        <w:t>% digital)</w:t>
      </w:r>
      <w:r w:rsidRPr="5504E08E">
        <w:rPr>
          <w:color w:val="000000" w:themeColor="text1"/>
        </w:rPr>
        <w:t xml:space="preserve"> dûment complétés, datés et signés ; </w:t>
      </w:r>
    </w:p>
    <w:p w14:paraId="461A148D" w14:textId="6E9D9FC2" w:rsidR="00AD17E9" w:rsidRPr="00AD17E9" w:rsidRDefault="00AD17E9" w:rsidP="00AD17E9">
      <w:pPr>
        <w:numPr>
          <w:ilvl w:val="0"/>
          <w:numId w:val="22"/>
        </w:numPr>
        <w:pBdr>
          <w:top w:val="nil"/>
          <w:left w:val="nil"/>
          <w:bottom w:val="nil"/>
          <w:right w:val="nil"/>
          <w:between w:val="nil"/>
        </w:pBdr>
        <w:rPr>
          <w:color w:val="000000"/>
        </w:rPr>
      </w:pPr>
      <w:r w:rsidRPr="00AD17E9">
        <w:rPr>
          <w:b/>
          <w:color w:val="000000"/>
        </w:rPr>
        <w:t xml:space="preserve">Le cahier des charges </w:t>
      </w:r>
      <w:r w:rsidRPr="00AD17E9">
        <w:rPr>
          <w:color w:val="000000"/>
        </w:rPr>
        <w:t>dûment complété,</w:t>
      </w:r>
      <w:r w:rsidRPr="00AD17E9">
        <w:rPr>
          <w:b/>
          <w:color w:val="000000"/>
        </w:rPr>
        <w:t xml:space="preserve"> </w:t>
      </w:r>
      <w:r w:rsidRPr="00AD17E9">
        <w:rPr>
          <w:color w:val="000000"/>
        </w:rPr>
        <w:t>daté et signé ;</w:t>
      </w:r>
    </w:p>
    <w:p w14:paraId="63637671" w14:textId="0B48CA72" w:rsidR="00654471" w:rsidRPr="00654471" w:rsidRDefault="00654471" w:rsidP="00654471">
      <w:pPr>
        <w:numPr>
          <w:ilvl w:val="0"/>
          <w:numId w:val="22"/>
        </w:numPr>
        <w:pBdr>
          <w:top w:val="nil"/>
          <w:left w:val="nil"/>
          <w:bottom w:val="nil"/>
          <w:right w:val="nil"/>
          <w:between w:val="nil"/>
        </w:pBdr>
        <w:rPr>
          <w:color w:val="000000"/>
        </w:rPr>
      </w:pPr>
      <w:r w:rsidRPr="00654471">
        <w:rPr>
          <w:b/>
        </w:rPr>
        <w:t>Le pouvoir</w:t>
      </w:r>
      <w:r w:rsidRPr="00FA5D97">
        <w:t xml:space="preserve"> habilitant le signataire d</w:t>
      </w:r>
      <w:r w:rsidR="00AD17E9">
        <w:t xml:space="preserve">e la concession </w:t>
      </w:r>
      <w:r w:rsidRPr="00FA5D97">
        <w:t>à engager la société, le cas échéant</w:t>
      </w:r>
      <w:r>
        <w:t>.</w:t>
      </w:r>
    </w:p>
    <w:p w14:paraId="76B56115" w14:textId="77777777" w:rsidR="00654471" w:rsidRDefault="00654471" w:rsidP="008B6F7C">
      <w:pPr>
        <w:pBdr>
          <w:top w:val="nil"/>
          <w:left w:val="nil"/>
          <w:bottom w:val="nil"/>
          <w:right w:val="nil"/>
          <w:between w:val="nil"/>
        </w:pBdr>
        <w:rPr>
          <w:b/>
          <w:color w:val="000080"/>
        </w:rPr>
      </w:pPr>
    </w:p>
    <w:p w14:paraId="3EEBC238" w14:textId="54C07781" w:rsidR="008B6F7C" w:rsidRPr="005270FB" w:rsidRDefault="008B6F7C" w:rsidP="008B6F7C">
      <w:pPr>
        <w:pBdr>
          <w:top w:val="nil"/>
          <w:left w:val="nil"/>
          <w:bottom w:val="nil"/>
          <w:right w:val="nil"/>
          <w:between w:val="nil"/>
        </w:pBdr>
        <w:rPr>
          <w:b/>
          <w:color w:val="000080"/>
        </w:rPr>
      </w:pPr>
      <w:r w:rsidRPr="005270FB">
        <w:rPr>
          <w:b/>
          <w:color w:val="000080"/>
        </w:rPr>
        <w:t>L’absence de transmission desdits documents, dans le délai sus indiqué entraînera le rejet de l’offre. La même demande sera effectuée auprès du soumissionnaire placé en seconde position et ainsi de suite jusqu’à obtention desdits documents.</w:t>
      </w:r>
    </w:p>
    <w:p w14:paraId="0C65B329" w14:textId="17FA2E28" w:rsidR="00B20BB6" w:rsidRDefault="00654471">
      <w:pPr>
        <w:pStyle w:val="Titre1"/>
      </w:pPr>
      <w:bookmarkStart w:id="70" w:name="_Toc196230192"/>
      <w:r>
        <w:t>Articl</w:t>
      </w:r>
      <w:r w:rsidR="00535199">
        <w:t>e 14 - Négociation</w:t>
      </w:r>
      <w:bookmarkEnd w:id="70"/>
    </w:p>
    <w:p w14:paraId="08E85E60" w14:textId="77777777" w:rsidR="00F2516B" w:rsidRPr="00F2516B" w:rsidRDefault="00F2516B" w:rsidP="00F2516B">
      <w:pPr>
        <w:widowControl/>
      </w:pPr>
      <w:r w:rsidRPr="00F2516B">
        <w:t xml:space="preserve">Il est précisé qu’une négociation pourra s’effectuer, le cas échéant, avec le ou les soumissionnaire(s) ayant remis les offres économiquement les plus avantageuses suite au premier classement établi par application des critères précités. </w:t>
      </w:r>
    </w:p>
    <w:p w14:paraId="5579438B" w14:textId="2180E127" w:rsidR="00F2516B" w:rsidRPr="00F2516B" w:rsidRDefault="00F2516B" w:rsidP="00F2516B">
      <w:pPr>
        <w:widowControl/>
      </w:pPr>
      <w:r>
        <w:t>L’autorité concédante</w:t>
      </w:r>
      <w:r w:rsidRPr="00F2516B">
        <w:t xml:space="preserve"> pourra procéder à une négociation au maximum avec les trois candidats les mieux classés. Si le nombre d’offres conformes et classées est inférieur à trois, la négociation pourra quand même être engagée.</w:t>
      </w:r>
    </w:p>
    <w:p w14:paraId="28210DF4" w14:textId="77777777" w:rsidR="00F2516B" w:rsidRPr="00F2516B" w:rsidRDefault="00F2516B" w:rsidP="00F2516B">
      <w:pPr>
        <w:widowControl/>
      </w:pPr>
    </w:p>
    <w:p w14:paraId="1721170B" w14:textId="1BB738D6" w:rsidR="00F2516B" w:rsidRPr="00F2516B" w:rsidRDefault="00F2516B" w:rsidP="00F2516B">
      <w:pPr>
        <w:widowControl/>
      </w:pPr>
      <w:r w:rsidRPr="00F2516B">
        <w:t xml:space="preserve">Toutefois, </w:t>
      </w:r>
      <w:r>
        <w:t>l’autorité concédante</w:t>
      </w:r>
      <w:r w:rsidRPr="00F2516B">
        <w:t xml:space="preserve"> se réserve le droit d’attribuer </w:t>
      </w:r>
      <w:r w:rsidR="00AD229C">
        <w:t>la concession</w:t>
      </w:r>
      <w:r w:rsidRPr="00F2516B">
        <w:t xml:space="preserve"> sur la base des offres initiales sans négociation, conformément à l’article R2123-5 du Code de la commande publique.</w:t>
      </w:r>
    </w:p>
    <w:p w14:paraId="6B7DCCD2" w14:textId="77777777" w:rsidR="00F2516B" w:rsidRPr="00F2516B" w:rsidRDefault="00F2516B" w:rsidP="00F2516B">
      <w:pPr>
        <w:widowControl/>
      </w:pPr>
    </w:p>
    <w:p w14:paraId="54278D99" w14:textId="7A4D3106" w:rsidR="00F2516B" w:rsidRPr="00F2516B" w:rsidRDefault="00F2516B" w:rsidP="00F2516B">
      <w:pPr>
        <w:widowControl/>
      </w:pPr>
      <w:r w:rsidRPr="00F2516B">
        <w:t>La négociation est engagée librement avec les candidats sélectionnés. La négociation est conduite dans le respect du principe de l’égalité de traitement de tous les candidats. Elle portera sur tous les éléments de l’offre</w:t>
      </w:r>
      <w:r w:rsidR="00592350">
        <w:t xml:space="preserve"> </w:t>
      </w:r>
      <w:r w:rsidRPr="00F2516B">
        <w:t xml:space="preserve">sans pouvoir modifier de manière substantielle les conditions initiales </w:t>
      </w:r>
      <w:r w:rsidR="00AD229C">
        <w:t>de la concession</w:t>
      </w:r>
      <w:r w:rsidRPr="00F2516B">
        <w:t xml:space="preserve">. Les offres finales seront analysées selon les critères de jugement initiaux fixés dans le présent règlement de la consultation et un classement final sera établi. </w:t>
      </w:r>
    </w:p>
    <w:p w14:paraId="0C70036C" w14:textId="77777777" w:rsidR="00F2516B" w:rsidRPr="00F2516B" w:rsidRDefault="00F2516B" w:rsidP="00F2516B">
      <w:pPr>
        <w:widowControl/>
      </w:pPr>
    </w:p>
    <w:p w14:paraId="403FFBBC" w14:textId="77777777" w:rsidR="00F2516B" w:rsidRPr="00F2516B" w:rsidRDefault="00F2516B" w:rsidP="00F2516B">
      <w:pPr>
        <w:widowControl/>
        <w:rPr>
          <w:b/>
        </w:rPr>
      </w:pPr>
      <w:r w:rsidRPr="00F2516B">
        <w:t xml:space="preserve">Les candidats sont informés que la négociation peut être menée sous forme d'entretiens ou via la plateforme </w:t>
      </w:r>
      <w:hyperlink r:id="rId14" w:history="1">
        <w:r w:rsidRPr="00F2516B">
          <w:rPr>
            <w:rStyle w:val="Lienhypertexte"/>
          </w:rPr>
          <w:t>https://www.marches-publics.gouv.fr</w:t>
        </w:r>
      </w:hyperlink>
      <w:r w:rsidRPr="00F2516B">
        <w:t>.</w:t>
      </w:r>
    </w:p>
    <w:p w14:paraId="71A9294B" w14:textId="77777777" w:rsidR="00F2516B" w:rsidRPr="00F2516B" w:rsidRDefault="00F2516B" w:rsidP="00F2516B">
      <w:pPr>
        <w:widowControl/>
        <w:rPr>
          <w:b/>
          <w:bCs/>
        </w:rPr>
      </w:pPr>
    </w:p>
    <w:p w14:paraId="01A225D3" w14:textId="47F7277D" w:rsidR="00F2516B" w:rsidRPr="00F2516B" w:rsidRDefault="00F2516B" w:rsidP="00F2516B">
      <w:pPr>
        <w:widowControl/>
      </w:pPr>
      <w:r w:rsidRPr="00F2516B">
        <w:rPr>
          <w:b/>
          <w:bCs/>
        </w:rPr>
        <w:t xml:space="preserve">En cas de négociation menée sous forme d'entretiens avec les candidats : </w:t>
      </w:r>
      <w:r w:rsidRPr="00F2516B">
        <w:t xml:space="preserve">les candidats seront informés des modalités pratiques de la négociation (date, heure, lieu de la réunion, visioconférence, etc.) par écrit via la plateforme susvisée. Les dates et heures limites de remise des nouvelles offres </w:t>
      </w:r>
      <w:proofErr w:type="gramStart"/>
      <w:r w:rsidRPr="00F2516B">
        <w:t>suite à</w:t>
      </w:r>
      <w:proofErr w:type="gramEnd"/>
      <w:r w:rsidRPr="00F2516B">
        <w:t xml:space="preserve"> négociation seront confirmées par écrit </w:t>
      </w:r>
      <w:r w:rsidR="00592350">
        <w:t>de l’autorité concédante</w:t>
      </w:r>
      <w:r w:rsidRPr="00F2516B">
        <w:t xml:space="preserve"> via la plateforme. A l’issue des négociations, les candidats remettront alors leur offre finale dans les délais impartis sur ce même support. Cette date de remise des offres finales sera identique pour tous les candidats admis à la négociation.</w:t>
      </w:r>
    </w:p>
    <w:p w14:paraId="4491C1A1" w14:textId="77777777" w:rsidR="00F2516B" w:rsidRPr="00F2516B" w:rsidRDefault="00F2516B" w:rsidP="00F2516B">
      <w:pPr>
        <w:widowControl/>
      </w:pPr>
    </w:p>
    <w:p w14:paraId="26BE1D40" w14:textId="091F7A2E" w:rsidR="00F2516B" w:rsidRPr="00F2516B" w:rsidRDefault="00F2516B" w:rsidP="00F2516B">
      <w:pPr>
        <w:widowControl/>
      </w:pPr>
      <w:r w:rsidRPr="00F2516B">
        <w:rPr>
          <w:b/>
          <w:bCs/>
        </w:rPr>
        <w:t xml:space="preserve">En cas de négociation menée via la plate-forme </w:t>
      </w:r>
      <w:hyperlink r:id="rId15" w:history="1">
        <w:r w:rsidRPr="00F2516B">
          <w:rPr>
            <w:rStyle w:val="Lienhypertexte"/>
          </w:rPr>
          <w:t>https://www.marches-publics.gouv.fr</w:t>
        </w:r>
      </w:hyperlink>
      <w:r w:rsidRPr="00F2516B">
        <w:t xml:space="preserve"> : la négociation sera menée par </w:t>
      </w:r>
      <w:r w:rsidR="00592350">
        <w:t>l’autorité concédante</w:t>
      </w:r>
      <w:r w:rsidRPr="00F2516B">
        <w:t xml:space="preserve">, par échanges électroniques via la plateforme. Les dates et heures limites de remise des nouvelles offres </w:t>
      </w:r>
      <w:proofErr w:type="gramStart"/>
      <w:r w:rsidRPr="00F2516B">
        <w:t>suite à</w:t>
      </w:r>
      <w:proofErr w:type="gramEnd"/>
      <w:r w:rsidRPr="00F2516B">
        <w:t xml:space="preserve"> négociation seront indiquées par écrit </w:t>
      </w:r>
      <w:r w:rsidR="00592350">
        <w:t>de l’autorité concédante</w:t>
      </w:r>
      <w:r w:rsidRPr="00F2516B">
        <w:t xml:space="preserve"> via la plateforme. Les candidats devront renvoyer leur offre dans les délais impartis sur ce même support. Cette date de remise des offres finales sera identique pour tous les candidats admis à la négociation.</w:t>
      </w:r>
    </w:p>
    <w:p w14:paraId="6674E46F" w14:textId="77777777" w:rsidR="00F2516B" w:rsidRPr="00F2516B" w:rsidRDefault="00F2516B" w:rsidP="00F2516B">
      <w:pPr>
        <w:widowControl/>
      </w:pPr>
    </w:p>
    <w:p w14:paraId="2D6C5B67" w14:textId="676C827D" w:rsidR="00F2516B" w:rsidRPr="00F2516B" w:rsidRDefault="00592350" w:rsidP="00F2516B">
      <w:pPr>
        <w:widowControl/>
      </w:pPr>
      <w:r>
        <w:t>L’autorité concédante</w:t>
      </w:r>
      <w:r w:rsidR="00F2516B" w:rsidRPr="00F2516B">
        <w:t xml:space="preserve"> se réserve la possibilité de demander, durant la négociation si elle a lieu, aux candidats ayant remis une offre irrégulière ou inacceptable (au sens de l’article R2152-1 du code de la commande publique) de régulariser leur offre, à la condition qu’elle ne soit pas anormalement basse. Il est précisé que la phase de négociation ne sera pas engagée avec les candidats ayant proposé une offre inappropriée.</w:t>
      </w:r>
    </w:p>
    <w:p w14:paraId="30FB5988" w14:textId="77777777" w:rsidR="00F2516B" w:rsidRPr="00F2516B" w:rsidRDefault="00F2516B" w:rsidP="00F2516B">
      <w:pPr>
        <w:widowControl/>
      </w:pPr>
    </w:p>
    <w:p w14:paraId="35A68B73" w14:textId="77777777" w:rsidR="00F2516B" w:rsidRPr="00F2516B" w:rsidRDefault="00F2516B" w:rsidP="00F2516B">
      <w:pPr>
        <w:widowControl/>
      </w:pPr>
      <w:r w:rsidRPr="00F2516B">
        <w:lastRenderedPageBreak/>
        <w:t xml:space="preserve">L’attention du candidat est attirée sur le fait que l’offre finale devra impérativement être remise </w:t>
      </w:r>
      <w:bookmarkStart w:id="71" w:name="_Hlk193193969"/>
      <w:r w:rsidRPr="00F2516B">
        <w:t>sous format électronique via la plateforme</w:t>
      </w:r>
      <w:bookmarkEnd w:id="71"/>
      <w:r w:rsidRPr="00F2516B">
        <w:t>. Aucune offre finale ne pourra être transmise par mail sous peine d’irrégularité de l’offre.</w:t>
      </w:r>
    </w:p>
    <w:p w14:paraId="51409AD6" w14:textId="77777777" w:rsidR="00F2516B" w:rsidRPr="00F2516B" w:rsidRDefault="00F2516B" w:rsidP="00F2516B">
      <w:pPr>
        <w:widowControl/>
      </w:pPr>
    </w:p>
    <w:p w14:paraId="3680D856" w14:textId="50CAD38F" w:rsidR="00F2516B" w:rsidRPr="00F2516B" w:rsidRDefault="00592350" w:rsidP="00F2516B">
      <w:pPr>
        <w:widowControl/>
      </w:pPr>
      <w:r>
        <w:t>L’autorité concédante</w:t>
      </w:r>
      <w:r w:rsidR="00F2516B" w:rsidRPr="00F2516B">
        <w:t xml:space="preserve"> se réserve également la faculté de réaliser plusieurs tours de négociation. Dans ce cas, il informera les soumissionnaires via la plateforme susvisée.</w:t>
      </w:r>
    </w:p>
    <w:p w14:paraId="58839384" w14:textId="71686C67" w:rsidR="00F2516B" w:rsidRDefault="00F2516B" w:rsidP="00F2516B">
      <w:pPr>
        <w:widowControl/>
      </w:pPr>
      <w:r w:rsidRPr="00F2516B">
        <w:t xml:space="preserve">Si le candidat souhaite maintenir son offre initiale, il devra informer </w:t>
      </w:r>
      <w:r w:rsidR="00592350">
        <w:t>l’autorité concédante</w:t>
      </w:r>
      <w:r w:rsidRPr="00F2516B">
        <w:t xml:space="preserve"> de sa décision via la plateforme.</w:t>
      </w:r>
    </w:p>
    <w:p w14:paraId="04B6EC78" w14:textId="77777777" w:rsidR="00D4148B" w:rsidRPr="00F2516B" w:rsidRDefault="00D4148B" w:rsidP="00F2516B">
      <w:pPr>
        <w:widowControl/>
      </w:pPr>
    </w:p>
    <w:p w14:paraId="1DD54484" w14:textId="77777777" w:rsidR="00F2516B" w:rsidRPr="00F2516B" w:rsidRDefault="00F2516B" w:rsidP="00F2516B">
      <w:pPr>
        <w:widowControl/>
      </w:pPr>
      <w:r w:rsidRPr="00F2516B">
        <w:t>S’il est constaté :</w:t>
      </w:r>
    </w:p>
    <w:p w14:paraId="19B2387F" w14:textId="77777777" w:rsidR="00F2516B" w:rsidRPr="00F2516B" w:rsidRDefault="00F2516B" w:rsidP="00F2516B">
      <w:pPr>
        <w:widowControl/>
        <w:numPr>
          <w:ilvl w:val="0"/>
          <w:numId w:val="35"/>
        </w:numPr>
      </w:pPr>
      <w:r w:rsidRPr="00F2516B">
        <w:t>L’absence de réponse de la part du candidat ;</w:t>
      </w:r>
    </w:p>
    <w:p w14:paraId="652E30FB" w14:textId="41199A70" w:rsidR="00F2516B" w:rsidRPr="00F2516B" w:rsidRDefault="00F2516B" w:rsidP="00F2516B">
      <w:pPr>
        <w:widowControl/>
        <w:numPr>
          <w:ilvl w:val="0"/>
          <w:numId w:val="35"/>
        </w:numPr>
      </w:pPr>
      <w:r w:rsidRPr="00F2516B">
        <w:t>L’absence de remise d’une nouvelle offre de la part du candidat dans les délais impartis;</w:t>
      </w:r>
    </w:p>
    <w:p w14:paraId="381A0D03" w14:textId="77777777" w:rsidR="00F2516B" w:rsidRPr="00F2516B" w:rsidRDefault="00F2516B" w:rsidP="00F2516B">
      <w:pPr>
        <w:widowControl/>
        <w:numPr>
          <w:ilvl w:val="0"/>
          <w:numId w:val="35"/>
        </w:numPr>
      </w:pPr>
      <w:r w:rsidRPr="00F2516B">
        <w:t>La remise d’une nouvelle offre hors délai de la part du candidat ;</w:t>
      </w:r>
    </w:p>
    <w:p w14:paraId="5A720148" w14:textId="29ADD477" w:rsidR="00F2516B" w:rsidRPr="00F2516B" w:rsidRDefault="542155FB" w:rsidP="00F2516B">
      <w:pPr>
        <w:widowControl/>
      </w:pPr>
      <w:r>
        <w:t>L’autorité</w:t>
      </w:r>
      <w:r w:rsidR="00592350">
        <w:t xml:space="preserve"> concédante</w:t>
      </w:r>
      <w:r w:rsidR="00F2516B">
        <w:t xml:space="preserve"> maintiendra l’offre initiale remise par le candidat, ou si plusieurs tours de négociation ont eu lieu, la dernière offre remise dans les délais impartis par le candidat.</w:t>
      </w:r>
    </w:p>
    <w:p w14:paraId="11AE6614" w14:textId="7BDE2307" w:rsidR="00E6692C" w:rsidRDefault="00E6692C" w:rsidP="00E6692C">
      <w:pPr>
        <w:pStyle w:val="Titre1"/>
      </w:pPr>
      <w:bookmarkStart w:id="72" w:name="_Toc196230193"/>
      <w:r>
        <w:t xml:space="preserve">Article 15 </w:t>
      </w:r>
      <w:r w:rsidR="004B3B78">
        <w:t>- Mise</w:t>
      </w:r>
      <w:r>
        <w:t xml:space="preserve"> au point du contrat de concession</w:t>
      </w:r>
      <w:bookmarkEnd w:id="72"/>
    </w:p>
    <w:p w14:paraId="6A8EB68D" w14:textId="1796F4EA" w:rsidR="00C738E9" w:rsidRDefault="00E6692C" w:rsidP="00E6692C">
      <w:pPr>
        <w:pBdr>
          <w:top w:val="nil"/>
          <w:left w:val="nil"/>
          <w:bottom w:val="nil"/>
          <w:right w:val="nil"/>
          <w:between w:val="nil"/>
        </w:pBdr>
        <w:rPr>
          <w:color w:val="000000"/>
        </w:rPr>
      </w:pPr>
      <w:r w:rsidRPr="00E6692C">
        <w:rPr>
          <w:color w:val="000000"/>
        </w:rPr>
        <w:t>En tant que de besoin, le Concédant pourra procéder avec le candidat ayant présenté l’offre la mieux-disante, à une mise au point finale du contrat de concession.</w:t>
      </w:r>
      <w:r w:rsidR="007307E4">
        <w:rPr>
          <w:color w:val="000000"/>
        </w:rPr>
        <w:t xml:space="preserve"> </w:t>
      </w:r>
    </w:p>
    <w:p w14:paraId="5C95E01A" w14:textId="77777777" w:rsidR="002F0728" w:rsidRDefault="002F0728" w:rsidP="00E6692C">
      <w:pPr>
        <w:pBdr>
          <w:top w:val="nil"/>
          <w:left w:val="nil"/>
          <w:bottom w:val="nil"/>
          <w:right w:val="nil"/>
          <w:between w:val="nil"/>
        </w:pBdr>
        <w:rPr>
          <w:color w:val="000000"/>
        </w:rPr>
      </w:pPr>
    </w:p>
    <w:p w14:paraId="7FFE1C48" w14:textId="77777777" w:rsidR="00E6692C" w:rsidRDefault="00E6692C" w:rsidP="00E6692C">
      <w:pPr>
        <w:pBdr>
          <w:top w:val="nil"/>
          <w:left w:val="nil"/>
          <w:bottom w:val="nil"/>
          <w:right w:val="nil"/>
          <w:between w:val="nil"/>
        </w:pBdr>
        <w:rPr>
          <w:color w:val="000000"/>
        </w:rPr>
      </w:pPr>
      <w:r w:rsidRPr="00E6692C">
        <w:rPr>
          <w:color w:val="000000"/>
        </w:rPr>
        <w:t>Cette mise au point aura pour seul objet de finaliser les stipulations contractuelles (vérification de la cohérence d’ensemble des clauses, des renvois entre articles, de numérotation et de désignation des annexes, …) et de finaliser (mise en forme définitive) les annexes.</w:t>
      </w:r>
    </w:p>
    <w:p w14:paraId="528FE6EC" w14:textId="77777777" w:rsidR="00E6692C" w:rsidRPr="00E6692C" w:rsidRDefault="00E6692C" w:rsidP="00E6692C">
      <w:pPr>
        <w:pBdr>
          <w:top w:val="nil"/>
          <w:left w:val="nil"/>
          <w:bottom w:val="nil"/>
          <w:right w:val="nil"/>
          <w:between w:val="nil"/>
        </w:pBdr>
        <w:rPr>
          <w:color w:val="000000"/>
        </w:rPr>
      </w:pPr>
    </w:p>
    <w:p w14:paraId="759AD3CF" w14:textId="77777777" w:rsidR="00E6692C" w:rsidRDefault="00E6692C" w:rsidP="00E6692C">
      <w:pPr>
        <w:pBdr>
          <w:top w:val="nil"/>
          <w:left w:val="nil"/>
          <w:bottom w:val="nil"/>
          <w:right w:val="nil"/>
          <w:between w:val="nil"/>
        </w:pBdr>
        <w:rPr>
          <w:color w:val="000000"/>
        </w:rPr>
      </w:pPr>
      <w:r w:rsidRPr="00E6692C">
        <w:rPr>
          <w:color w:val="000000"/>
        </w:rPr>
        <w:t>En aucun cas, cette mise au point ne pourra avoir pour objet de renégocier les termes du contrat et les engagements souscrits par le candidat dans le cadre de son offre.</w:t>
      </w:r>
    </w:p>
    <w:p w14:paraId="4FBC9180" w14:textId="650C9F1D" w:rsidR="00B20BB6" w:rsidRDefault="00535199">
      <w:pPr>
        <w:pStyle w:val="Titre1"/>
      </w:pPr>
      <w:bookmarkStart w:id="73" w:name="_Toc196230194"/>
      <w:r>
        <w:t>Article 1</w:t>
      </w:r>
      <w:r w:rsidR="00E6692C">
        <w:t>6</w:t>
      </w:r>
      <w:r>
        <w:t xml:space="preserve"> </w:t>
      </w:r>
      <w:r w:rsidR="004B3B78">
        <w:t>- Abandon</w:t>
      </w:r>
      <w:r>
        <w:t xml:space="preserve"> de la consultation</w:t>
      </w:r>
      <w:bookmarkEnd w:id="73"/>
    </w:p>
    <w:p w14:paraId="1026CB85" w14:textId="77777777" w:rsidR="00B20BB6" w:rsidRDefault="00535199">
      <w:pPr>
        <w:pBdr>
          <w:top w:val="nil"/>
          <w:left w:val="nil"/>
          <w:bottom w:val="nil"/>
          <w:right w:val="nil"/>
          <w:between w:val="nil"/>
        </w:pBdr>
        <w:ind w:right="225"/>
        <w:rPr>
          <w:color w:val="000000"/>
        </w:rPr>
      </w:pPr>
      <w:r>
        <w:rPr>
          <w:color w:val="000000"/>
        </w:rPr>
        <w:t>Le Concédant se réserve la faculté, à tout moment, et pour motif d’intérêt général, de ne pas donner suite à la présente consultation.</w:t>
      </w:r>
    </w:p>
    <w:p w14:paraId="3B5A75FF" w14:textId="77777777" w:rsidR="00B20BB6" w:rsidRDefault="00535199">
      <w:pPr>
        <w:pStyle w:val="Titre1"/>
      </w:pPr>
      <w:bookmarkStart w:id="74" w:name="_Toc196230195"/>
      <w:r>
        <w:t>Article 1</w:t>
      </w:r>
      <w:r w:rsidR="00E6692C">
        <w:t>7</w:t>
      </w:r>
      <w:r>
        <w:t xml:space="preserve"> - Renseignements complémentaires</w:t>
      </w:r>
      <w:bookmarkEnd w:id="74"/>
    </w:p>
    <w:p w14:paraId="186D98D2" w14:textId="77777777" w:rsidR="00B20BB6" w:rsidRDefault="00535199">
      <w:pPr>
        <w:pStyle w:val="Titre2"/>
      </w:pPr>
      <w:bookmarkStart w:id="75" w:name="_Toc196230196"/>
      <w:r>
        <w:t>1</w:t>
      </w:r>
      <w:r w:rsidR="00E6692C">
        <w:t>7</w:t>
      </w:r>
      <w:r>
        <w:t>.1 Modification de détail au dossier de consultation</w:t>
      </w:r>
      <w:bookmarkEnd w:id="75"/>
      <w:r>
        <w:t xml:space="preserve"> </w:t>
      </w:r>
    </w:p>
    <w:p w14:paraId="31AC900E" w14:textId="77777777" w:rsidR="000850E9" w:rsidRPr="002463B5" w:rsidRDefault="000850E9" w:rsidP="000850E9">
      <w:pPr>
        <w:pStyle w:val="RETRAIT3"/>
        <w:ind w:left="0"/>
      </w:pPr>
      <w:r w:rsidRPr="002463B5">
        <w:t>La personne publique contractante se réserve le droit d’apporter, au plus tard 5 jours avant la date limite fixée pour la réception des offres, des modifications de détail au dossier de consultation. Ce délai sera décompté à compter de l’envoi desdites modifications aux candidats. Si, pendant l’étude du dossier par lesdits candidats, la date fixée pour la remise est reportée, la disposition précédente est applicable en fonction de cette nouvelle date.</w:t>
      </w:r>
    </w:p>
    <w:p w14:paraId="441F2C26" w14:textId="77777777" w:rsidR="000850E9" w:rsidRPr="002463B5" w:rsidRDefault="000850E9" w:rsidP="000850E9">
      <w:pPr>
        <w:pStyle w:val="RETRAIT3"/>
      </w:pPr>
    </w:p>
    <w:p w14:paraId="7AED7715" w14:textId="74B19DB4" w:rsidR="000850E9" w:rsidRPr="002463B5" w:rsidRDefault="000850E9" w:rsidP="000850E9">
      <w:pPr>
        <w:pStyle w:val="RETRAIT3"/>
        <w:ind w:left="0"/>
      </w:pPr>
      <w:r w:rsidRPr="002463B5">
        <w:t xml:space="preserve">En fonction de la nature de ces modifications, la date limite de réception des offres pourra être repoussée. Le </w:t>
      </w:r>
      <w:r>
        <w:t>Concédant</w:t>
      </w:r>
      <w:r w:rsidRPr="002463B5">
        <w:t xml:space="preserve"> en informera tous les candidats ayant retiré un dossier de consultation, dans le respect du principe d’égalité. Les candidats devront alors répondre sur la base du dossier modifié sans pouvoir élever aucune réclamation à ce sujet.</w:t>
      </w:r>
    </w:p>
    <w:p w14:paraId="02FE5333" w14:textId="77777777" w:rsidR="000850E9" w:rsidRPr="002463B5" w:rsidRDefault="000850E9" w:rsidP="000850E9">
      <w:pPr>
        <w:pStyle w:val="RETRAIT3"/>
      </w:pPr>
    </w:p>
    <w:p w14:paraId="73E91B22" w14:textId="23447B71" w:rsidR="00D4148B" w:rsidRDefault="000850E9" w:rsidP="000850E9">
      <w:pPr>
        <w:pStyle w:val="RETRAIT3"/>
        <w:ind w:left="0"/>
      </w:pPr>
      <w:r w:rsidRPr="002463B5">
        <w:t xml:space="preserve">Dans le cas où un candidat aurait remis une offre avant les modifications, il pourra en remettre une nouvelle sur la base du dernier dossier modifié, jusqu’à la date et l’heure limites de dépôt des offres. Le </w:t>
      </w:r>
      <w:r>
        <w:t xml:space="preserve">Concédant </w:t>
      </w:r>
      <w:r w:rsidRPr="002463B5">
        <w:t>prendra alors en compte la dernière offre qui aura été déposée.</w:t>
      </w:r>
    </w:p>
    <w:p w14:paraId="0D229B77" w14:textId="4BCE372F" w:rsidR="00B20BB6" w:rsidRDefault="00535199">
      <w:pPr>
        <w:pStyle w:val="Titre2"/>
      </w:pPr>
      <w:bookmarkStart w:id="76" w:name="_Toc196230197"/>
      <w:r>
        <w:lastRenderedPageBreak/>
        <w:t>1</w:t>
      </w:r>
      <w:r w:rsidR="00E6692C">
        <w:t>7</w:t>
      </w:r>
      <w:r>
        <w:t xml:space="preserve">.2 Dispositions applicables en cas de </w:t>
      </w:r>
      <w:r w:rsidR="009D4897">
        <w:t xml:space="preserve">Concessionnaire </w:t>
      </w:r>
      <w:r>
        <w:t>Etranger</w:t>
      </w:r>
      <w:bookmarkEnd w:id="76"/>
      <w:r>
        <w:t> </w:t>
      </w:r>
    </w:p>
    <w:p w14:paraId="03B2D7C9" w14:textId="77777777" w:rsidR="00B20BB6" w:rsidRDefault="00535199">
      <w:pPr>
        <w:widowControl/>
        <w:pBdr>
          <w:top w:val="nil"/>
          <w:left w:val="nil"/>
          <w:bottom w:val="nil"/>
          <w:right w:val="nil"/>
          <w:between w:val="nil"/>
        </w:pBdr>
        <w:rPr>
          <w:color w:val="000000"/>
        </w:rPr>
      </w:pPr>
      <w:r>
        <w:rPr>
          <w:color w:val="000000"/>
        </w:rPr>
        <w:t>La loi française est seule applicable à la présente concession, en cas de litige, les tribunaux français sont seuls compétents. Tout rapport, toute documentation, toute correspondance relative à la présente concession doit être rédigé en français.</w:t>
      </w:r>
    </w:p>
    <w:p w14:paraId="7F0CEC4B" w14:textId="77777777" w:rsidR="00B20BB6" w:rsidRDefault="00535199">
      <w:pPr>
        <w:pStyle w:val="Titre2"/>
      </w:pPr>
      <w:bookmarkStart w:id="77" w:name="_Toc196230198"/>
      <w:r>
        <w:t>1</w:t>
      </w:r>
      <w:r w:rsidR="00E6692C">
        <w:t>7</w:t>
      </w:r>
      <w:r>
        <w:t>.3 Rappel des règles relatives à la concurrence</w:t>
      </w:r>
      <w:bookmarkEnd w:id="77"/>
    </w:p>
    <w:p w14:paraId="2DD1F4E1" w14:textId="77777777" w:rsidR="00B20BB6" w:rsidRDefault="00535199">
      <w:pPr>
        <w:widowControl/>
        <w:pBdr>
          <w:top w:val="nil"/>
          <w:left w:val="nil"/>
          <w:bottom w:val="nil"/>
          <w:right w:val="nil"/>
          <w:between w:val="nil"/>
        </w:pBdr>
        <w:rPr>
          <w:color w:val="000000"/>
        </w:rPr>
      </w:pPr>
      <w:r>
        <w:rPr>
          <w:color w:val="000000"/>
        </w:rPr>
        <w:t>La CCI Essonne rappelle aux sociétés qui soumissionnent que l’ordonnance n°86-1243 du 9 décembre 1986 relative à la liberté des prix et de la concurrence sanctionne les pratiques anticoncurrentielles dans ses articles 7 et suivants.</w:t>
      </w:r>
    </w:p>
    <w:p w14:paraId="6AAC2A7C" w14:textId="623A3733" w:rsidR="00B20BB6" w:rsidRDefault="00535199">
      <w:pPr>
        <w:pStyle w:val="Titre2"/>
      </w:pPr>
      <w:bookmarkStart w:id="78" w:name="_Toc196230199"/>
      <w:r>
        <w:t>1</w:t>
      </w:r>
      <w:r w:rsidR="00E6692C">
        <w:t>7</w:t>
      </w:r>
      <w:r>
        <w:t xml:space="preserve">.4 </w:t>
      </w:r>
      <w:r w:rsidR="00CC46CC">
        <w:t>Langue utilisée et u</w:t>
      </w:r>
      <w:r>
        <w:t>nité monétaire</w:t>
      </w:r>
      <w:bookmarkEnd w:id="78"/>
    </w:p>
    <w:p w14:paraId="4095BCF6" w14:textId="1CD2689D" w:rsidR="00CC46CC" w:rsidRPr="00CC46CC" w:rsidRDefault="00CC46CC" w:rsidP="00CC46CC">
      <w:r>
        <w:t xml:space="preserve">Les documents </w:t>
      </w:r>
      <w:r w:rsidRPr="00CC46CC">
        <w:t>d</w:t>
      </w:r>
      <w:r>
        <w:t>evront</w:t>
      </w:r>
      <w:r w:rsidRPr="00CC46CC">
        <w:t xml:space="preserve"> être rédigé</w:t>
      </w:r>
      <w:r>
        <w:t>s</w:t>
      </w:r>
      <w:r w:rsidRPr="00CC46CC">
        <w:t xml:space="preserve"> exclusivement en français.</w:t>
      </w:r>
    </w:p>
    <w:p w14:paraId="52AFE29F" w14:textId="77777777" w:rsidR="00CC46CC" w:rsidRDefault="00CC46CC"/>
    <w:p w14:paraId="69E6D393" w14:textId="04FC009B" w:rsidR="007049D7" w:rsidRDefault="00535199">
      <w:r>
        <w:t>Le concédant conclura la concession dans l’unité monétaire suivante : euro(s) €.</w:t>
      </w:r>
    </w:p>
    <w:p w14:paraId="574FAA42" w14:textId="77777777" w:rsidR="00B20BB6" w:rsidRDefault="00535199">
      <w:pPr>
        <w:pStyle w:val="Titre2"/>
      </w:pPr>
      <w:bookmarkStart w:id="79" w:name="_Toc196230200"/>
      <w:r>
        <w:t>1</w:t>
      </w:r>
      <w:r w:rsidR="00E6692C">
        <w:t>7</w:t>
      </w:r>
      <w:r>
        <w:t>.5 Voie et délais de recours</w:t>
      </w:r>
      <w:bookmarkEnd w:id="79"/>
    </w:p>
    <w:p w14:paraId="2643897C" w14:textId="77777777" w:rsidR="00B20BB6" w:rsidRDefault="00535199">
      <w:r>
        <w:t>Les parties mettront tout en œuvre pour trouver un accord amiable à leurs désaccords éventuels.</w:t>
      </w:r>
    </w:p>
    <w:p w14:paraId="1A133317" w14:textId="77777777" w:rsidR="00F2516B" w:rsidRDefault="00F2516B"/>
    <w:p w14:paraId="69BB72F3" w14:textId="77777777" w:rsidR="000850E9" w:rsidRDefault="000850E9" w:rsidP="000850E9">
      <w:pPr>
        <w:widowControl/>
        <w:tabs>
          <w:tab w:val="left" w:pos="709"/>
        </w:tabs>
        <w:rPr>
          <w:rFonts w:eastAsia="Times New Roman" w:cs="Arial"/>
          <w:szCs w:val="22"/>
        </w:rPr>
      </w:pPr>
      <w:r w:rsidRPr="000850E9">
        <w:rPr>
          <w:rFonts w:eastAsia="Times New Roman" w:cs="Arial"/>
          <w:szCs w:val="22"/>
        </w:rPr>
        <w:t>En cas de litige, le Tribunal Administratif de Versailles est seul compétent.</w:t>
      </w:r>
    </w:p>
    <w:p w14:paraId="30FFB6BC" w14:textId="77777777" w:rsidR="00F2516B" w:rsidRPr="000850E9" w:rsidRDefault="00F2516B" w:rsidP="000850E9">
      <w:pPr>
        <w:widowControl/>
        <w:tabs>
          <w:tab w:val="left" w:pos="709"/>
        </w:tabs>
        <w:rPr>
          <w:rFonts w:eastAsia="Times New Roman" w:cs="Arial"/>
          <w:szCs w:val="22"/>
        </w:rPr>
      </w:pPr>
    </w:p>
    <w:p w14:paraId="46F4668E" w14:textId="77777777" w:rsidR="000850E9" w:rsidRPr="000850E9" w:rsidRDefault="000850E9" w:rsidP="000850E9">
      <w:pPr>
        <w:widowControl/>
        <w:tabs>
          <w:tab w:val="left" w:pos="709"/>
        </w:tabs>
        <w:jc w:val="center"/>
        <w:rPr>
          <w:rFonts w:eastAsia="Times New Roman" w:cs="Arial"/>
          <w:szCs w:val="22"/>
        </w:rPr>
      </w:pPr>
      <w:r w:rsidRPr="000850E9">
        <w:rPr>
          <w:rFonts w:eastAsia="Times New Roman" w:cs="Arial"/>
          <w:szCs w:val="22"/>
        </w:rPr>
        <w:t>Tribunal administratif de Versailles</w:t>
      </w:r>
    </w:p>
    <w:p w14:paraId="290F284F" w14:textId="77777777" w:rsidR="000850E9" w:rsidRPr="000850E9" w:rsidRDefault="000850E9" w:rsidP="000850E9">
      <w:pPr>
        <w:widowControl/>
        <w:tabs>
          <w:tab w:val="left" w:pos="709"/>
        </w:tabs>
        <w:jc w:val="center"/>
        <w:rPr>
          <w:rFonts w:eastAsia="Times New Roman" w:cs="Arial"/>
          <w:szCs w:val="22"/>
        </w:rPr>
      </w:pPr>
      <w:r w:rsidRPr="000850E9">
        <w:rPr>
          <w:rFonts w:eastAsia="Times New Roman" w:cs="Arial"/>
          <w:szCs w:val="22"/>
        </w:rPr>
        <w:t>56 avenue de Saint Cloud</w:t>
      </w:r>
    </w:p>
    <w:p w14:paraId="458A268E" w14:textId="77777777" w:rsidR="000850E9" w:rsidRPr="000850E9" w:rsidRDefault="000850E9" w:rsidP="000850E9">
      <w:pPr>
        <w:widowControl/>
        <w:tabs>
          <w:tab w:val="left" w:pos="709"/>
        </w:tabs>
        <w:jc w:val="center"/>
        <w:rPr>
          <w:rFonts w:eastAsia="Times New Roman" w:cs="Arial"/>
          <w:szCs w:val="22"/>
        </w:rPr>
      </w:pPr>
      <w:r w:rsidRPr="000850E9">
        <w:rPr>
          <w:rFonts w:eastAsia="Times New Roman" w:cs="Arial"/>
          <w:szCs w:val="22"/>
        </w:rPr>
        <w:t>78011 Versailles</w:t>
      </w:r>
    </w:p>
    <w:p w14:paraId="5FF5F6D7" w14:textId="77777777" w:rsidR="000850E9" w:rsidRPr="000850E9" w:rsidRDefault="000850E9" w:rsidP="000850E9">
      <w:pPr>
        <w:widowControl/>
        <w:tabs>
          <w:tab w:val="left" w:pos="709"/>
        </w:tabs>
        <w:jc w:val="center"/>
        <w:rPr>
          <w:rFonts w:eastAsia="Times New Roman" w:cs="Arial"/>
          <w:szCs w:val="22"/>
        </w:rPr>
      </w:pPr>
      <w:r w:rsidRPr="000850E9">
        <w:rPr>
          <w:rFonts w:eastAsia="Times New Roman" w:cs="Arial"/>
          <w:szCs w:val="22"/>
        </w:rPr>
        <w:t xml:space="preserve">mail : </w:t>
      </w:r>
      <w:hyperlink r:id="rId16">
        <w:r w:rsidRPr="000850E9">
          <w:rPr>
            <w:rFonts w:eastAsia="Times New Roman" w:cs="Arial"/>
            <w:color w:val="0000FF"/>
            <w:szCs w:val="22"/>
            <w:u w:val="single"/>
          </w:rPr>
          <w:t>greffe.taversailles@juradm.fr</w:t>
        </w:r>
      </w:hyperlink>
    </w:p>
    <w:p w14:paraId="7A0B8D77" w14:textId="77777777" w:rsidR="000850E9" w:rsidRPr="000850E9" w:rsidRDefault="000850E9" w:rsidP="000850E9">
      <w:pPr>
        <w:widowControl/>
        <w:tabs>
          <w:tab w:val="left" w:pos="709"/>
        </w:tabs>
        <w:jc w:val="center"/>
        <w:rPr>
          <w:rFonts w:eastAsia="Times New Roman" w:cs="Arial"/>
          <w:szCs w:val="22"/>
        </w:rPr>
      </w:pPr>
      <w:r w:rsidRPr="000850E9">
        <w:rPr>
          <w:rFonts w:eastAsia="Times New Roman" w:cs="Arial"/>
          <w:szCs w:val="22"/>
        </w:rPr>
        <w:t>Tél. (+33) 1 39 20 54 00.</w:t>
      </w:r>
    </w:p>
    <w:p w14:paraId="283EF5A2" w14:textId="77777777" w:rsidR="000850E9" w:rsidRPr="000850E9" w:rsidRDefault="000850E9" w:rsidP="000850E9">
      <w:pPr>
        <w:widowControl/>
        <w:tabs>
          <w:tab w:val="left" w:pos="709"/>
        </w:tabs>
        <w:jc w:val="center"/>
        <w:rPr>
          <w:rFonts w:eastAsia="Times New Roman" w:cs="Arial"/>
          <w:szCs w:val="22"/>
        </w:rPr>
      </w:pPr>
      <w:r w:rsidRPr="000850E9">
        <w:rPr>
          <w:rFonts w:eastAsia="Times New Roman" w:cs="Arial"/>
          <w:szCs w:val="22"/>
        </w:rPr>
        <w:t>Fax (+33) 1 39 20 54 87</w:t>
      </w:r>
    </w:p>
    <w:p w14:paraId="126214CE" w14:textId="77777777" w:rsidR="000850E9" w:rsidRPr="000850E9" w:rsidRDefault="000850E9" w:rsidP="000850E9">
      <w:pPr>
        <w:widowControl/>
        <w:tabs>
          <w:tab w:val="left" w:pos="709"/>
        </w:tabs>
        <w:jc w:val="center"/>
        <w:rPr>
          <w:rFonts w:eastAsia="Times New Roman" w:cs="Arial"/>
          <w:szCs w:val="22"/>
        </w:rPr>
      </w:pPr>
      <w:r w:rsidRPr="000850E9">
        <w:rPr>
          <w:rFonts w:eastAsia="Times New Roman" w:cs="Arial"/>
          <w:szCs w:val="22"/>
        </w:rPr>
        <w:t xml:space="preserve">URL : </w:t>
      </w:r>
      <w:hyperlink r:id="rId17">
        <w:r w:rsidRPr="000850E9">
          <w:rPr>
            <w:rFonts w:eastAsia="Times New Roman" w:cs="Arial"/>
            <w:color w:val="0000FF"/>
            <w:szCs w:val="22"/>
            <w:u w:val="single"/>
          </w:rPr>
          <w:t>http://versailles.tribunal-administratif.fr</w:t>
        </w:r>
      </w:hyperlink>
    </w:p>
    <w:p w14:paraId="57C4EB37" w14:textId="77777777" w:rsidR="000850E9" w:rsidRPr="000850E9" w:rsidRDefault="000850E9" w:rsidP="000850E9">
      <w:pPr>
        <w:widowControl/>
        <w:tabs>
          <w:tab w:val="left" w:pos="709"/>
        </w:tabs>
        <w:rPr>
          <w:rFonts w:eastAsia="Times New Roman" w:cs="Arial"/>
          <w:szCs w:val="22"/>
        </w:rPr>
      </w:pPr>
    </w:p>
    <w:p w14:paraId="388088A7" w14:textId="77777777" w:rsidR="000850E9" w:rsidRPr="000850E9" w:rsidRDefault="000850E9" w:rsidP="000850E9">
      <w:pPr>
        <w:widowControl/>
        <w:numPr>
          <w:ilvl w:val="0"/>
          <w:numId w:val="33"/>
        </w:numPr>
        <w:tabs>
          <w:tab w:val="left" w:pos="709"/>
        </w:tabs>
        <w:spacing w:before="120" w:after="120"/>
        <w:contextualSpacing/>
        <w:rPr>
          <w:rFonts w:eastAsia="Times New Roman" w:cs="Arial"/>
          <w:szCs w:val="22"/>
        </w:rPr>
      </w:pPr>
      <w:r w:rsidRPr="000850E9">
        <w:rPr>
          <w:rFonts w:eastAsia="Times New Roman" w:cs="Arial"/>
          <w:szCs w:val="22"/>
        </w:rPr>
        <w:t>Référé précontractuel prévu aux articles L. 551-1 à L. 551-12 et R. 551-1 du Code de justice administrative, pouvant être exercé depuis le début de la procédure de passation jusqu'à la signature du contrat ;</w:t>
      </w:r>
    </w:p>
    <w:p w14:paraId="3607492F" w14:textId="77777777" w:rsidR="000850E9" w:rsidRPr="000850E9" w:rsidRDefault="000850E9" w:rsidP="000850E9">
      <w:pPr>
        <w:widowControl/>
        <w:tabs>
          <w:tab w:val="left" w:pos="709"/>
        </w:tabs>
        <w:ind w:left="720"/>
        <w:contextualSpacing/>
        <w:rPr>
          <w:rFonts w:eastAsia="Times New Roman" w:cs="Arial"/>
          <w:szCs w:val="22"/>
        </w:rPr>
      </w:pPr>
    </w:p>
    <w:p w14:paraId="508F53BC" w14:textId="77777777" w:rsidR="000850E9" w:rsidRPr="000850E9" w:rsidRDefault="000850E9" w:rsidP="000850E9">
      <w:pPr>
        <w:widowControl/>
        <w:numPr>
          <w:ilvl w:val="0"/>
          <w:numId w:val="33"/>
        </w:numPr>
        <w:tabs>
          <w:tab w:val="left" w:pos="709"/>
        </w:tabs>
        <w:spacing w:before="120" w:after="120"/>
        <w:contextualSpacing/>
        <w:rPr>
          <w:rFonts w:eastAsia="Times New Roman" w:cs="Arial"/>
          <w:szCs w:val="22"/>
        </w:rPr>
      </w:pPr>
      <w:r w:rsidRPr="000850E9">
        <w:rPr>
          <w:rFonts w:eastAsia="Times New Roman" w:cs="Arial"/>
          <w:szCs w:val="22"/>
        </w:rPr>
        <w:t>Référé contractuel prévu aux articles L. 551-13 à L. 551-23 du Code de justice administrative pouvant être exercé dans les délais prévus à l'article R. 551-7 du CJA ;</w:t>
      </w:r>
    </w:p>
    <w:p w14:paraId="258C2DF6" w14:textId="77777777" w:rsidR="000850E9" w:rsidRPr="000850E9" w:rsidRDefault="000850E9" w:rsidP="000850E9">
      <w:pPr>
        <w:widowControl/>
        <w:tabs>
          <w:tab w:val="left" w:pos="709"/>
        </w:tabs>
        <w:rPr>
          <w:rFonts w:eastAsia="Times New Roman" w:cs="Arial"/>
          <w:szCs w:val="22"/>
        </w:rPr>
      </w:pPr>
    </w:p>
    <w:p w14:paraId="0DCC07F8" w14:textId="77777777" w:rsidR="000850E9" w:rsidRPr="000850E9" w:rsidRDefault="000850E9" w:rsidP="000850E9">
      <w:pPr>
        <w:widowControl/>
        <w:numPr>
          <w:ilvl w:val="0"/>
          <w:numId w:val="33"/>
        </w:numPr>
        <w:tabs>
          <w:tab w:val="left" w:pos="709"/>
        </w:tabs>
        <w:spacing w:before="120" w:after="120"/>
        <w:contextualSpacing/>
        <w:rPr>
          <w:rFonts w:eastAsia="Times New Roman" w:cs="Arial"/>
          <w:szCs w:val="22"/>
        </w:rPr>
      </w:pPr>
      <w:r w:rsidRPr="000850E9">
        <w:rPr>
          <w:rFonts w:eastAsia="Times New Roman" w:cs="Arial"/>
          <w:szCs w:val="22"/>
        </w:rPr>
        <w:t>Recours de pleine juridiction ouvert aux concurrents évincés (dans un délai de 2 mois à compter de la date à laquelle la conclusion du contrat est rendue publique) ;</w:t>
      </w:r>
    </w:p>
    <w:p w14:paraId="675A6126" w14:textId="77777777" w:rsidR="000850E9" w:rsidRPr="000850E9" w:rsidRDefault="000850E9" w:rsidP="00F2516B">
      <w:pPr>
        <w:widowControl/>
        <w:tabs>
          <w:tab w:val="left" w:pos="709"/>
        </w:tabs>
        <w:rPr>
          <w:rFonts w:eastAsia="Times New Roman" w:cs="Arial"/>
          <w:szCs w:val="22"/>
        </w:rPr>
      </w:pPr>
    </w:p>
    <w:p w14:paraId="7D8CC72E" w14:textId="72F48528" w:rsidR="00CC46CC" w:rsidRPr="00AD17E9" w:rsidRDefault="000850E9" w:rsidP="00F2516B">
      <w:pPr>
        <w:widowControl/>
        <w:numPr>
          <w:ilvl w:val="0"/>
          <w:numId w:val="33"/>
        </w:numPr>
        <w:tabs>
          <w:tab w:val="left" w:pos="709"/>
        </w:tabs>
        <w:contextualSpacing/>
        <w:rPr>
          <w:rFonts w:eastAsia="Times New Roman" w:cs="Arial"/>
          <w:szCs w:val="22"/>
        </w:rPr>
      </w:pPr>
      <w:r w:rsidRPr="00AD17E9">
        <w:rPr>
          <w:rFonts w:eastAsia="Times New Roman" w:cs="Arial"/>
          <w:szCs w:val="22"/>
        </w:rPr>
        <w:t>Recours contre une décision administrative prévu aux articles R. 421-1 à R. 421-7 du CJA (dans un délai de 2 mois à compter de la notification ou publication de la décision de rejet de l'organisme).</w:t>
      </w:r>
    </w:p>
    <w:p w14:paraId="294983DD" w14:textId="1849D25B" w:rsidR="00684FCA" w:rsidRDefault="00684FCA" w:rsidP="00684FCA">
      <w:pPr>
        <w:pStyle w:val="Titre1"/>
      </w:pPr>
      <w:bookmarkStart w:id="80" w:name="_Toc196230201"/>
      <w:r>
        <w:t>Article 18 – Annexes</w:t>
      </w:r>
      <w:bookmarkEnd w:id="80"/>
    </w:p>
    <w:p w14:paraId="0C9ED1FF" w14:textId="18A2EF87" w:rsidR="00684FCA" w:rsidRPr="00684FCA" w:rsidRDefault="00684FCA" w:rsidP="00684FCA">
      <w:pPr>
        <w:widowControl/>
        <w:tabs>
          <w:tab w:val="left" w:pos="3759"/>
        </w:tabs>
        <w:rPr>
          <w:lang w:bidi="fr-FR"/>
        </w:rPr>
      </w:pPr>
      <w:r w:rsidRPr="00684FCA">
        <w:rPr>
          <w:b/>
          <w:bCs/>
          <w:u w:val="single"/>
          <w:lang w:bidi="fr-FR"/>
        </w:rPr>
        <w:t>Annexe 1</w:t>
      </w:r>
      <w:r w:rsidRPr="00684FCA">
        <w:rPr>
          <w:lang w:bidi="fr-FR"/>
        </w:rPr>
        <w:t xml:space="preserve"> : Plan </w:t>
      </w:r>
      <w:proofErr w:type="spellStart"/>
      <w:r w:rsidRPr="00684FCA">
        <w:rPr>
          <w:lang w:bidi="fr-FR"/>
        </w:rPr>
        <w:t>Techinnov</w:t>
      </w:r>
      <w:proofErr w:type="spellEnd"/>
      <w:r w:rsidRPr="00684FCA">
        <w:rPr>
          <w:lang w:bidi="fr-FR"/>
        </w:rPr>
        <w:t xml:space="preserve"> 202</w:t>
      </w:r>
      <w:r w:rsidR="00F2516B">
        <w:rPr>
          <w:lang w:bidi="fr-FR"/>
        </w:rPr>
        <w:t>5</w:t>
      </w:r>
    </w:p>
    <w:p w14:paraId="43EAD756" w14:textId="4CEB7B91" w:rsidR="00684FCA" w:rsidRPr="00684FCA" w:rsidRDefault="00684FCA" w:rsidP="00684FCA">
      <w:pPr>
        <w:widowControl/>
        <w:tabs>
          <w:tab w:val="left" w:pos="3759"/>
        </w:tabs>
        <w:rPr>
          <w:lang w:bidi="fr-FR"/>
        </w:rPr>
      </w:pPr>
      <w:bookmarkStart w:id="81" w:name="_Hlk132985512"/>
      <w:r w:rsidRPr="00684FCA">
        <w:rPr>
          <w:b/>
          <w:bCs/>
          <w:u w:val="single"/>
          <w:lang w:bidi="fr-FR"/>
        </w:rPr>
        <w:t>Annexe 2</w:t>
      </w:r>
      <w:r w:rsidRPr="00684FCA">
        <w:rPr>
          <w:lang w:bidi="fr-FR"/>
        </w:rPr>
        <w:t xml:space="preserve"> : Catalogue </w:t>
      </w:r>
      <w:bookmarkEnd w:id="81"/>
      <w:r w:rsidRPr="00684FCA">
        <w:rPr>
          <w:lang w:bidi="fr-FR"/>
        </w:rPr>
        <w:t xml:space="preserve">– Aménagements complémentaires </w:t>
      </w:r>
      <w:proofErr w:type="spellStart"/>
      <w:r w:rsidRPr="00684FCA">
        <w:rPr>
          <w:lang w:bidi="fr-FR"/>
        </w:rPr>
        <w:t>Techinnov</w:t>
      </w:r>
      <w:proofErr w:type="spellEnd"/>
      <w:r w:rsidRPr="00684FCA">
        <w:rPr>
          <w:lang w:bidi="fr-FR"/>
        </w:rPr>
        <w:t xml:space="preserve"> 202</w:t>
      </w:r>
      <w:r w:rsidR="00F2516B">
        <w:rPr>
          <w:lang w:bidi="fr-FR"/>
        </w:rPr>
        <w:t>5</w:t>
      </w:r>
    </w:p>
    <w:p w14:paraId="2353E4D2" w14:textId="1B3E5D6E" w:rsidR="00684FCA" w:rsidRPr="00684FCA" w:rsidRDefault="00684FCA" w:rsidP="00684FCA">
      <w:pPr>
        <w:widowControl/>
        <w:tabs>
          <w:tab w:val="left" w:pos="3759"/>
        </w:tabs>
        <w:rPr>
          <w:lang w:bidi="fr-FR"/>
        </w:rPr>
      </w:pPr>
      <w:r w:rsidRPr="00684FCA">
        <w:rPr>
          <w:b/>
          <w:bCs/>
          <w:u w:val="single"/>
          <w:lang w:bidi="fr-FR"/>
        </w:rPr>
        <w:t>Annexe 3</w:t>
      </w:r>
      <w:r w:rsidRPr="00684FCA">
        <w:rPr>
          <w:lang w:bidi="fr-FR"/>
        </w:rPr>
        <w:t xml:space="preserve"> : Contrat de location des espaces et charges annexes </w:t>
      </w:r>
      <w:proofErr w:type="spellStart"/>
      <w:r w:rsidRPr="00684FCA">
        <w:rPr>
          <w:lang w:bidi="fr-FR"/>
        </w:rPr>
        <w:t>Techinnov</w:t>
      </w:r>
      <w:proofErr w:type="spellEnd"/>
      <w:r w:rsidRPr="00684FCA">
        <w:rPr>
          <w:lang w:bidi="fr-FR"/>
        </w:rPr>
        <w:t xml:space="preserve"> 202</w:t>
      </w:r>
      <w:r w:rsidR="00F2516B">
        <w:rPr>
          <w:lang w:bidi="fr-FR"/>
        </w:rPr>
        <w:t>5</w:t>
      </w:r>
    </w:p>
    <w:p w14:paraId="5D13BE07" w14:textId="1EE6B49C" w:rsidR="00684FCA" w:rsidRDefault="00684FCA" w:rsidP="0015501C">
      <w:pPr>
        <w:widowControl/>
        <w:tabs>
          <w:tab w:val="left" w:pos="3759"/>
        </w:tabs>
        <w:rPr>
          <w:color w:val="000000"/>
        </w:rPr>
      </w:pPr>
      <w:r w:rsidRPr="00684FCA">
        <w:rPr>
          <w:b/>
          <w:bCs/>
          <w:u w:val="single"/>
          <w:lang w:bidi="fr-FR"/>
        </w:rPr>
        <w:t>Annexe 4</w:t>
      </w:r>
      <w:r w:rsidRPr="00684FCA">
        <w:rPr>
          <w:lang w:bidi="fr-FR"/>
        </w:rPr>
        <w:t xml:space="preserve"> : Détail des coûts de la permanence et des boitiers électriques </w:t>
      </w:r>
      <w:proofErr w:type="spellStart"/>
      <w:r w:rsidRPr="00684FCA">
        <w:rPr>
          <w:lang w:bidi="fr-FR"/>
        </w:rPr>
        <w:t>Techinnov</w:t>
      </w:r>
      <w:proofErr w:type="spellEnd"/>
      <w:r w:rsidRPr="00684FCA">
        <w:rPr>
          <w:lang w:bidi="fr-FR"/>
        </w:rPr>
        <w:t xml:space="preserve"> 202</w:t>
      </w:r>
      <w:r w:rsidR="00F2516B">
        <w:rPr>
          <w:lang w:bidi="fr-FR"/>
        </w:rPr>
        <w:t>5</w:t>
      </w:r>
    </w:p>
    <w:sectPr w:rsidR="00684FCA">
      <w:headerReference w:type="default" r:id="rId18"/>
      <w:footerReference w:type="default" r:id="rId19"/>
      <w:headerReference w:type="first" r:id="rId20"/>
      <w:footerReference w:type="first" r:id="rId21"/>
      <w:pgSz w:w="11910" w:h="16840"/>
      <w:pgMar w:top="1580" w:right="1200" w:bottom="1300" w:left="1200" w:header="0" w:footer="73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AC58BD" w14:textId="77777777" w:rsidR="00E84AE3" w:rsidRDefault="00E84AE3">
      <w:r>
        <w:separator/>
      </w:r>
    </w:p>
  </w:endnote>
  <w:endnote w:type="continuationSeparator" w:id="0">
    <w:p w14:paraId="1D9925B5" w14:textId="77777777" w:rsidR="00E84AE3" w:rsidRDefault="00E84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Italic">
    <w:altName w:val="Verdana"/>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65A2B" w14:textId="77777777" w:rsidR="00771386" w:rsidRDefault="00771386">
    <w:pPr>
      <w:pBdr>
        <w:top w:val="nil"/>
        <w:left w:val="nil"/>
        <w:bottom w:val="nil"/>
        <w:right w:val="nil"/>
        <w:between w:val="nil"/>
      </w:pBdr>
      <w:spacing w:line="14" w:lineRule="auto"/>
      <w:rPr>
        <w:color w:val="000000"/>
      </w:rPr>
    </w:pPr>
  </w:p>
  <w:p w14:paraId="6A8E118A" w14:textId="77777777" w:rsidR="00771386" w:rsidRDefault="00771386">
    <w:pPr>
      <w:pBdr>
        <w:top w:val="dashed" w:sz="4" w:space="1" w:color="000000"/>
        <w:left w:val="nil"/>
        <w:bottom w:val="nil"/>
        <w:right w:val="nil"/>
        <w:between w:val="nil"/>
      </w:pBdr>
      <w:tabs>
        <w:tab w:val="center" w:pos="4536"/>
        <w:tab w:val="right" w:pos="9072"/>
      </w:tabs>
      <w:ind w:left="7655"/>
      <w:rPr>
        <w:i/>
        <w:color w:val="000000"/>
        <w:sz w:val="16"/>
        <w:szCs w:val="16"/>
      </w:rPr>
    </w:pPr>
    <w:r>
      <w:rPr>
        <w:i/>
        <w:color w:val="000000"/>
        <w:sz w:val="16"/>
        <w:szCs w:val="16"/>
      </w:rPr>
      <w:t xml:space="preserve">Page : </w:t>
    </w:r>
    <w:r>
      <w:rPr>
        <w:i/>
        <w:color w:val="000000"/>
        <w:sz w:val="16"/>
        <w:szCs w:val="16"/>
      </w:rPr>
      <w:fldChar w:fldCharType="begin"/>
    </w:r>
    <w:r>
      <w:rPr>
        <w:i/>
        <w:color w:val="000000"/>
        <w:sz w:val="16"/>
        <w:szCs w:val="16"/>
      </w:rPr>
      <w:instrText>PAGE</w:instrText>
    </w:r>
    <w:r>
      <w:rPr>
        <w:i/>
        <w:color w:val="000000"/>
        <w:sz w:val="16"/>
        <w:szCs w:val="16"/>
      </w:rPr>
      <w:fldChar w:fldCharType="separate"/>
    </w:r>
    <w:r w:rsidR="00637009">
      <w:rPr>
        <w:i/>
        <w:noProof/>
        <w:color w:val="000000"/>
        <w:sz w:val="16"/>
        <w:szCs w:val="16"/>
      </w:rPr>
      <w:t>10</w:t>
    </w:r>
    <w:r>
      <w:rPr>
        <w:i/>
        <w:color w:val="000000"/>
        <w:sz w:val="16"/>
        <w:szCs w:val="16"/>
      </w:rPr>
      <w:fldChar w:fldCharType="end"/>
    </w:r>
    <w:r>
      <w:rPr>
        <w:i/>
        <w:color w:val="000000"/>
        <w:sz w:val="16"/>
        <w:szCs w:val="16"/>
      </w:rPr>
      <w:t>/</w:t>
    </w:r>
    <w:r>
      <w:rPr>
        <w:i/>
        <w:color w:val="000000"/>
        <w:sz w:val="16"/>
        <w:szCs w:val="16"/>
      </w:rPr>
      <w:fldChar w:fldCharType="begin"/>
    </w:r>
    <w:r>
      <w:rPr>
        <w:i/>
        <w:color w:val="000000"/>
        <w:sz w:val="16"/>
        <w:szCs w:val="16"/>
      </w:rPr>
      <w:instrText>NUMPAGES</w:instrText>
    </w:r>
    <w:r>
      <w:rPr>
        <w:i/>
        <w:color w:val="000000"/>
        <w:sz w:val="16"/>
        <w:szCs w:val="16"/>
      </w:rPr>
      <w:fldChar w:fldCharType="separate"/>
    </w:r>
    <w:r w:rsidR="00637009">
      <w:rPr>
        <w:i/>
        <w:noProof/>
        <w:color w:val="000000"/>
        <w:sz w:val="16"/>
        <w:szCs w:val="16"/>
      </w:rPr>
      <w:t>15</w:t>
    </w:r>
    <w:r>
      <w:rPr>
        <w:i/>
        <w:color w:val="000000"/>
        <w:sz w:val="16"/>
        <w:szCs w:val="16"/>
      </w:rPr>
      <w:fldChar w:fldCharType="end"/>
    </w:r>
  </w:p>
  <w:p w14:paraId="6743C6F4" w14:textId="248D99F0" w:rsidR="00771386" w:rsidRPr="00AD3E58" w:rsidRDefault="5504E08E" w:rsidP="5504E08E">
    <w:pPr>
      <w:pBdr>
        <w:top w:val="nil"/>
        <w:left w:val="nil"/>
        <w:bottom w:val="nil"/>
        <w:right w:val="nil"/>
        <w:between w:val="nil"/>
      </w:pBdr>
      <w:tabs>
        <w:tab w:val="center" w:pos="4536"/>
        <w:tab w:val="right" w:pos="9072"/>
      </w:tabs>
      <w:rPr>
        <w:b/>
        <w:bCs/>
        <w:i/>
        <w:iCs/>
        <w:color w:val="000000"/>
        <w:sz w:val="16"/>
        <w:szCs w:val="16"/>
        <w:highlight w:val="yellow"/>
      </w:rPr>
    </w:pPr>
    <w:r w:rsidRPr="5504E08E">
      <w:rPr>
        <w:i/>
        <w:iCs/>
        <w:color w:val="000000" w:themeColor="text1"/>
        <w:sz w:val="16"/>
        <w:szCs w:val="16"/>
      </w:rPr>
      <w:t xml:space="preserve">Règlement de consultation : « </w:t>
    </w:r>
    <w:bookmarkStart w:id="82" w:name="_Hlk164447447"/>
    <w:r w:rsidRPr="5504E08E">
      <w:rPr>
        <w:i/>
        <w:iCs/>
        <w:color w:val="000000" w:themeColor="text1"/>
        <w:sz w:val="16"/>
        <w:szCs w:val="16"/>
      </w:rPr>
      <w:t xml:space="preserve">Commercialisation, aménagement et gestion des inscriptions et des rendez-vous de la convention d’affaires TECHINNOV 2026 </w:t>
    </w:r>
    <w:bookmarkEnd w:id="82"/>
    <w:r w:rsidRPr="5504E08E">
      <w:rPr>
        <w:i/>
        <w:iCs/>
        <w:color w:val="000000" w:themeColor="text1"/>
        <w:sz w:val="16"/>
        <w:szCs w:val="16"/>
      </w:rPr>
      <w:t xml:space="preserve">» - </w:t>
    </w:r>
    <w:r w:rsidRPr="00E26F45">
      <w:rPr>
        <w:i/>
        <w:iCs/>
        <w:color w:val="000000" w:themeColor="text1"/>
        <w:sz w:val="16"/>
        <w:szCs w:val="16"/>
      </w:rPr>
      <w:t>CCIE-25-008</w:t>
    </w:r>
  </w:p>
  <w:p w14:paraId="2E346718" w14:textId="77777777" w:rsidR="00771386" w:rsidRDefault="0077138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A87D21" w14:textId="77777777" w:rsidR="00771386" w:rsidRDefault="00771386">
    <w:pPr>
      <w:widowControl/>
      <w:tabs>
        <w:tab w:val="center" w:pos="4536"/>
        <w:tab w:val="right" w:pos="9072"/>
      </w:tabs>
      <w:jc w:val="center"/>
      <w:rPr>
        <w:b/>
        <w:smallCaps/>
        <w:color w:val="808080"/>
        <w:sz w:val="16"/>
        <w:szCs w:val="16"/>
      </w:rPr>
    </w:pPr>
    <w:r>
      <w:rPr>
        <w:b/>
        <w:smallCaps/>
        <w:color w:val="808080"/>
        <w:sz w:val="16"/>
        <w:szCs w:val="16"/>
      </w:rPr>
      <w:t>Chambre de commerce et d’industrie de l’Essonne</w:t>
    </w:r>
  </w:p>
  <w:p w14:paraId="56D5258A" w14:textId="77777777" w:rsidR="00771386" w:rsidRDefault="00771386">
    <w:pPr>
      <w:widowControl/>
      <w:tabs>
        <w:tab w:val="center" w:pos="4536"/>
        <w:tab w:val="right" w:pos="9072"/>
      </w:tabs>
      <w:jc w:val="center"/>
      <w:rPr>
        <w:b/>
        <w:smallCaps/>
        <w:color w:val="808080"/>
        <w:sz w:val="16"/>
        <w:szCs w:val="16"/>
      </w:rPr>
    </w:pPr>
    <w:r>
      <w:rPr>
        <w:b/>
        <w:smallCaps/>
        <w:color w:val="808080"/>
        <w:sz w:val="16"/>
        <w:szCs w:val="16"/>
      </w:rPr>
      <w:t xml:space="preserve">2 cours Monseigneur </w:t>
    </w:r>
    <w:proofErr w:type="spellStart"/>
    <w:r>
      <w:rPr>
        <w:b/>
        <w:smallCaps/>
        <w:color w:val="808080"/>
        <w:sz w:val="16"/>
        <w:szCs w:val="16"/>
      </w:rPr>
      <w:t>Roméro</w:t>
    </w:r>
    <w:proofErr w:type="spellEnd"/>
  </w:p>
  <w:p w14:paraId="4A0E1512" w14:textId="77777777" w:rsidR="00771386" w:rsidRDefault="00771386">
    <w:pPr>
      <w:widowControl/>
      <w:tabs>
        <w:tab w:val="center" w:pos="4536"/>
        <w:tab w:val="right" w:pos="9072"/>
      </w:tabs>
      <w:jc w:val="center"/>
      <w:rPr>
        <w:b/>
        <w:smallCaps/>
        <w:color w:val="808080"/>
        <w:sz w:val="16"/>
        <w:szCs w:val="16"/>
      </w:rPr>
    </w:pPr>
    <w:r>
      <w:rPr>
        <w:b/>
        <w:smallCaps/>
        <w:color w:val="808080"/>
        <w:sz w:val="16"/>
        <w:szCs w:val="16"/>
      </w:rPr>
      <w:t>CS 50135</w:t>
    </w:r>
  </w:p>
  <w:p w14:paraId="194B29A2" w14:textId="77777777" w:rsidR="00771386" w:rsidRDefault="00771386">
    <w:pPr>
      <w:widowControl/>
      <w:tabs>
        <w:tab w:val="center" w:pos="4536"/>
        <w:tab w:val="right" w:pos="9072"/>
      </w:tabs>
      <w:jc w:val="center"/>
      <w:rPr>
        <w:b/>
        <w:smallCaps/>
        <w:color w:val="808080"/>
        <w:sz w:val="16"/>
        <w:szCs w:val="16"/>
      </w:rPr>
    </w:pPr>
    <w:r>
      <w:rPr>
        <w:b/>
        <w:smallCaps/>
        <w:color w:val="808080"/>
        <w:sz w:val="16"/>
        <w:szCs w:val="16"/>
      </w:rPr>
      <w:t>91004 EVRY-COURCOURONNES CEDEX</w:t>
    </w:r>
  </w:p>
  <w:p w14:paraId="7388FA60" w14:textId="77777777" w:rsidR="00771386" w:rsidRDefault="00771386">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C0CD84" w14:textId="77777777" w:rsidR="00E84AE3" w:rsidRDefault="00E84AE3">
      <w:r>
        <w:separator/>
      </w:r>
    </w:p>
  </w:footnote>
  <w:footnote w:type="continuationSeparator" w:id="0">
    <w:p w14:paraId="16B71A28" w14:textId="77777777" w:rsidR="00E84AE3" w:rsidRDefault="00E84A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70"/>
      <w:gridCol w:w="3170"/>
      <w:gridCol w:w="3170"/>
    </w:tblGrid>
    <w:tr w:rsidR="5504E08E" w14:paraId="43D3A5A5" w14:textId="77777777" w:rsidTr="5504E08E">
      <w:trPr>
        <w:trHeight w:val="300"/>
      </w:trPr>
      <w:tc>
        <w:tcPr>
          <w:tcW w:w="3170" w:type="dxa"/>
        </w:tcPr>
        <w:p w14:paraId="68FC7E39" w14:textId="4CB6E1CF" w:rsidR="5504E08E" w:rsidRDefault="5504E08E" w:rsidP="5504E08E">
          <w:pPr>
            <w:pStyle w:val="En-tte"/>
            <w:ind w:left="-115"/>
            <w:jc w:val="left"/>
          </w:pPr>
        </w:p>
      </w:tc>
      <w:tc>
        <w:tcPr>
          <w:tcW w:w="3170" w:type="dxa"/>
        </w:tcPr>
        <w:p w14:paraId="74B3C584" w14:textId="0D1EFA08" w:rsidR="5504E08E" w:rsidRDefault="5504E08E" w:rsidP="5504E08E">
          <w:pPr>
            <w:pStyle w:val="En-tte"/>
            <w:jc w:val="center"/>
          </w:pPr>
        </w:p>
      </w:tc>
      <w:tc>
        <w:tcPr>
          <w:tcW w:w="3170" w:type="dxa"/>
        </w:tcPr>
        <w:p w14:paraId="7EADAE6E" w14:textId="4BB552E4" w:rsidR="5504E08E" w:rsidRDefault="5504E08E" w:rsidP="5504E08E">
          <w:pPr>
            <w:pStyle w:val="En-tte"/>
            <w:ind w:right="-115"/>
            <w:jc w:val="right"/>
          </w:pPr>
        </w:p>
      </w:tc>
    </w:tr>
  </w:tbl>
  <w:p w14:paraId="53F26CD5" w14:textId="5A6067F7" w:rsidR="5504E08E" w:rsidRDefault="5504E08E" w:rsidP="5504E08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70"/>
      <w:gridCol w:w="3170"/>
      <w:gridCol w:w="3170"/>
    </w:tblGrid>
    <w:tr w:rsidR="5504E08E" w14:paraId="1EF969AB" w14:textId="77777777" w:rsidTr="5504E08E">
      <w:trPr>
        <w:trHeight w:val="300"/>
      </w:trPr>
      <w:tc>
        <w:tcPr>
          <w:tcW w:w="3170" w:type="dxa"/>
        </w:tcPr>
        <w:p w14:paraId="3E604463" w14:textId="2E88961C" w:rsidR="5504E08E" w:rsidRDefault="5504E08E" w:rsidP="5504E08E">
          <w:pPr>
            <w:pStyle w:val="En-tte"/>
            <w:ind w:left="-115"/>
            <w:jc w:val="left"/>
          </w:pPr>
        </w:p>
      </w:tc>
      <w:tc>
        <w:tcPr>
          <w:tcW w:w="3170" w:type="dxa"/>
        </w:tcPr>
        <w:p w14:paraId="480EE58D" w14:textId="40299150" w:rsidR="5504E08E" w:rsidRDefault="5504E08E" w:rsidP="5504E08E">
          <w:pPr>
            <w:pStyle w:val="En-tte"/>
            <w:jc w:val="center"/>
          </w:pPr>
        </w:p>
      </w:tc>
      <w:tc>
        <w:tcPr>
          <w:tcW w:w="3170" w:type="dxa"/>
        </w:tcPr>
        <w:p w14:paraId="1B85D4FB" w14:textId="4DB911E1" w:rsidR="5504E08E" w:rsidRDefault="5504E08E" w:rsidP="5504E08E">
          <w:pPr>
            <w:pStyle w:val="En-tte"/>
            <w:ind w:right="-115"/>
            <w:jc w:val="right"/>
          </w:pPr>
        </w:p>
      </w:tc>
    </w:tr>
  </w:tbl>
  <w:p w14:paraId="3054CC9B" w14:textId="57138CAE" w:rsidR="5504E08E" w:rsidRDefault="5504E08E" w:rsidP="5504E08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80FCE"/>
    <w:multiLevelType w:val="multilevel"/>
    <w:tmpl w:val="F92CA2FC"/>
    <w:lvl w:ilvl="0">
      <w:start w:val="5"/>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33113F9"/>
    <w:multiLevelType w:val="multilevel"/>
    <w:tmpl w:val="D5ACCDEC"/>
    <w:lvl w:ilvl="0">
      <w:start w:val="5"/>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61D3F13"/>
    <w:multiLevelType w:val="hybridMultilevel"/>
    <w:tmpl w:val="999CA19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7C1FE6"/>
    <w:multiLevelType w:val="multilevel"/>
    <w:tmpl w:val="FB5EDAE8"/>
    <w:lvl w:ilvl="0">
      <w:start w:val="1"/>
      <w:numFmt w:val="bullet"/>
      <w:lvlText w:val="▪"/>
      <w:lvlJc w:val="left"/>
      <w:pPr>
        <w:ind w:left="644" w:hanging="358"/>
      </w:pPr>
      <w:rPr>
        <w:rFonts w:ascii="Noto Sans Symbols" w:eastAsia="Noto Sans Symbols" w:hAnsi="Noto Sans Symbols" w:cs="Noto Sans Symbols"/>
      </w:rPr>
    </w:lvl>
    <w:lvl w:ilvl="1">
      <w:start w:val="1"/>
      <w:numFmt w:val="bullet"/>
      <w:lvlText w:val="o"/>
      <w:lvlJc w:val="left"/>
      <w:pPr>
        <w:ind w:left="1437" w:hanging="357"/>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A17471A"/>
    <w:multiLevelType w:val="hybridMultilevel"/>
    <w:tmpl w:val="CEF8804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6F07F9"/>
    <w:multiLevelType w:val="multilevel"/>
    <w:tmpl w:val="3796E2B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2FC70E0"/>
    <w:multiLevelType w:val="multilevel"/>
    <w:tmpl w:val="1FA08006"/>
    <w:lvl w:ilvl="0">
      <w:start w:val="5"/>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13652FA9"/>
    <w:multiLevelType w:val="hybridMultilevel"/>
    <w:tmpl w:val="9BC080CC"/>
    <w:lvl w:ilvl="0" w:tplc="4D121376">
      <w:start w:val="1"/>
      <w:numFmt w:val="bullet"/>
      <w:lvlText w:val="·"/>
      <w:lvlJc w:val="left"/>
      <w:pPr>
        <w:tabs>
          <w:tab w:val="num" w:pos="720"/>
        </w:tabs>
        <w:ind w:left="720" w:hanging="360"/>
      </w:pPr>
      <w:rPr>
        <w:rFonts w:ascii="Times New Roman" w:hAnsi="Times New Roman" w:cs="Times New Roman" w:hint="default"/>
      </w:rPr>
    </w:lvl>
    <w:lvl w:ilvl="1" w:tplc="9BBAB058">
      <w:start w:val="1"/>
      <w:numFmt w:val="bullet"/>
      <w:lvlText w:val=""/>
      <w:lvlJc w:val="left"/>
      <w:pPr>
        <w:tabs>
          <w:tab w:val="num" w:pos="1440"/>
        </w:tabs>
        <w:ind w:left="1440" w:hanging="360"/>
      </w:pPr>
      <w:rPr>
        <w:rFonts w:ascii="Wingdings" w:hAnsi="Wingdings" w:hint="default"/>
        <w:sz w:val="22"/>
        <w:szCs w:val="22"/>
      </w:rPr>
    </w:lvl>
    <w:lvl w:ilvl="2" w:tplc="040C0003">
      <w:start w:val="1"/>
      <w:numFmt w:val="bullet"/>
      <w:lvlText w:val="o"/>
      <w:lvlJc w:val="left"/>
      <w:pPr>
        <w:tabs>
          <w:tab w:val="num" w:pos="2160"/>
        </w:tabs>
        <w:ind w:left="2160" w:hanging="360"/>
      </w:pPr>
      <w:rPr>
        <w:rFonts w:ascii="Courier New" w:hAnsi="Courier New" w:cs="Courier New"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75465D"/>
    <w:multiLevelType w:val="multilevel"/>
    <w:tmpl w:val="5644CE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A821833"/>
    <w:multiLevelType w:val="multilevel"/>
    <w:tmpl w:val="39747F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1E642B75"/>
    <w:multiLevelType w:val="multilevel"/>
    <w:tmpl w:val="E662D070"/>
    <w:lvl w:ilvl="0">
      <w:start w:val="1"/>
      <w:numFmt w:val="bullet"/>
      <w:lvlText w:val="▪"/>
      <w:lvlJc w:val="left"/>
      <w:pPr>
        <w:ind w:left="644" w:hanging="358"/>
      </w:pPr>
      <w:rPr>
        <w:rFonts w:ascii="Noto Sans Symbols" w:eastAsia="Noto Sans Symbols" w:hAnsi="Noto Sans Symbols" w:cs="Noto Sans Symbols"/>
        <w:b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02E3404"/>
    <w:multiLevelType w:val="multilevel"/>
    <w:tmpl w:val="56649F50"/>
    <w:lvl w:ilvl="0">
      <w:start w:val="1"/>
      <w:numFmt w:val="bullet"/>
      <w:lvlText w:val="-"/>
      <w:lvlJc w:val="left"/>
      <w:pPr>
        <w:ind w:left="1352" w:hanging="360"/>
      </w:pPr>
      <w:rPr>
        <w:rFonts w:ascii="Verdana" w:eastAsia="Verdana" w:hAnsi="Verdana" w:cs="Verdana"/>
      </w:rPr>
    </w:lvl>
    <w:lvl w:ilvl="1">
      <w:start w:val="1"/>
      <w:numFmt w:val="bullet"/>
      <w:lvlText w:val="o"/>
      <w:lvlJc w:val="left"/>
      <w:pPr>
        <w:ind w:left="2006" w:hanging="360"/>
      </w:pPr>
      <w:rPr>
        <w:rFonts w:ascii="Courier New" w:eastAsia="Courier New" w:hAnsi="Courier New" w:cs="Courier New"/>
      </w:rPr>
    </w:lvl>
    <w:lvl w:ilvl="2">
      <w:start w:val="1"/>
      <w:numFmt w:val="bullet"/>
      <w:lvlText w:val="▪"/>
      <w:lvlJc w:val="left"/>
      <w:pPr>
        <w:ind w:left="2726" w:hanging="360"/>
      </w:pPr>
      <w:rPr>
        <w:rFonts w:ascii="Noto Sans Symbols" w:eastAsia="Noto Sans Symbols" w:hAnsi="Noto Sans Symbols" w:cs="Noto Sans Symbols"/>
      </w:rPr>
    </w:lvl>
    <w:lvl w:ilvl="3">
      <w:start w:val="1"/>
      <w:numFmt w:val="bullet"/>
      <w:lvlText w:val="●"/>
      <w:lvlJc w:val="left"/>
      <w:pPr>
        <w:ind w:left="3446" w:hanging="360"/>
      </w:pPr>
      <w:rPr>
        <w:rFonts w:ascii="Noto Sans Symbols" w:eastAsia="Noto Sans Symbols" w:hAnsi="Noto Sans Symbols" w:cs="Noto Sans Symbols"/>
      </w:rPr>
    </w:lvl>
    <w:lvl w:ilvl="4">
      <w:start w:val="1"/>
      <w:numFmt w:val="bullet"/>
      <w:lvlText w:val="o"/>
      <w:lvlJc w:val="left"/>
      <w:pPr>
        <w:ind w:left="4166" w:hanging="360"/>
      </w:pPr>
      <w:rPr>
        <w:rFonts w:ascii="Courier New" w:eastAsia="Courier New" w:hAnsi="Courier New" w:cs="Courier New"/>
      </w:rPr>
    </w:lvl>
    <w:lvl w:ilvl="5">
      <w:start w:val="1"/>
      <w:numFmt w:val="bullet"/>
      <w:lvlText w:val="▪"/>
      <w:lvlJc w:val="left"/>
      <w:pPr>
        <w:ind w:left="4886" w:hanging="360"/>
      </w:pPr>
      <w:rPr>
        <w:rFonts w:ascii="Noto Sans Symbols" w:eastAsia="Noto Sans Symbols" w:hAnsi="Noto Sans Symbols" w:cs="Noto Sans Symbols"/>
      </w:rPr>
    </w:lvl>
    <w:lvl w:ilvl="6">
      <w:start w:val="1"/>
      <w:numFmt w:val="bullet"/>
      <w:lvlText w:val="●"/>
      <w:lvlJc w:val="left"/>
      <w:pPr>
        <w:ind w:left="5606" w:hanging="360"/>
      </w:pPr>
      <w:rPr>
        <w:rFonts w:ascii="Noto Sans Symbols" w:eastAsia="Noto Sans Symbols" w:hAnsi="Noto Sans Symbols" w:cs="Noto Sans Symbols"/>
      </w:rPr>
    </w:lvl>
    <w:lvl w:ilvl="7">
      <w:start w:val="1"/>
      <w:numFmt w:val="bullet"/>
      <w:lvlText w:val="o"/>
      <w:lvlJc w:val="left"/>
      <w:pPr>
        <w:ind w:left="6326" w:hanging="360"/>
      </w:pPr>
      <w:rPr>
        <w:rFonts w:ascii="Courier New" w:eastAsia="Courier New" w:hAnsi="Courier New" w:cs="Courier New"/>
      </w:rPr>
    </w:lvl>
    <w:lvl w:ilvl="8">
      <w:start w:val="1"/>
      <w:numFmt w:val="bullet"/>
      <w:lvlText w:val="▪"/>
      <w:lvlJc w:val="left"/>
      <w:pPr>
        <w:ind w:left="7046" w:hanging="360"/>
      </w:pPr>
      <w:rPr>
        <w:rFonts w:ascii="Noto Sans Symbols" w:eastAsia="Noto Sans Symbols" w:hAnsi="Noto Sans Symbols" w:cs="Noto Sans Symbols"/>
      </w:rPr>
    </w:lvl>
  </w:abstractNum>
  <w:abstractNum w:abstractNumId="12" w15:restartNumberingAfterBreak="0">
    <w:nsid w:val="278E3521"/>
    <w:multiLevelType w:val="multilevel"/>
    <w:tmpl w:val="F91670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2B53415A"/>
    <w:multiLevelType w:val="multilevel"/>
    <w:tmpl w:val="D63E983E"/>
    <w:lvl w:ilvl="0">
      <w:start w:val="1"/>
      <w:numFmt w:val="bullet"/>
      <w:lvlText w:val="▪"/>
      <w:lvlJc w:val="left"/>
      <w:pPr>
        <w:ind w:left="644" w:hanging="358"/>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2D4D1CC5"/>
    <w:multiLevelType w:val="multilevel"/>
    <w:tmpl w:val="D4346CB8"/>
    <w:lvl w:ilvl="0">
      <w:start w:val="1"/>
      <w:numFmt w:val="bullet"/>
      <w:lvlText w:val="▪"/>
      <w:lvlJc w:val="left"/>
      <w:pPr>
        <w:ind w:left="644" w:hanging="358"/>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15" w15:restartNumberingAfterBreak="0">
    <w:nsid w:val="2F0C08EB"/>
    <w:multiLevelType w:val="hybridMultilevel"/>
    <w:tmpl w:val="A266B864"/>
    <w:lvl w:ilvl="0" w:tplc="7452F002">
      <w:start w:val="14"/>
      <w:numFmt w:val="bullet"/>
      <w:lvlText w:val="-"/>
      <w:lvlJc w:val="left"/>
      <w:pPr>
        <w:ind w:left="1004" w:hanging="360"/>
      </w:pPr>
      <w:rPr>
        <w:rFonts w:ascii="Verdana" w:hAnsi="Verdana" w:cs="Times New Roman" w:hint="default"/>
        <w:spacing w:val="-2"/>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6" w15:restartNumberingAfterBreak="0">
    <w:nsid w:val="33C7196A"/>
    <w:multiLevelType w:val="multilevel"/>
    <w:tmpl w:val="62167F7E"/>
    <w:lvl w:ilvl="0">
      <w:start w:val="5"/>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34845E3C"/>
    <w:multiLevelType w:val="multilevel"/>
    <w:tmpl w:val="DD28F814"/>
    <w:lvl w:ilvl="0">
      <w:start w:val="5"/>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355F9E4C"/>
    <w:multiLevelType w:val="hybridMultilevel"/>
    <w:tmpl w:val="3764845C"/>
    <w:lvl w:ilvl="0" w:tplc="48D8030A">
      <w:start w:val="8"/>
      <w:numFmt w:val="bullet"/>
      <w:lvlText w:val="-"/>
      <w:lvlJc w:val="left"/>
      <w:pPr>
        <w:ind w:left="720" w:hanging="360"/>
      </w:pPr>
      <w:rPr>
        <w:rFonts w:ascii="Verdana" w:hAnsi="Verdana" w:hint="default"/>
      </w:rPr>
    </w:lvl>
    <w:lvl w:ilvl="1" w:tplc="144AC2E0">
      <w:start w:val="1"/>
      <w:numFmt w:val="bullet"/>
      <w:lvlText w:val="o"/>
      <w:lvlJc w:val="left"/>
      <w:pPr>
        <w:ind w:left="1440" w:hanging="360"/>
      </w:pPr>
      <w:rPr>
        <w:rFonts w:ascii="Courier New" w:hAnsi="Courier New" w:hint="default"/>
      </w:rPr>
    </w:lvl>
    <w:lvl w:ilvl="2" w:tplc="A8FE9AF0">
      <w:start w:val="1"/>
      <w:numFmt w:val="bullet"/>
      <w:lvlText w:val=""/>
      <w:lvlJc w:val="left"/>
      <w:pPr>
        <w:ind w:left="2160" w:hanging="360"/>
      </w:pPr>
      <w:rPr>
        <w:rFonts w:ascii="Wingdings" w:hAnsi="Wingdings" w:hint="default"/>
      </w:rPr>
    </w:lvl>
    <w:lvl w:ilvl="3" w:tplc="59FECE3E">
      <w:start w:val="1"/>
      <w:numFmt w:val="bullet"/>
      <w:lvlText w:val=""/>
      <w:lvlJc w:val="left"/>
      <w:pPr>
        <w:ind w:left="2880" w:hanging="360"/>
      </w:pPr>
      <w:rPr>
        <w:rFonts w:ascii="Symbol" w:hAnsi="Symbol" w:hint="default"/>
      </w:rPr>
    </w:lvl>
    <w:lvl w:ilvl="4" w:tplc="D0923064">
      <w:start w:val="1"/>
      <w:numFmt w:val="bullet"/>
      <w:lvlText w:val="o"/>
      <w:lvlJc w:val="left"/>
      <w:pPr>
        <w:ind w:left="3600" w:hanging="360"/>
      </w:pPr>
      <w:rPr>
        <w:rFonts w:ascii="Courier New" w:hAnsi="Courier New" w:hint="default"/>
      </w:rPr>
    </w:lvl>
    <w:lvl w:ilvl="5" w:tplc="C60E9576">
      <w:start w:val="1"/>
      <w:numFmt w:val="bullet"/>
      <w:lvlText w:val=""/>
      <w:lvlJc w:val="left"/>
      <w:pPr>
        <w:ind w:left="4320" w:hanging="360"/>
      </w:pPr>
      <w:rPr>
        <w:rFonts w:ascii="Wingdings" w:hAnsi="Wingdings" w:hint="default"/>
      </w:rPr>
    </w:lvl>
    <w:lvl w:ilvl="6" w:tplc="464AE2DC">
      <w:start w:val="1"/>
      <w:numFmt w:val="bullet"/>
      <w:lvlText w:val=""/>
      <w:lvlJc w:val="left"/>
      <w:pPr>
        <w:ind w:left="5040" w:hanging="360"/>
      </w:pPr>
      <w:rPr>
        <w:rFonts w:ascii="Symbol" w:hAnsi="Symbol" w:hint="default"/>
      </w:rPr>
    </w:lvl>
    <w:lvl w:ilvl="7" w:tplc="9C201682">
      <w:start w:val="1"/>
      <w:numFmt w:val="bullet"/>
      <w:lvlText w:val="o"/>
      <w:lvlJc w:val="left"/>
      <w:pPr>
        <w:ind w:left="5760" w:hanging="360"/>
      </w:pPr>
      <w:rPr>
        <w:rFonts w:ascii="Courier New" w:hAnsi="Courier New" w:hint="default"/>
      </w:rPr>
    </w:lvl>
    <w:lvl w:ilvl="8" w:tplc="BC186990">
      <w:start w:val="1"/>
      <w:numFmt w:val="bullet"/>
      <w:lvlText w:val=""/>
      <w:lvlJc w:val="left"/>
      <w:pPr>
        <w:ind w:left="6480" w:hanging="360"/>
      </w:pPr>
      <w:rPr>
        <w:rFonts w:ascii="Wingdings" w:hAnsi="Wingdings" w:hint="default"/>
      </w:rPr>
    </w:lvl>
  </w:abstractNum>
  <w:abstractNum w:abstractNumId="19" w15:restartNumberingAfterBreak="0">
    <w:nsid w:val="3C2E775A"/>
    <w:multiLevelType w:val="multilevel"/>
    <w:tmpl w:val="11566756"/>
    <w:lvl w:ilvl="0">
      <w:start w:val="14"/>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3D9E2486"/>
    <w:multiLevelType w:val="hybridMultilevel"/>
    <w:tmpl w:val="E748658A"/>
    <w:lvl w:ilvl="0" w:tplc="CDD64238">
      <w:start w:val="1"/>
      <w:numFmt w:val="decimal"/>
      <w:lvlText w:val="%1."/>
      <w:lvlJc w:val="left"/>
      <w:pPr>
        <w:ind w:left="720" w:hanging="360"/>
      </w:pPr>
      <w:rPr>
        <w:b/>
        <w:color w:val="00008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3F8212DF"/>
    <w:multiLevelType w:val="multilevel"/>
    <w:tmpl w:val="566616F6"/>
    <w:lvl w:ilvl="0">
      <w:start w:val="5"/>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43C34B1F"/>
    <w:multiLevelType w:val="hybridMultilevel"/>
    <w:tmpl w:val="44A86046"/>
    <w:lvl w:ilvl="0" w:tplc="C892177A">
      <w:start w:val="1"/>
      <w:numFmt w:val="bullet"/>
      <w:lvlText w:val=""/>
      <w:lvlJc w:val="left"/>
      <w:pPr>
        <w:ind w:left="720" w:hanging="360"/>
      </w:pPr>
      <w:rPr>
        <w:rFonts w:ascii="Wingdings" w:hAnsi="Wingdings" w:hint="default"/>
        <w:sz w:val="16"/>
        <w:szCs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47C4FDC"/>
    <w:multiLevelType w:val="multilevel"/>
    <w:tmpl w:val="F8A0BC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5D041A05"/>
    <w:multiLevelType w:val="multilevel"/>
    <w:tmpl w:val="C8FAB770"/>
    <w:lvl w:ilvl="0">
      <w:start w:val="1"/>
      <w:numFmt w:val="bullet"/>
      <w:lvlText w:val="-"/>
      <w:lvlJc w:val="left"/>
      <w:pPr>
        <w:ind w:left="107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5F64402B"/>
    <w:multiLevelType w:val="hybridMultilevel"/>
    <w:tmpl w:val="097075C2"/>
    <w:lvl w:ilvl="0" w:tplc="FFFFFFFF">
      <w:start w:val="1"/>
      <w:numFmt w:val="bullet"/>
      <w:lvlText w:val="-"/>
      <w:lvlJc w:val="left"/>
      <w:pPr>
        <w:ind w:left="720" w:hanging="360"/>
      </w:pPr>
      <w:rPr>
        <w:rFonts w:ascii="Verdana" w:hAnsi="Verdan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02D69AE"/>
    <w:multiLevelType w:val="multilevel"/>
    <w:tmpl w:val="264EFC40"/>
    <w:lvl w:ilvl="0">
      <w:start w:val="11"/>
      <w:numFmt w:val="decimal"/>
      <w:lvlText w:val="%1"/>
      <w:lvlJc w:val="left"/>
      <w:pPr>
        <w:ind w:left="504" w:hanging="504"/>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5B8192B"/>
    <w:multiLevelType w:val="multilevel"/>
    <w:tmpl w:val="6C6254D4"/>
    <w:lvl w:ilvl="0">
      <w:start w:val="1"/>
      <w:numFmt w:val="bullet"/>
      <w:lvlText w:val="▪"/>
      <w:lvlJc w:val="left"/>
      <w:pPr>
        <w:ind w:left="644" w:hanging="358"/>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abstractNum w:abstractNumId="28" w15:restartNumberingAfterBreak="0">
    <w:nsid w:val="6800197D"/>
    <w:multiLevelType w:val="hybridMultilevel"/>
    <w:tmpl w:val="1FAED96E"/>
    <w:lvl w:ilvl="0" w:tplc="040C0001">
      <w:start w:val="1"/>
      <w:numFmt w:val="bullet"/>
      <w:lvlText w:val=""/>
      <w:lvlJc w:val="left"/>
      <w:pPr>
        <w:ind w:left="1495" w:hanging="360"/>
      </w:pPr>
      <w:rPr>
        <w:rFonts w:ascii="Symbol" w:hAnsi="Symbol" w:hint="default"/>
      </w:rPr>
    </w:lvl>
    <w:lvl w:ilvl="1" w:tplc="040C0003" w:tentative="1">
      <w:start w:val="1"/>
      <w:numFmt w:val="bullet"/>
      <w:lvlText w:val="o"/>
      <w:lvlJc w:val="left"/>
      <w:pPr>
        <w:ind w:left="2215" w:hanging="360"/>
      </w:pPr>
      <w:rPr>
        <w:rFonts w:ascii="Courier New" w:hAnsi="Courier New" w:cs="Courier New" w:hint="default"/>
      </w:rPr>
    </w:lvl>
    <w:lvl w:ilvl="2" w:tplc="040C0005" w:tentative="1">
      <w:start w:val="1"/>
      <w:numFmt w:val="bullet"/>
      <w:lvlText w:val=""/>
      <w:lvlJc w:val="left"/>
      <w:pPr>
        <w:ind w:left="2935" w:hanging="360"/>
      </w:pPr>
      <w:rPr>
        <w:rFonts w:ascii="Wingdings" w:hAnsi="Wingdings" w:hint="default"/>
      </w:rPr>
    </w:lvl>
    <w:lvl w:ilvl="3" w:tplc="040C0001" w:tentative="1">
      <w:start w:val="1"/>
      <w:numFmt w:val="bullet"/>
      <w:lvlText w:val=""/>
      <w:lvlJc w:val="left"/>
      <w:pPr>
        <w:ind w:left="3655" w:hanging="360"/>
      </w:pPr>
      <w:rPr>
        <w:rFonts w:ascii="Symbol" w:hAnsi="Symbol" w:hint="default"/>
      </w:rPr>
    </w:lvl>
    <w:lvl w:ilvl="4" w:tplc="040C0003" w:tentative="1">
      <w:start w:val="1"/>
      <w:numFmt w:val="bullet"/>
      <w:lvlText w:val="o"/>
      <w:lvlJc w:val="left"/>
      <w:pPr>
        <w:ind w:left="4375" w:hanging="360"/>
      </w:pPr>
      <w:rPr>
        <w:rFonts w:ascii="Courier New" w:hAnsi="Courier New" w:cs="Courier New" w:hint="default"/>
      </w:rPr>
    </w:lvl>
    <w:lvl w:ilvl="5" w:tplc="040C0005" w:tentative="1">
      <w:start w:val="1"/>
      <w:numFmt w:val="bullet"/>
      <w:lvlText w:val=""/>
      <w:lvlJc w:val="left"/>
      <w:pPr>
        <w:ind w:left="5095" w:hanging="360"/>
      </w:pPr>
      <w:rPr>
        <w:rFonts w:ascii="Wingdings" w:hAnsi="Wingdings" w:hint="default"/>
      </w:rPr>
    </w:lvl>
    <w:lvl w:ilvl="6" w:tplc="040C0001" w:tentative="1">
      <w:start w:val="1"/>
      <w:numFmt w:val="bullet"/>
      <w:lvlText w:val=""/>
      <w:lvlJc w:val="left"/>
      <w:pPr>
        <w:ind w:left="5815" w:hanging="360"/>
      </w:pPr>
      <w:rPr>
        <w:rFonts w:ascii="Symbol" w:hAnsi="Symbol" w:hint="default"/>
      </w:rPr>
    </w:lvl>
    <w:lvl w:ilvl="7" w:tplc="040C0003" w:tentative="1">
      <w:start w:val="1"/>
      <w:numFmt w:val="bullet"/>
      <w:lvlText w:val="o"/>
      <w:lvlJc w:val="left"/>
      <w:pPr>
        <w:ind w:left="6535" w:hanging="360"/>
      </w:pPr>
      <w:rPr>
        <w:rFonts w:ascii="Courier New" w:hAnsi="Courier New" w:cs="Courier New" w:hint="default"/>
      </w:rPr>
    </w:lvl>
    <w:lvl w:ilvl="8" w:tplc="040C0005" w:tentative="1">
      <w:start w:val="1"/>
      <w:numFmt w:val="bullet"/>
      <w:lvlText w:val=""/>
      <w:lvlJc w:val="left"/>
      <w:pPr>
        <w:ind w:left="7255" w:hanging="360"/>
      </w:pPr>
      <w:rPr>
        <w:rFonts w:ascii="Wingdings" w:hAnsi="Wingdings" w:hint="default"/>
      </w:rPr>
    </w:lvl>
  </w:abstractNum>
  <w:abstractNum w:abstractNumId="29" w15:restartNumberingAfterBreak="0">
    <w:nsid w:val="6A43482C"/>
    <w:multiLevelType w:val="multilevel"/>
    <w:tmpl w:val="21C28014"/>
    <w:lvl w:ilvl="0">
      <w:start w:val="1"/>
      <w:numFmt w:val="bullet"/>
      <w:lvlText w:val="▪"/>
      <w:lvlJc w:val="left"/>
      <w:pPr>
        <w:ind w:left="644" w:hanging="358"/>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6D923C98"/>
    <w:multiLevelType w:val="hybridMultilevel"/>
    <w:tmpl w:val="59546F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1C73660"/>
    <w:multiLevelType w:val="multilevel"/>
    <w:tmpl w:val="72A0EC48"/>
    <w:lvl w:ilvl="0">
      <w:start w:val="1"/>
      <w:numFmt w:val="bullet"/>
      <w:lvlText w:val="▪"/>
      <w:lvlJc w:val="left"/>
      <w:pPr>
        <w:ind w:left="643" w:hanging="360"/>
      </w:pPr>
      <w:rPr>
        <w:rFonts w:ascii="Noto Sans Symbols" w:eastAsia="Noto Sans Symbols" w:hAnsi="Noto Sans Symbols" w:cs="Noto Sans Symbols"/>
      </w:rPr>
    </w:lvl>
    <w:lvl w:ilvl="1">
      <w:start w:val="1"/>
      <w:numFmt w:val="bullet"/>
      <w:lvlText w:val="o"/>
      <w:lvlJc w:val="left"/>
      <w:pPr>
        <w:ind w:left="1363" w:hanging="359"/>
      </w:pPr>
      <w:rPr>
        <w:rFonts w:ascii="Courier New" w:eastAsia="Courier New" w:hAnsi="Courier New" w:cs="Courier New"/>
      </w:rPr>
    </w:lvl>
    <w:lvl w:ilvl="2">
      <w:start w:val="1"/>
      <w:numFmt w:val="bullet"/>
      <w:lvlText w:val="▪"/>
      <w:lvlJc w:val="left"/>
      <w:pPr>
        <w:ind w:left="2083" w:hanging="360"/>
      </w:pPr>
      <w:rPr>
        <w:rFonts w:ascii="Noto Sans Symbols" w:eastAsia="Noto Sans Symbols" w:hAnsi="Noto Sans Symbols" w:cs="Noto Sans Symbols"/>
      </w:rPr>
    </w:lvl>
    <w:lvl w:ilvl="3">
      <w:start w:val="1"/>
      <w:numFmt w:val="bullet"/>
      <w:lvlText w:val="●"/>
      <w:lvlJc w:val="left"/>
      <w:pPr>
        <w:ind w:left="2803" w:hanging="360"/>
      </w:pPr>
      <w:rPr>
        <w:rFonts w:ascii="Noto Sans Symbols" w:eastAsia="Noto Sans Symbols" w:hAnsi="Noto Sans Symbols" w:cs="Noto Sans Symbols"/>
      </w:rPr>
    </w:lvl>
    <w:lvl w:ilvl="4">
      <w:start w:val="1"/>
      <w:numFmt w:val="bullet"/>
      <w:lvlText w:val="o"/>
      <w:lvlJc w:val="left"/>
      <w:pPr>
        <w:ind w:left="3523" w:hanging="360"/>
      </w:pPr>
      <w:rPr>
        <w:rFonts w:ascii="Courier New" w:eastAsia="Courier New" w:hAnsi="Courier New" w:cs="Courier New"/>
      </w:rPr>
    </w:lvl>
    <w:lvl w:ilvl="5">
      <w:start w:val="1"/>
      <w:numFmt w:val="bullet"/>
      <w:lvlText w:val="▪"/>
      <w:lvlJc w:val="left"/>
      <w:pPr>
        <w:ind w:left="4243" w:hanging="360"/>
      </w:pPr>
      <w:rPr>
        <w:rFonts w:ascii="Noto Sans Symbols" w:eastAsia="Noto Sans Symbols" w:hAnsi="Noto Sans Symbols" w:cs="Noto Sans Symbols"/>
      </w:rPr>
    </w:lvl>
    <w:lvl w:ilvl="6">
      <w:start w:val="1"/>
      <w:numFmt w:val="bullet"/>
      <w:lvlText w:val="●"/>
      <w:lvlJc w:val="left"/>
      <w:pPr>
        <w:ind w:left="4963" w:hanging="360"/>
      </w:pPr>
      <w:rPr>
        <w:rFonts w:ascii="Noto Sans Symbols" w:eastAsia="Noto Sans Symbols" w:hAnsi="Noto Sans Symbols" w:cs="Noto Sans Symbols"/>
      </w:rPr>
    </w:lvl>
    <w:lvl w:ilvl="7">
      <w:start w:val="1"/>
      <w:numFmt w:val="bullet"/>
      <w:lvlText w:val="o"/>
      <w:lvlJc w:val="left"/>
      <w:pPr>
        <w:ind w:left="5683" w:hanging="360"/>
      </w:pPr>
      <w:rPr>
        <w:rFonts w:ascii="Courier New" w:eastAsia="Courier New" w:hAnsi="Courier New" w:cs="Courier New"/>
      </w:rPr>
    </w:lvl>
    <w:lvl w:ilvl="8">
      <w:start w:val="1"/>
      <w:numFmt w:val="bullet"/>
      <w:lvlText w:val="▪"/>
      <w:lvlJc w:val="left"/>
      <w:pPr>
        <w:ind w:left="6403" w:hanging="360"/>
      </w:pPr>
      <w:rPr>
        <w:rFonts w:ascii="Noto Sans Symbols" w:eastAsia="Noto Sans Symbols" w:hAnsi="Noto Sans Symbols" w:cs="Noto Sans Symbols"/>
      </w:rPr>
    </w:lvl>
  </w:abstractNum>
  <w:abstractNum w:abstractNumId="32" w15:restartNumberingAfterBreak="0">
    <w:nsid w:val="73FA1865"/>
    <w:multiLevelType w:val="multilevel"/>
    <w:tmpl w:val="45A406C0"/>
    <w:lvl w:ilvl="0">
      <w:start w:val="5"/>
      <w:numFmt w:val="bullet"/>
      <w:lvlText w:val="-"/>
      <w:lvlJc w:val="left"/>
      <w:pPr>
        <w:ind w:left="1004" w:hanging="360"/>
      </w:pPr>
      <w:rPr>
        <w:rFonts w:ascii="Verdana" w:eastAsia="Verdana" w:hAnsi="Verdana" w:cs="Verdana"/>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33" w15:restartNumberingAfterBreak="0">
    <w:nsid w:val="7A9B4D76"/>
    <w:multiLevelType w:val="hybridMultilevel"/>
    <w:tmpl w:val="FCA4CF0E"/>
    <w:lvl w:ilvl="0" w:tplc="7452F002">
      <w:start w:val="14"/>
      <w:numFmt w:val="bullet"/>
      <w:lvlText w:val="-"/>
      <w:lvlJc w:val="left"/>
      <w:pPr>
        <w:ind w:left="1004" w:hanging="360"/>
      </w:pPr>
      <w:rPr>
        <w:rFonts w:ascii="Verdana" w:hAnsi="Verdana" w:cs="Times New Roman" w:hint="default"/>
        <w:spacing w:val="-2"/>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4" w15:restartNumberingAfterBreak="0">
    <w:nsid w:val="7BAD6D8E"/>
    <w:multiLevelType w:val="hybridMultilevel"/>
    <w:tmpl w:val="1FEE72C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E4745F0"/>
    <w:multiLevelType w:val="multilevel"/>
    <w:tmpl w:val="7FEC1D3E"/>
    <w:lvl w:ilvl="0">
      <w:start w:val="1"/>
      <w:numFmt w:val="bullet"/>
      <w:lvlText w:val="▪"/>
      <w:lvlJc w:val="left"/>
      <w:pPr>
        <w:ind w:left="644" w:hanging="358"/>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220019879">
    <w:abstractNumId w:val="18"/>
  </w:num>
  <w:num w:numId="2" w16cid:durableId="1615868162">
    <w:abstractNumId w:val="13"/>
  </w:num>
  <w:num w:numId="3" w16cid:durableId="2123453084">
    <w:abstractNumId w:val="32"/>
  </w:num>
  <w:num w:numId="4" w16cid:durableId="843321753">
    <w:abstractNumId w:val="14"/>
  </w:num>
  <w:num w:numId="5" w16cid:durableId="815873028">
    <w:abstractNumId w:val="12"/>
  </w:num>
  <w:num w:numId="6" w16cid:durableId="127093599">
    <w:abstractNumId w:val="11"/>
  </w:num>
  <w:num w:numId="7" w16cid:durableId="448938306">
    <w:abstractNumId w:val="10"/>
  </w:num>
  <w:num w:numId="8" w16cid:durableId="1264650530">
    <w:abstractNumId w:val="29"/>
  </w:num>
  <w:num w:numId="9" w16cid:durableId="1916083309">
    <w:abstractNumId w:val="5"/>
  </w:num>
  <w:num w:numId="10" w16cid:durableId="1320186318">
    <w:abstractNumId w:val="35"/>
  </w:num>
  <w:num w:numId="11" w16cid:durableId="1958638514">
    <w:abstractNumId w:val="9"/>
  </w:num>
  <w:num w:numId="12" w16cid:durableId="673262516">
    <w:abstractNumId w:val="27"/>
  </w:num>
  <w:num w:numId="13" w16cid:durableId="1582786443">
    <w:abstractNumId w:val="31"/>
  </w:num>
  <w:num w:numId="14" w16cid:durableId="1443719004">
    <w:abstractNumId w:val="3"/>
  </w:num>
  <w:num w:numId="15" w16cid:durableId="1975863068">
    <w:abstractNumId w:val="23"/>
  </w:num>
  <w:num w:numId="16" w16cid:durableId="254899714">
    <w:abstractNumId w:val="25"/>
  </w:num>
  <w:num w:numId="17" w16cid:durableId="776364540">
    <w:abstractNumId w:val="22"/>
  </w:num>
  <w:num w:numId="18" w16cid:durableId="1882787125">
    <w:abstractNumId w:val="20"/>
  </w:num>
  <w:num w:numId="19" w16cid:durableId="1472865293">
    <w:abstractNumId w:val="15"/>
  </w:num>
  <w:num w:numId="20" w16cid:durableId="338042353">
    <w:abstractNumId w:val="33"/>
  </w:num>
  <w:num w:numId="21" w16cid:durableId="1444690779">
    <w:abstractNumId w:val="34"/>
  </w:num>
  <w:num w:numId="22" w16cid:durableId="1384020703">
    <w:abstractNumId w:val="8"/>
  </w:num>
  <w:num w:numId="23" w16cid:durableId="962732624">
    <w:abstractNumId w:val="28"/>
  </w:num>
  <w:num w:numId="24" w16cid:durableId="1669940752">
    <w:abstractNumId w:val="1"/>
  </w:num>
  <w:num w:numId="25" w16cid:durableId="838159074">
    <w:abstractNumId w:val="24"/>
  </w:num>
  <w:num w:numId="26" w16cid:durableId="1843934316">
    <w:abstractNumId w:val="30"/>
  </w:num>
  <w:num w:numId="27" w16cid:durableId="52630423">
    <w:abstractNumId w:val="7"/>
  </w:num>
  <w:num w:numId="28" w16cid:durableId="1886067003">
    <w:abstractNumId w:val="17"/>
  </w:num>
  <w:num w:numId="29" w16cid:durableId="2087721569">
    <w:abstractNumId w:val="16"/>
  </w:num>
  <w:num w:numId="30" w16cid:durableId="665012028">
    <w:abstractNumId w:val="0"/>
  </w:num>
  <w:num w:numId="31" w16cid:durableId="1781755509">
    <w:abstractNumId w:val="6"/>
  </w:num>
  <w:num w:numId="32" w16cid:durableId="1024791726">
    <w:abstractNumId w:val="2"/>
  </w:num>
  <w:num w:numId="33" w16cid:durableId="252519459">
    <w:abstractNumId w:val="4"/>
  </w:num>
  <w:num w:numId="34" w16cid:durableId="293407059">
    <w:abstractNumId w:val="21"/>
  </w:num>
  <w:num w:numId="35" w16cid:durableId="219633350">
    <w:abstractNumId w:val="19"/>
  </w:num>
  <w:num w:numId="36" w16cid:durableId="1871143645">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0BB6"/>
    <w:rsid w:val="000258CC"/>
    <w:rsid w:val="00041DC6"/>
    <w:rsid w:val="00050521"/>
    <w:rsid w:val="000850E9"/>
    <w:rsid w:val="000B7EF0"/>
    <w:rsid w:val="00117F65"/>
    <w:rsid w:val="001319C9"/>
    <w:rsid w:val="00142CC5"/>
    <w:rsid w:val="00146E3B"/>
    <w:rsid w:val="00150358"/>
    <w:rsid w:val="0015501C"/>
    <w:rsid w:val="001856BD"/>
    <w:rsid w:val="001B13F9"/>
    <w:rsid w:val="001E6710"/>
    <w:rsid w:val="00200A03"/>
    <w:rsid w:val="002468C0"/>
    <w:rsid w:val="00272CF9"/>
    <w:rsid w:val="00290CA5"/>
    <w:rsid w:val="002C1E87"/>
    <w:rsid w:val="002E0D10"/>
    <w:rsid w:val="002E4DE6"/>
    <w:rsid w:val="002E7CAA"/>
    <w:rsid w:val="002F0728"/>
    <w:rsid w:val="002F1A34"/>
    <w:rsid w:val="002F60B0"/>
    <w:rsid w:val="0032352C"/>
    <w:rsid w:val="00340907"/>
    <w:rsid w:val="00342189"/>
    <w:rsid w:val="00371736"/>
    <w:rsid w:val="00376424"/>
    <w:rsid w:val="003841F7"/>
    <w:rsid w:val="003907F4"/>
    <w:rsid w:val="003A2508"/>
    <w:rsid w:val="003D5F42"/>
    <w:rsid w:val="003E41B1"/>
    <w:rsid w:val="004045AE"/>
    <w:rsid w:val="00404FE2"/>
    <w:rsid w:val="004059F9"/>
    <w:rsid w:val="004138A0"/>
    <w:rsid w:val="00431F96"/>
    <w:rsid w:val="00435097"/>
    <w:rsid w:val="00442DFA"/>
    <w:rsid w:val="00460FB3"/>
    <w:rsid w:val="004755CC"/>
    <w:rsid w:val="004A55BF"/>
    <w:rsid w:val="004B3B78"/>
    <w:rsid w:val="004B7DA2"/>
    <w:rsid w:val="005226B2"/>
    <w:rsid w:val="005270FB"/>
    <w:rsid w:val="00530C70"/>
    <w:rsid w:val="00535199"/>
    <w:rsid w:val="00562097"/>
    <w:rsid w:val="00571B35"/>
    <w:rsid w:val="00592350"/>
    <w:rsid w:val="005A6204"/>
    <w:rsid w:val="005C3939"/>
    <w:rsid w:val="005D2BFB"/>
    <w:rsid w:val="005E7D7B"/>
    <w:rsid w:val="005F0F0F"/>
    <w:rsid w:val="00637009"/>
    <w:rsid w:val="00650A6F"/>
    <w:rsid w:val="00654471"/>
    <w:rsid w:val="006759D1"/>
    <w:rsid w:val="00682BCF"/>
    <w:rsid w:val="00684FCA"/>
    <w:rsid w:val="00691CF5"/>
    <w:rsid w:val="006E5FF8"/>
    <w:rsid w:val="007049D7"/>
    <w:rsid w:val="007160D1"/>
    <w:rsid w:val="007307E4"/>
    <w:rsid w:val="007425B7"/>
    <w:rsid w:val="00746F30"/>
    <w:rsid w:val="0075105F"/>
    <w:rsid w:val="00756A60"/>
    <w:rsid w:val="00764EAE"/>
    <w:rsid w:val="00771386"/>
    <w:rsid w:val="0079124A"/>
    <w:rsid w:val="00794E84"/>
    <w:rsid w:val="007B7044"/>
    <w:rsid w:val="00807426"/>
    <w:rsid w:val="0081476C"/>
    <w:rsid w:val="0081535E"/>
    <w:rsid w:val="00844BC1"/>
    <w:rsid w:val="008519DA"/>
    <w:rsid w:val="00872673"/>
    <w:rsid w:val="00880430"/>
    <w:rsid w:val="00881692"/>
    <w:rsid w:val="00884AC2"/>
    <w:rsid w:val="008B6F7C"/>
    <w:rsid w:val="008B7EE3"/>
    <w:rsid w:val="008D3A14"/>
    <w:rsid w:val="008D3A44"/>
    <w:rsid w:val="008D46CB"/>
    <w:rsid w:val="008F23CE"/>
    <w:rsid w:val="00921BB9"/>
    <w:rsid w:val="00935FCC"/>
    <w:rsid w:val="009844DA"/>
    <w:rsid w:val="00997D8E"/>
    <w:rsid w:val="009A66E6"/>
    <w:rsid w:val="009B1B9A"/>
    <w:rsid w:val="009B29E6"/>
    <w:rsid w:val="009B77E7"/>
    <w:rsid w:val="009C2154"/>
    <w:rsid w:val="009D4897"/>
    <w:rsid w:val="009D503F"/>
    <w:rsid w:val="009F71A6"/>
    <w:rsid w:val="00A14FFD"/>
    <w:rsid w:val="00A3246C"/>
    <w:rsid w:val="00A33595"/>
    <w:rsid w:val="00A932A9"/>
    <w:rsid w:val="00AC271D"/>
    <w:rsid w:val="00AC41B4"/>
    <w:rsid w:val="00AD17E9"/>
    <w:rsid w:val="00AD229C"/>
    <w:rsid w:val="00AD3169"/>
    <w:rsid w:val="00AD3E58"/>
    <w:rsid w:val="00AD6185"/>
    <w:rsid w:val="00B004C7"/>
    <w:rsid w:val="00B06BCB"/>
    <w:rsid w:val="00B13634"/>
    <w:rsid w:val="00B20BB6"/>
    <w:rsid w:val="00B21AFF"/>
    <w:rsid w:val="00B836F5"/>
    <w:rsid w:val="00B850D6"/>
    <w:rsid w:val="00BE7DB2"/>
    <w:rsid w:val="00BF38CA"/>
    <w:rsid w:val="00C47125"/>
    <w:rsid w:val="00C738E9"/>
    <w:rsid w:val="00CA3B4E"/>
    <w:rsid w:val="00CA49E2"/>
    <w:rsid w:val="00CB087E"/>
    <w:rsid w:val="00CB6991"/>
    <w:rsid w:val="00CC46CC"/>
    <w:rsid w:val="00CC5711"/>
    <w:rsid w:val="00CC6058"/>
    <w:rsid w:val="00D138A9"/>
    <w:rsid w:val="00D16F5A"/>
    <w:rsid w:val="00D32411"/>
    <w:rsid w:val="00D4148B"/>
    <w:rsid w:val="00D46F69"/>
    <w:rsid w:val="00D53A66"/>
    <w:rsid w:val="00DC6879"/>
    <w:rsid w:val="00DF7892"/>
    <w:rsid w:val="00E07620"/>
    <w:rsid w:val="00E26F45"/>
    <w:rsid w:val="00E2759A"/>
    <w:rsid w:val="00E31A86"/>
    <w:rsid w:val="00E501CB"/>
    <w:rsid w:val="00E55448"/>
    <w:rsid w:val="00E56788"/>
    <w:rsid w:val="00E6546D"/>
    <w:rsid w:val="00E6692C"/>
    <w:rsid w:val="00E8321C"/>
    <w:rsid w:val="00E84AE3"/>
    <w:rsid w:val="00E85160"/>
    <w:rsid w:val="00E8521C"/>
    <w:rsid w:val="00EE0970"/>
    <w:rsid w:val="00EE0C22"/>
    <w:rsid w:val="00EF42E4"/>
    <w:rsid w:val="00F12067"/>
    <w:rsid w:val="00F2516B"/>
    <w:rsid w:val="00F313D0"/>
    <w:rsid w:val="00F7424A"/>
    <w:rsid w:val="00FA3399"/>
    <w:rsid w:val="00FB0112"/>
    <w:rsid w:val="00FB422D"/>
    <w:rsid w:val="00FC1EE9"/>
    <w:rsid w:val="00FD12DE"/>
    <w:rsid w:val="00FE42CE"/>
    <w:rsid w:val="00FF391D"/>
    <w:rsid w:val="02724CDF"/>
    <w:rsid w:val="02A8CC85"/>
    <w:rsid w:val="0554C8D2"/>
    <w:rsid w:val="05F523BB"/>
    <w:rsid w:val="07E961CF"/>
    <w:rsid w:val="0DFC879F"/>
    <w:rsid w:val="13B2DA31"/>
    <w:rsid w:val="13C89F0C"/>
    <w:rsid w:val="154F3CDE"/>
    <w:rsid w:val="18EDB6A9"/>
    <w:rsid w:val="1A72AE37"/>
    <w:rsid w:val="1A800A9F"/>
    <w:rsid w:val="1AC05DB5"/>
    <w:rsid w:val="1AC71DF5"/>
    <w:rsid w:val="1B6FBD73"/>
    <w:rsid w:val="1BA7EE67"/>
    <w:rsid w:val="237D2AA5"/>
    <w:rsid w:val="2695B04E"/>
    <w:rsid w:val="26C0BE03"/>
    <w:rsid w:val="2A095D53"/>
    <w:rsid w:val="2BA79432"/>
    <w:rsid w:val="320B9170"/>
    <w:rsid w:val="3228C849"/>
    <w:rsid w:val="3276C87D"/>
    <w:rsid w:val="33801FA7"/>
    <w:rsid w:val="35448C16"/>
    <w:rsid w:val="36B34236"/>
    <w:rsid w:val="3A49FBCF"/>
    <w:rsid w:val="3A785C57"/>
    <w:rsid w:val="3DBD46D7"/>
    <w:rsid w:val="4137B857"/>
    <w:rsid w:val="47D78548"/>
    <w:rsid w:val="48CCA0BC"/>
    <w:rsid w:val="4A904346"/>
    <w:rsid w:val="50DBAA92"/>
    <w:rsid w:val="542155FB"/>
    <w:rsid w:val="550170DD"/>
    <w:rsid w:val="5504E08E"/>
    <w:rsid w:val="55690D41"/>
    <w:rsid w:val="55950CF1"/>
    <w:rsid w:val="569C806F"/>
    <w:rsid w:val="57C28DAD"/>
    <w:rsid w:val="5AC9E38D"/>
    <w:rsid w:val="5B6E1691"/>
    <w:rsid w:val="5DCD905F"/>
    <w:rsid w:val="64680C5E"/>
    <w:rsid w:val="691AABAD"/>
    <w:rsid w:val="699AE57F"/>
    <w:rsid w:val="7049B94E"/>
    <w:rsid w:val="71BB2958"/>
    <w:rsid w:val="73DC1EDC"/>
    <w:rsid w:val="751E708D"/>
    <w:rsid w:val="78B13E75"/>
    <w:rsid w:val="7AC104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838C60"/>
  <w15:docId w15:val="{62636AAF-8DC0-494A-9FB7-F72ABF3801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Verdana" w:hAnsi="Verdana" w:cs="Verdana"/>
        <w:lang w:val="fr-FR" w:eastAsia="fr-FR"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AD3E58"/>
  </w:style>
  <w:style w:type="paragraph" w:styleId="Titre1">
    <w:name w:val="heading 1"/>
    <w:basedOn w:val="Normal"/>
    <w:next w:val="Normal"/>
    <w:qFormat/>
    <w:rsid w:val="00A03394"/>
    <w:pPr>
      <w:spacing w:before="360" w:after="360"/>
      <w:outlineLvl w:val="0"/>
    </w:pPr>
    <w:rPr>
      <w:b/>
      <w:smallCaps/>
      <w:color w:val="000080"/>
      <w:sz w:val="24"/>
      <w:szCs w:val="24"/>
    </w:rPr>
  </w:style>
  <w:style w:type="paragraph" w:styleId="Titre2">
    <w:name w:val="heading 2"/>
    <w:basedOn w:val="Normal"/>
    <w:next w:val="Normal"/>
    <w:qFormat/>
    <w:rsid w:val="00E41CC0"/>
    <w:pPr>
      <w:spacing w:before="240" w:after="240"/>
      <w:outlineLvl w:val="1"/>
    </w:pPr>
    <w:rPr>
      <w:b/>
      <w:smallCaps/>
      <w:color w:val="000080"/>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keepNext/>
      <w:keepLines/>
      <w:spacing w:before="240" w:after="40"/>
      <w:outlineLvl w:val="3"/>
    </w:pPr>
    <w:rPr>
      <w:b/>
      <w:sz w:val="24"/>
      <w:szCs w:val="24"/>
    </w:rPr>
  </w:style>
  <w:style w:type="paragraph" w:styleId="Titre5">
    <w:name w:val="heading 5"/>
    <w:basedOn w:val="Normal"/>
    <w:next w:val="Normal"/>
    <w:pPr>
      <w:keepNext/>
      <w:keepLines/>
      <w:spacing w:before="220" w:after="40"/>
      <w:outlineLvl w:val="4"/>
    </w:pPr>
    <w:rPr>
      <w:b/>
      <w:sz w:val="22"/>
      <w:szCs w:val="22"/>
    </w:rPr>
  </w:style>
  <w:style w:type="paragraph" w:styleId="Titre6">
    <w:name w:val="heading 6"/>
    <w:basedOn w:val="Normal"/>
    <w:next w:val="Normal"/>
    <w:pPr>
      <w:keepNext/>
      <w:keepLines/>
      <w:spacing w:before="200" w:after="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table" w:customStyle="1" w:styleId="TableNormal0">
    <w:name w:val="Table Normal0"/>
    <w:tblPr>
      <w:tblCellMar>
        <w:top w:w="0" w:type="dxa"/>
        <w:left w:w="0" w:type="dxa"/>
        <w:bottom w:w="0" w:type="dxa"/>
        <w:right w:w="0" w:type="dxa"/>
      </w:tblCellMar>
    </w:tbl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Pr>
  </w:style>
  <w:style w:type="table" w:customStyle="1" w:styleId="a0">
    <w:basedOn w:val="TableNormal0"/>
    <w:tblPr>
      <w:tblStyleRowBandSize w:val="1"/>
      <w:tblStyleColBandSize w:val="1"/>
    </w:tblPr>
  </w:style>
  <w:style w:type="table" w:customStyle="1" w:styleId="a1">
    <w:basedOn w:val="TableNormal0"/>
    <w:tblPr>
      <w:tblStyleRowBandSize w:val="1"/>
      <w:tblStyleColBandSize w:val="1"/>
    </w:tblPr>
  </w:style>
  <w:style w:type="paragraph" w:styleId="Textedebulles">
    <w:name w:val="Balloon Text"/>
    <w:basedOn w:val="Normal"/>
    <w:link w:val="TextedebullesCar"/>
    <w:uiPriority w:val="99"/>
    <w:semiHidden/>
    <w:unhideWhenUsed/>
    <w:rsid w:val="0096174B"/>
    <w:rPr>
      <w:rFonts w:ascii="Tahoma" w:hAnsi="Tahoma" w:cs="Tahoma"/>
      <w:sz w:val="16"/>
      <w:szCs w:val="16"/>
    </w:rPr>
  </w:style>
  <w:style w:type="character" w:customStyle="1" w:styleId="TextedebullesCar">
    <w:name w:val="Texte de bulles Car"/>
    <w:basedOn w:val="Policepardfaut"/>
    <w:link w:val="Textedebulles"/>
    <w:uiPriority w:val="99"/>
    <w:semiHidden/>
    <w:rsid w:val="0096174B"/>
    <w:rPr>
      <w:rFonts w:ascii="Tahoma" w:hAnsi="Tahoma" w:cs="Tahoma"/>
      <w:sz w:val="16"/>
      <w:szCs w:val="16"/>
    </w:rPr>
  </w:style>
  <w:style w:type="paragraph" w:styleId="Paragraphedeliste">
    <w:name w:val="List Paragraph"/>
    <w:basedOn w:val="Normal"/>
    <w:link w:val="ParagraphedelisteCar"/>
    <w:uiPriority w:val="1"/>
    <w:qFormat/>
    <w:rsid w:val="0096174B"/>
    <w:pPr>
      <w:ind w:left="720"/>
      <w:contextualSpacing/>
    </w:pPr>
  </w:style>
  <w:style w:type="paragraph" w:styleId="En-tte">
    <w:name w:val="header"/>
    <w:basedOn w:val="Normal"/>
    <w:link w:val="En-tteCar"/>
    <w:uiPriority w:val="99"/>
    <w:unhideWhenUsed/>
    <w:rsid w:val="00734C49"/>
    <w:pPr>
      <w:tabs>
        <w:tab w:val="center" w:pos="4536"/>
        <w:tab w:val="right" w:pos="9072"/>
      </w:tabs>
    </w:pPr>
  </w:style>
  <w:style w:type="character" w:customStyle="1" w:styleId="En-tteCar">
    <w:name w:val="En-tête Car"/>
    <w:basedOn w:val="Policepardfaut"/>
    <w:link w:val="En-tte"/>
    <w:uiPriority w:val="99"/>
    <w:rsid w:val="00734C49"/>
  </w:style>
  <w:style w:type="paragraph" w:styleId="Pieddepage">
    <w:name w:val="footer"/>
    <w:basedOn w:val="Normal"/>
    <w:link w:val="PieddepageCar"/>
    <w:uiPriority w:val="99"/>
    <w:unhideWhenUsed/>
    <w:rsid w:val="00734C49"/>
    <w:pPr>
      <w:tabs>
        <w:tab w:val="center" w:pos="4536"/>
        <w:tab w:val="right" w:pos="9072"/>
      </w:tabs>
    </w:pPr>
  </w:style>
  <w:style w:type="character" w:customStyle="1" w:styleId="PieddepageCar">
    <w:name w:val="Pied de page Car"/>
    <w:basedOn w:val="Policepardfaut"/>
    <w:link w:val="Pieddepage"/>
    <w:uiPriority w:val="99"/>
    <w:rsid w:val="00734C49"/>
  </w:style>
  <w:style w:type="paragraph" w:styleId="TM1">
    <w:name w:val="toc 1"/>
    <w:basedOn w:val="Normal"/>
    <w:next w:val="Normal"/>
    <w:autoRedefine/>
    <w:uiPriority w:val="39"/>
    <w:unhideWhenUsed/>
    <w:rsid w:val="00651D24"/>
    <w:pPr>
      <w:spacing w:after="100"/>
    </w:pPr>
  </w:style>
  <w:style w:type="paragraph" w:styleId="TM2">
    <w:name w:val="toc 2"/>
    <w:basedOn w:val="Normal"/>
    <w:next w:val="Normal"/>
    <w:autoRedefine/>
    <w:uiPriority w:val="39"/>
    <w:unhideWhenUsed/>
    <w:rsid w:val="00651D24"/>
    <w:pPr>
      <w:spacing w:after="100"/>
      <w:ind w:left="200"/>
    </w:pPr>
  </w:style>
  <w:style w:type="character" w:styleId="Lienhypertexte">
    <w:name w:val="Hyperlink"/>
    <w:basedOn w:val="Policepardfaut"/>
    <w:uiPriority w:val="99"/>
    <w:unhideWhenUsed/>
    <w:rsid w:val="00651D24"/>
    <w:rPr>
      <w:color w:val="0000FF" w:themeColor="hyperlink"/>
      <w:u w:val="single"/>
    </w:rPr>
  </w:style>
  <w:style w:type="table" w:customStyle="1" w:styleId="a2">
    <w:basedOn w:val="TableNormal0"/>
    <w:tblPr>
      <w:tblStyleRowBandSize w:val="1"/>
      <w:tblStyleColBandSize w:val="1"/>
    </w:tblPr>
  </w:style>
  <w:style w:type="table" w:customStyle="1" w:styleId="a3">
    <w:basedOn w:val="TableNormal0"/>
    <w:tblPr>
      <w:tblStyleRowBandSize w:val="1"/>
      <w:tblStyleColBandSize w:val="1"/>
    </w:tblPr>
  </w:style>
  <w:style w:type="table" w:customStyle="1" w:styleId="a4">
    <w:basedOn w:val="TableNormal0"/>
    <w:tblPr>
      <w:tblStyleRowBandSize w:val="1"/>
      <w:tblStyleColBandSize w:val="1"/>
    </w:tblPr>
  </w:style>
  <w:style w:type="paragraph" w:styleId="NormalWeb">
    <w:name w:val="Normal (Web)"/>
    <w:basedOn w:val="Normal"/>
    <w:rsid w:val="00A33595"/>
    <w:pPr>
      <w:widowControl/>
      <w:spacing w:before="100" w:beforeAutospacing="1" w:after="100" w:afterAutospacing="1"/>
      <w:jc w:val="left"/>
    </w:pPr>
    <w:rPr>
      <w:rFonts w:eastAsia="Times New Roman" w:cs="Times New Roman"/>
      <w:sz w:val="24"/>
      <w:szCs w:val="24"/>
    </w:rPr>
  </w:style>
  <w:style w:type="character" w:styleId="Marquedecommentaire">
    <w:name w:val="annotation reference"/>
    <w:basedOn w:val="Policepardfaut"/>
    <w:uiPriority w:val="99"/>
    <w:semiHidden/>
    <w:unhideWhenUsed/>
    <w:rsid w:val="00637009"/>
    <w:rPr>
      <w:sz w:val="16"/>
      <w:szCs w:val="16"/>
    </w:rPr>
  </w:style>
  <w:style w:type="paragraph" w:styleId="Commentaire">
    <w:name w:val="annotation text"/>
    <w:basedOn w:val="Normal"/>
    <w:link w:val="CommentaireCar"/>
    <w:uiPriority w:val="99"/>
    <w:semiHidden/>
    <w:unhideWhenUsed/>
    <w:rsid w:val="00637009"/>
  </w:style>
  <w:style w:type="character" w:customStyle="1" w:styleId="CommentaireCar">
    <w:name w:val="Commentaire Car"/>
    <w:basedOn w:val="Policepardfaut"/>
    <w:link w:val="Commentaire"/>
    <w:uiPriority w:val="99"/>
    <w:semiHidden/>
    <w:rsid w:val="00637009"/>
  </w:style>
  <w:style w:type="paragraph" w:styleId="Objetducommentaire">
    <w:name w:val="annotation subject"/>
    <w:basedOn w:val="Commentaire"/>
    <w:next w:val="Commentaire"/>
    <w:link w:val="ObjetducommentaireCar"/>
    <w:uiPriority w:val="99"/>
    <w:semiHidden/>
    <w:unhideWhenUsed/>
    <w:rsid w:val="00637009"/>
    <w:rPr>
      <w:b/>
      <w:bCs/>
    </w:rPr>
  </w:style>
  <w:style w:type="character" w:customStyle="1" w:styleId="ObjetducommentaireCar">
    <w:name w:val="Objet du commentaire Car"/>
    <w:basedOn w:val="CommentaireCar"/>
    <w:link w:val="Objetducommentaire"/>
    <w:uiPriority w:val="99"/>
    <w:semiHidden/>
    <w:rsid w:val="00637009"/>
    <w:rPr>
      <w:b/>
      <w:bCs/>
    </w:rPr>
  </w:style>
  <w:style w:type="character" w:customStyle="1" w:styleId="ParagraphedelisteCar">
    <w:name w:val="Paragraphe de liste Car"/>
    <w:link w:val="Paragraphedeliste"/>
    <w:uiPriority w:val="34"/>
    <w:rsid w:val="00654471"/>
  </w:style>
  <w:style w:type="paragraph" w:customStyle="1" w:styleId="RETRAIT3">
    <w:name w:val="RETRAIT3"/>
    <w:basedOn w:val="Normal"/>
    <w:autoRedefine/>
    <w:rsid w:val="000850E9"/>
    <w:pPr>
      <w:widowControl/>
      <w:ind w:left="567"/>
    </w:pPr>
    <w:rPr>
      <w:rFonts w:eastAsia="Times New Roman" w:cs="Arial"/>
      <w:szCs w:val="22"/>
    </w:rPr>
  </w:style>
  <w:style w:type="character" w:styleId="Mentionnonrsolue">
    <w:name w:val="Unresolved Mention"/>
    <w:basedOn w:val="Policepardfaut"/>
    <w:uiPriority w:val="99"/>
    <w:semiHidden/>
    <w:unhideWhenUsed/>
    <w:rsid w:val="00F2516B"/>
    <w:rPr>
      <w:color w:val="605E5C"/>
      <w:shd w:val="clear" w:color="auto" w:fill="E1DFDD"/>
    </w:rPr>
  </w:style>
  <w:style w:type="table" w:styleId="Grilledutableau">
    <w:name w:val="Table Grid"/>
    <w:basedOn w:val="Tableau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hyperlink" Target="http://versailles.tribunal-administratif.fr" TargetMode="External"/><Relationship Id="rId2" Type="http://schemas.openxmlformats.org/officeDocument/2006/relationships/numbering" Target="numbering.xml"/><Relationship Id="rId16" Type="http://schemas.openxmlformats.org/officeDocument/2006/relationships/hyperlink" Target="mailto:greffe.taversailles@juradm.fr"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es-publics.gouv.fr" TargetMode="External"/><Relationship Id="rId5" Type="http://schemas.openxmlformats.org/officeDocument/2006/relationships/webSettings" Target="webSettings.xml"/><Relationship Id="rId15" Type="http://schemas.openxmlformats.org/officeDocument/2006/relationships/hyperlink" Target="https://www.marches-publics.gouv.fr" TargetMode="External"/><Relationship Id="rId23" Type="http://schemas.openxmlformats.org/officeDocument/2006/relationships/theme" Target="theme/theme1.xml"/><Relationship Id="rId10" Type="http://schemas.openxmlformats.org/officeDocument/2006/relationships/hyperlink" Target="http://www.marches-publics.gouv.f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marches-publics.gouv.fr" TargetMode="External"/><Relationship Id="rId14" Type="http://schemas.openxmlformats.org/officeDocument/2006/relationships/hyperlink" Target="https://www.marches-publics.gouv.f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hsDczSWOsWrysKjNETj/ZIfqs6A==">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</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18</Pages>
  <Words>6852</Words>
  <Characters>37690</Characters>
  <Application>Microsoft Office Word</Application>
  <DocSecurity>0</DocSecurity>
  <Lines>314</Lines>
  <Paragraphs>88</Paragraphs>
  <ScaleCrop>false</ScaleCrop>
  <HeadingPairs>
    <vt:vector size="2" baseType="variant">
      <vt:variant>
        <vt:lpstr>Titre</vt:lpstr>
      </vt:variant>
      <vt:variant>
        <vt:i4>1</vt:i4>
      </vt:variant>
    </vt:vector>
  </HeadingPairs>
  <TitlesOfParts>
    <vt:vector size="1" baseType="lpstr">
      <vt:lpstr/>
    </vt:vector>
  </TitlesOfParts>
  <Company>CCIR</Company>
  <LinksUpToDate>false</LinksUpToDate>
  <CharactersWithSpaces>44454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 Aurelie</dc:creator>
  <cp:lastModifiedBy>COLOMBIES Celine</cp:lastModifiedBy>
  <cp:revision>33</cp:revision>
  <cp:lastPrinted>2024-04-23T13:43:00Z</cp:lastPrinted>
  <dcterms:created xsi:type="dcterms:W3CDTF">2024-04-12T08:44:00Z</dcterms:created>
  <dcterms:modified xsi:type="dcterms:W3CDTF">2025-04-22T14:07:00Z</dcterms:modified>
</cp:coreProperties>
</file>