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737" w:rsidRPr="00A071EF" w:rsidRDefault="00D45994" w:rsidP="00A071EF">
      <w:pPr>
        <w:spacing w:after="0" w:line="240" w:lineRule="auto"/>
        <w:jc w:val="center"/>
        <w:rPr>
          <w:b/>
          <w:sz w:val="24"/>
        </w:rPr>
      </w:pPr>
      <w:r w:rsidRPr="00A071EF">
        <w:rPr>
          <w:b/>
          <w:sz w:val="24"/>
        </w:rPr>
        <w:t xml:space="preserve">FOURNITURE </w:t>
      </w:r>
      <w:r w:rsidR="00850E8C">
        <w:rPr>
          <w:b/>
          <w:sz w:val="24"/>
        </w:rPr>
        <w:t xml:space="preserve">D’ARTICLES </w:t>
      </w:r>
      <w:r w:rsidR="000068AF">
        <w:rPr>
          <w:b/>
          <w:sz w:val="24"/>
        </w:rPr>
        <w:t>HYGIENE A USAGE UNIQUE</w:t>
      </w:r>
    </w:p>
    <w:p w:rsidR="00D45994" w:rsidRPr="00A071EF" w:rsidRDefault="00D45994" w:rsidP="00A071EF">
      <w:pPr>
        <w:spacing w:after="0" w:line="240" w:lineRule="auto"/>
        <w:jc w:val="center"/>
        <w:rPr>
          <w:u w:val="single"/>
        </w:rPr>
      </w:pPr>
      <w:r w:rsidRPr="00A071EF">
        <w:rPr>
          <w:u w:val="single"/>
        </w:rPr>
        <w:t>Note de présentation</w:t>
      </w:r>
    </w:p>
    <w:p w:rsidR="00D45994" w:rsidRPr="001C6DEC" w:rsidRDefault="00D45994" w:rsidP="00D45994">
      <w:pPr>
        <w:spacing w:after="0" w:line="240" w:lineRule="auto"/>
        <w:rPr>
          <w:sz w:val="16"/>
        </w:rPr>
      </w:pPr>
    </w:p>
    <w:p w:rsidR="00A071EF" w:rsidRDefault="00A071EF" w:rsidP="002F675F">
      <w:pPr>
        <w:shd w:val="clear" w:color="auto" w:fill="DEEAF6" w:themeFill="accent5" w:themeFillTint="33"/>
        <w:spacing w:after="0" w:line="240" w:lineRule="auto"/>
      </w:pPr>
      <w:r>
        <w:t>PRESENTATION DU MARCHE ACTUEL</w:t>
      </w:r>
    </w:p>
    <w:p w:rsidR="00A071EF" w:rsidRPr="001C6DEC" w:rsidRDefault="00A071EF" w:rsidP="00D45994">
      <w:pPr>
        <w:spacing w:after="0" w:line="240" w:lineRule="auto"/>
        <w:rPr>
          <w:sz w:val="16"/>
        </w:rPr>
      </w:pPr>
    </w:p>
    <w:p w:rsidR="00850E8C" w:rsidRDefault="00850E8C" w:rsidP="000A506F">
      <w:pPr>
        <w:spacing w:after="0" w:line="240" w:lineRule="auto"/>
        <w:jc w:val="both"/>
      </w:pPr>
      <w:r>
        <w:t xml:space="preserve">Pour la fourniture d’articles </w:t>
      </w:r>
      <w:r w:rsidR="000068AF">
        <w:t>hygiène à usage unique</w:t>
      </w:r>
      <w:r>
        <w:t xml:space="preserve"> le GHT Haute Garonne Tarn Ouest </w:t>
      </w:r>
      <w:r w:rsidR="000068AF">
        <w:t xml:space="preserve">a </w:t>
      </w:r>
      <w:r>
        <w:t xml:space="preserve">recours aux marchés disponibles en centrale d’achat (UNIHA). </w:t>
      </w:r>
    </w:p>
    <w:p w:rsidR="00850E8C" w:rsidRDefault="00850E8C" w:rsidP="000A506F">
      <w:pPr>
        <w:spacing w:after="0" w:line="240" w:lineRule="auto"/>
        <w:jc w:val="both"/>
      </w:pPr>
      <w:r>
        <w:t>Pour les besoins plus spécifiques qui ne sont pas couverts par les marchés UNIHA, il est nécessaire d</w:t>
      </w:r>
      <w:r w:rsidR="00866C19">
        <w:t xml:space="preserve">’avoir à disposition des marchés en propre. Ces marchés permettent également de répondre aux besoins particuliers des </w:t>
      </w:r>
      <w:r w:rsidR="000068AF">
        <w:t>blocs opératoires</w:t>
      </w:r>
      <w:r w:rsidR="00866C19">
        <w:t>.</w:t>
      </w:r>
    </w:p>
    <w:p w:rsidR="00866C19" w:rsidRDefault="00866C19" w:rsidP="000A506F">
      <w:pPr>
        <w:spacing w:after="0" w:line="240" w:lineRule="auto"/>
        <w:jc w:val="both"/>
      </w:pPr>
      <w:r>
        <w:t>C’est ainsi, que le GHT dispose des marchés</w:t>
      </w:r>
      <w:r w:rsidR="001322DD">
        <w:t xml:space="preserve"> locaux</w:t>
      </w:r>
      <w:r>
        <w:t xml:space="preserve"> ci-dessous :</w:t>
      </w:r>
    </w:p>
    <w:p w:rsidR="000D511F" w:rsidRDefault="000D511F" w:rsidP="000A506F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5741"/>
        <w:gridCol w:w="1843"/>
        <w:gridCol w:w="1417"/>
      </w:tblGrid>
      <w:tr w:rsidR="00992091" w:rsidRPr="00A409B5" w:rsidTr="00E22513">
        <w:trPr>
          <w:trHeight w:val="582"/>
          <w:jc w:val="center"/>
        </w:trPr>
        <w:tc>
          <w:tcPr>
            <w:tcW w:w="1129" w:type="dxa"/>
            <w:shd w:val="clear" w:color="auto" w:fill="DEEAF6" w:themeFill="accent5" w:themeFillTint="33"/>
            <w:noWrap/>
            <w:vAlign w:val="center"/>
            <w:hideMark/>
          </w:tcPr>
          <w:p w:rsidR="00A409B5" w:rsidRPr="00A409B5" w:rsidRDefault="000068AF" w:rsidP="009920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Marché</w:t>
            </w:r>
          </w:p>
        </w:tc>
        <w:tc>
          <w:tcPr>
            <w:tcW w:w="5741" w:type="dxa"/>
            <w:shd w:val="clear" w:color="auto" w:fill="DEEAF6" w:themeFill="accent5" w:themeFillTint="33"/>
            <w:noWrap/>
            <w:vAlign w:val="center"/>
            <w:hideMark/>
          </w:tcPr>
          <w:p w:rsidR="00A409B5" w:rsidRPr="00A409B5" w:rsidRDefault="00A409B5" w:rsidP="00992091">
            <w:pPr>
              <w:jc w:val="center"/>
              <w:rPr>
                <w:b/>
                <w:bCs/>
              </w:rPr>
            </w:pPr>
            <w:r w:rsidRPr="00A409B5">
              <w:rPr>
                <w:b/>
                <w:bCs/>
              </w:rPr>
              <w:t>Libellé</w:t>
            </w:r>
          </w:p>
        </w:tc>
        <w:tc>
          <w:tcPr>
            <w:tcW w:w="1843" w:type="dxa"/>
            <w:shd w:val="clear" w:color="auto" w:fill="DEEAF6" w:themeFill="accent5" w:themeFillTint="33"/>
            <w:noWrap/>
            <w:vAlign w:val="center"/>
            <w:hideMark/>
          </w:tcPr>
          <w:p w:rsidR="00A409B5" w:rsidRPr="00A409B5" w:rsidRDefault="00A409B5" w:rsidP="00992091">
            <w:pPr>
              <w:jc w:val="center"/>
              <w:rPr>
                <w:b/>
                <w:bCs/>
              </w:rPr>
            </w:pPr>
            <w:r w:rsidRPr="00A409B5">
              <w:rPr>
                <w:b/>
                <w:bCs/>
              </w:rPr>
              <w:t>Titulaire actuel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  <w:hideMark/>
          </w:tcPr>
          <w:p w:rsidR="00A409B5" w:rsidRPr="00A409B5" w:rsidRDefault="00A409B5" w:rsidP="00992091">
            <w:pPr>
              <w:jc w:val="center"/>
              <w:rPr>
                <w:b/>
                <w:bCs/>
              </w:rPr>
            </w:pPr>
            <w:r w:rsidRPr="00A409B5">
              <w:rPr>
                <w:b/>
                <w:bCs/>
              </w:rPr>
              <w:t>CA moyen annuel TTC</w:t>
            </w:r>
          </w:p>
        </w:tc>
      </w:tr>
      <w:tr w:rsidR="00992091" w:rsidRPr="00A409B5" w:rsidTr="000068AF">
        <w:trPr>
          <w:trHeight w:val="300"/>
          <w:jc w:val="center"/>
        </w:trPr>
        <w:tc>
          <w:tcPr>
            <w:tcW w:w="1129" w:type="dxa"/>
            <w:noWrap/>
            <w:hideMark/>
          </w:tcPr>
          <w:p w:rsidR="00A409B5" w:rsidRPr="00A409B5" w:rsidRDefault="000068AF" w:rsidP="00A409B5">
            <w:r>
              <w:t>21-0832</w:t>
            </w:r>
          </w:p>
        </w:tc>
        <w:tc>
          <w:tcPr>
            <w:tcW w:w="5741" w:type="dxa"/>
            <w:noWrap/>
            <w:hideMark/>
          </w:tcPr>
          <w:p w:rsidR="00A409B5" w:rsidRPr="00A409B5" w:rsidRDefault="000068AF" w:rsidP="00A409B5">
            <w:r>
              <w:t>Protège draps</w:t>
            </w:r>
          </w:p>
        </w:tc>
        <w:tc>
          <w:tcPr>
            <w:tcW w:w="1843" w:type="dxa"/>
            <w:noWrap/>
            <w:hideMark/>
          </w:tcPr>
          <w:p w:rsidR="00A409B5" w:rsidRPr="00A409B5" w:rsidRDefault="000068AF" w:rsidP="00992091">
            <w:pPr>
              <w:jc w:val="center"/>
            </w:pPr>
            <w:r>
              <w:t>HARTMANN</w:t>
            </w:r>
          </w:p>
        </w:tc>
        <w:tc>
          <w:tcPr>
            <w:tcW w:w="1417" w:type="dxa"/>
            <w:noWrap/>
            <w:hideMark/>
          </w:tcPr>
          <w:p w:rsidR="00A409B5" w:rsidRPr="00A409B5" w:rsidRDefault="00A409B5" w:rsidP="00992091">
            <w:pPr>
              <w:jc w:val="right"/>
            </w:pPr>
            <w:r w:rsidRPr="00A409B5">
              <w:t xml:space="preserve"> </w:t>
            </w:r>
            <w:r w:rsidR="000068AF">
              <w:t>18 600</w:t>
            </w:r>
            <w:r w:rsidRPr="00A409B5">
              <w:t xml:space="preserve">,00 € </w:t>
            </w:r>
          </w:p>
        </w:tc>
      </w:tr>
      <w:tr w:rsidR="00992091" w:rsidRPr="00A409B5" w:rsidTr="000068AF">
        <w:trPr>
          <w:trHeight w:val="300"/>
          <w:jc w:val="center"/>
        </w:trPr>
        <w:tc>
          <w:tcPr>
            <w:tcW w:w="1129" w:type="dxa"/>
            <w:noWrap/>
            <w:hideMark/>
          </w:tcPr>
          <w:p w:rsidR="00A409B5" w:rsidRPr="00A409B5" w:rsidRDefault="000068AF" w:rsidP="00A409B5">
            <w:r>
              <w:t>21-0833</w:t>
            </w:r>
          </w:p>
        </w:tc>
        <w:tc>
          <w:tcPr>
            <w:tcW w:w="5741" w:type="dxa"/>
            <w:noWrap/>
            <w:hideMark/>
          </w:tcPr>
          <w:p w:rsidR="00A409B5" w:rsidRPr="00A409B5" w:rsidRDefault="000068AF" w:rsidP="00A409B5">
            <w:r>
              <w:t>Alèse absorbante</w:t>
            </w:r>
            <w:r w:rsidR="00A409B5" w:rsidRPr="00A409B5">
              <w:t xml:space="preserve"> </w:t>
            </w:r>
          </w:p>
        </w:tc>
        <w:tc>
          <w:tcPr>
            <w:tcW w:w="1843" w:type="dxa"/>
            <w:noWrap/>
            <w:hideMark/>
          </w:tcPr>
          <w:p w:rsidR="00A409B5" w:rsidRPr="00A409B5" w:rsidRDefault="000068AF" w:rsidP="00992091">
            <w:pPr>
              <w:jc w:val="center"/>
            </w:pPr>
            <w:r>
              <w:t>MEDLINE</w:t>
            </w:r>
          </w:p>
        </w:tc>
        <w:tc>
          <w:tcPr>
            <w:tcW w:w="1417" w:type="dxa"/>
            <w:noWrap/>
            <w:hideMark/>
          </w:tcPr>
          <w:p w:rsidR="00A409B5" w:rsidRPr="00A409B5" w:rsidRDefault="000068AF" w:rsidP="00992091">
            <w:pPr>
              <w:jc w:val="right"/>
            </w:pPr>
            <w:r>
              <w:t>12</w:t>
            </w:r>
            <w:r w:rsidR="00992091">
              <w:t> 000.00 €</w:t>
            </w:r>
          </w:p>
        </w:tc>
      </w:tr>
      <w:tr w:rsidR="00992091" w:rsidRPr="00A409B5" w:rsidTr="000068AF">
        <w:trPr>
          <w:trHeight w:val="300"/>
          <w:jc w:val="center"/>
        </w:trPr>
        <w:tc>
          <w:tcPr>
            <w:tcW w:w="1129" w:type="dxa"/>
            <w:noWrap/>
            <w:hideMark/>
          </w:tcPr>
          <w:p w:rsidR="00A409B5" w:rsidRPr="00A409B5" w:rsidRDefault="000068AF" w:rsidP="00A409B5">
            <w:r>
              <w:t>21-0834</w:t>
            </w:r>
          </w:p>
        </w:tc>
        <w:tc>
          <w:tcPr>
            <w:tcW w:w="5741" w:type="dxa"/>
            <w:noWrap/>
            <w:hideMark/>
          </w:tcPr>
          <w:p w:rsidR="00A409B5" w:rsidRPr="00A409B5" w:rsidRDefault="000068AF" w:rsidP="00A409B5">
            <w:r>
              <w:t>Tapis absorbant</w:t>
            </w:r>
            <w:r w:rsidR="00A409B5" w:rsidRPr="00A409B5">
              <w:t xml:space="preserve"> </w:t>
            </w:r>
          </w:p>
        </w:tc>
        <w:tc>
          <w:tcPr>
            <w:tcW w:w="1843" w:type="dxa"/>
            <w:noWrap/>
            <w:hideMark/>
          </w:tcPr>
          <w:p w:rsidR="00A409B5" w:rsidRPr="00A409B5" w:rsidRDefault="000068AF" w:rsidP="00992091">
            <w:pPr>
              <w:jc w:val="center"/>
            </w:pPr>
            <w:r>
              <w:t>CG MEDICAL</w:t>
            </w:r>
          </w:p>
        </w:tc>
        <w:tc>
          <w:tcPr>
            <w:tcW w:w="1417" w:type="dxa"/>
            <w:noWrap/>
            <w:hideMark/>
          </w:tcPr>
          <w:p w:rsidR="00A409B5" w:rsidRPr="00A409B5" w:rsidRDefault="00A409B5" w:rsidP="00992091">
            <w:pPr>
              <w:jc w:val="right"/>
            </w:pPr>
            <w:r w:rsidRPr="00A409B5">
              <w:t xml:space="preserve"> </w:t>
            </w:r>
            <w:r w:rsidR="000068AF">
              <w:t>30 000</w:t>
            </w:r>
            <w:r w:rsidRPr="00A409B5">
              <w:t xml:space="preserve">,00 € </w:t>
            </w:r>
          </w:p>
        </w:tc>
      </w:tr>
      <w:tr w:rsidR="00992091" w:rsidRPr="00A409B5" w:rsidTr="000068AF">
        <w:trPr>
          <w:trHeight w:val="300"/>
          <w:jc w:val="center"/>
        </w:trPr>
        <w:tc>
          <w:tcPr>
            <w:tcW w:w="1129" w:type="dxa"/>
            <w:noWrap/>
            <w:hideMark/>
          </w:tcPr>
          <w:p w:rsidR="00A409B5" w:rsidRPr="00A409B5" w:rsidRDefault="000068AF" w:rsidP="00A409B5">
            <w:r>
              <w:t>21-0835</w:t>
            </w:r>
          </w:p>
        </w:tc>
        <w:tc>
          <w:tcPr>
            <w:tcW w:w="5741" w:type="dxa"/>
            <w:noWrap/>
            <w:hideMark/>
          </w:tcPr>
          <w:p w:rsidR="00A409B5" w:rsidRPr="00A409B5" w:rsidRDefault="000068AF" w:rsidP="00A409B5">
            <w:r>
              <w:t>Bonnet de chirurgien</w:t>
            </w:r>
          </w:p>
        </w:tc>
        <w:tc>
          <w:tcPr>
            <w:tcW w:w="1843" w:type="dxa"/>
            <w:noWrap/>
            <w:hideMark/>
          </w:tcPr>
          <w:p w:rsidR="00A409B5" w:rsidRPr="00A409B5" w:rsidRDefault="000068AF" w:rsidP="00992091">
            <w:pPr>
              <w:jc w:val="center"/>
            </w:pPr>
            <w:r>
              <w:t>ABENA</w:t>
            </w:r>
          </w:p>
        </w:tc>
        <w:tc>
          <w:tcPr>
            <w:tcW w:w="1417" w:type="dxa"/>
            <w:noWrap/>
            <w:hideMark/>
          </w:tcPr>
          <w:p w:rsidR="00A409B5" w:rsidRPr="00A409B5" w:rsidRDefault="000068AF" w:rsidP="00992091">
            <w:pPr>
              <w:jc w:val="right"/>
            </w:pPr>
            <w:r>
              <w:t>72</w:t>
            </w:r>
            <w:r w:rsidR="00A409B5" w:rsidRPr="00A409B5">
              <w:t xml:space="preserve"> 000,00 € </w:t>
            </w:r>
          </w:p>
        </w:tc>
      </w:tr>
    </w:tbl>
    <w:p w:rsidR="00AA6DF5" w:rsidRDefault="00AA6DF5" w:rsidP="00D45994">
      <w:pPr>
        <w:spacing w:after="0" w:line="240" w:lineRule="auto"/>
      </w:pPr>
    </w:p>
    <w:p w:rsidR="00D45994" w:rsidRPr="00E22513" w:rsidRDefault="00AA6DF5" w:rsidP="00D45994">
      <w:pPr>
        <w:spacing w:after="0" w:line="240" w:lineRule="auto"/>
        <w:rPr>
          <w:b/>
          <w:i/>
        </w:rPr>
      </w:pPr>
      <w:r w:rsidRPr="00E22513">
        <w:rPr>
          <w:b/>
          <w:i/>
        </w:rPr>
        <w:t>Le montant global moyen annuel est de 132 600 €TTC, soit 530 400 €TTC sur la durée du marché.</w:t>
      </w:r>
    </w:p>
    <w:p w:rsidR="00D45994" w:rsidRDefault="000068AF" w:rsidP="00D45994">
      <w:pPr>
        <w:spacing w:after="0" w:line="240" w:lineRule="auto"/>
      </w:pPr>
      <w:r>
        <w:t>L’échéance de ces marchés e</w:t>
      </w:r>
      <w:r w:rsidR="00AA6DF5">
        <w:t>s</w:t>
      </w:r>
      <w:r>
        <w:t>t prévu</w:t>
      </w:r>
      <w:r w:rsidR="00AA6DF5">
        <w:t>e</w:t>
      </w:r>
      <w:r>
        <w:t xml:space="preserve"> au 30 septembre 2025.</w:t>
      </w:r>
    </w:p>
    <w:p w:rsidR="00A071EF" w:rsidRDefault="00A071EF" w:rsidP="00D45994">
      <w:pPr>
        <w:spacing w:after="0" w:line="240" w:lineRule="auto"/>
      </w:pPr>
    </w:p>
    <w:p w:rsidR="00A071EF" w:rsidRDefault="00A071EF" w:rsidP="002F675F">
      <w:pPr>
        <w:shd w:val="clear" w:color="auto" w:fill="DEEAF6" w:themeFill="accent5" w:themeFillTint="33"/>
        <w:spacing w:after="0" w:line="240" w:lineRule="auto"/>
      </w:pPr>
      <w:r>
        <w:t>DEFINITION DU NOUVEAU PERIMETRE D’ACHAT</w:t>
      </w:r>
    </w:p>
    <w:p w:rsidR="00A071EF" w:rsidRPr="001C6DEC" w:rsidRDefault="00A071EF" w:rsidP="00D45994">
      <w:pPr>
        <w:spacing w:after="0" w:line="240" w:lineRule="auto"/>
        <w:rPr>
          <w:sz w:val="14"/>
        </w:rPr>
      </w:pPr>
    </w:p>
    <w:p w:rsidR="00095959" w:rsidRDefault="00022D3A" w:rsidP="00774F94">
      <w:pPr>
        <w:spacing w:after="0" w:line="240" w:lineRule="auto"/>
        <w:jc w:val="both"/>
      </w:pPr>
      <w:r>
        <w:t>Un travail sur le besoin est mené afin de permettre une rationalisation des marchés.</w:t>
      </w:r>
      <w:r w:rsidR="0056075C">
        <w:t xml:space="preserve"> En collaboration avec les différents utilisateurs, </w:t>
      </w:r>
      <w:r w:rsidR="000068AF">
        <w:t>de nouveaux besoins sont intégrés dans la prochaine consultation</w:t>
      </w:r>
      <w:r w:rsidR="004806F3">
        <w:t xml:space="preserve"> et certains produits sont basculés sur le marché en centrale d’achat</w:t>
      </w:r>
      <w:r w:rsidR="00095959">
        <w:t> :</w:t>
      </w:r>
    </w:p>
    <w:p w:rsidR="004806F3" w:rsidRDefault="004806F3" w:rsidP="004806F3">
      <w:pPr>
        <w:pStyle w:val="Paragraphedeliste"/>
        <w:numPr>
          <w:ilvl w:val="0"/>
          <w:numId w:val="4"/>
        </w:numPr>
        <w:spacing w:after="0" w:line="240" w:lineRule="auto"/>
        <w:jc w:val="both"/>
      </w:pPr>
      <w:r>
        <w:t>Création d’un lot spécifique pour la fourniture de chausson à semelle antidérapante (gain potentiel de 6%</w:t>
      </w:r>
      <w:r w:rsidR="003A182A">
        <w:t>, 5K€ / an</w:t>
      </w:r>
      <w:r>
        <w:t>)</w:t>
      </w:r>
    </w:p>
    <w:p w:rsidR="00095959" w:rsidRDefault="004806F3" w:rsidP="00774F94">
      <w:pPr>
        <w:pStyle w:val="Paragraphedeliste"/>
        <w:numPr>
          <w:ilvl w:val="0"/>
          <w:numId w:val="4"/>
        </w:numPr>
        <w:spacing w:after="0" w:line="240" w:lineRule="auto"/>
        <w:jc w:val="both"/>
      </w:pPr>
      <w:r>
        <w:t>Transfert des bonnets de chirurgien vers le marché REUNI Tenues professionnelles à usage unique (titulaire MEDICOM). Les utilisateurs ont validé le modèle proposé et cela permet de faire une économie de 19%</w:t>
      </w:r>
      <w:r w:rsidR="003A182A">
        <w:t xml:space="preserve"> (-11K€ / an) par rapport au marché actuel.</w:t>
      </w:r>
    </w:p>
    <w:p w:rsidR="00A071EF" w:rsidRDefault="00A071EF" w:rsidP="00D45994">
      <w:pPr>
        <w:spacing w:after="0" w:line="240" w:lineRule="auto"/>
      </w:pPr>
    </w:p>
    <w:p w:rsidR="00A071EF" w:rsidRDefault="00A071EF" w:rsidP="002F675F">
      <w:pPr>
        <w:shd w:val="clear" w:color="auto" w:fill="DEEAF6" w:themeFill="accent5" w:themeFillTint="33"/>
        <w:spacing w:after="0" w:line="240" w:lineRule="auto"/>
      </w:pPr>
      <w:r>
        <w:t xml:space="preserve">STRATEGIE </w:t>
      </w:r>
    </w:p>
    <w:p w:rsidR="00A071EF" w:rsidRPr="001C6DEC" w:rsidRDefault="00A071EF" w:rsidP="00D45994">
      <w:pPr>
        <w:spacing w:after="0" w:line="240" w:lineRule="auto"/>
        <w:rPr>
          <w:sz w:val="16"/>
        </w:rPr>
      </w:pPr>
    </w:p>
    <w:p w:rsidR="00A071EF" w:rsidRDefault="00305730" w:rsidP="00D45994">
      <w:pPr>
        <w:spacing w:after="0" w:line="240" w:lineRule="auto"/>
      </w:pPr>
      <w:r>
        <w:t xml:space="preserve">Pour le renouvellement de ces marchés il est prévu </w:t>
      </w:r>
      <w:r w:rsidR="001B252D">
        <w:t>une mise</w:t>
      </w:r>
      <w:r>
        <w:t xml:space="preserve"> en concurrence au moyen d’un appel d’offres ouvert, alloti comme suit :</w:t>
      </w:r>
    </w:p>
    <w:p w:rsidR="00305730" w:rsidRDefault="00305730" w:rsidP="00D45994">
      <w:pPr>
        <w:spacing w:after="0" w:line="240" w:lineRule="auto"/>
      </w:pPr>
    </w:p>
    <w:p w:rsidR="00305730" w:rsidRDefault="00E66F11" w:rsidP="0032497C">
      <w:pPr>
        <w:spacing w:after="0" w:line="240" w:lineRule="auto"/>
        <w:ind w:left="708"/>
      </w:pPr>
      <w:r>
        <w:t xml:space="preserve">Lot 1 : </w:t>
      </w:r>
      <w:r w:rsidR="000D511F">
        <w:t>Chausson à semelle antidérapante</w:t>
      </w:r>
      <w:r>
        <w:tab/>
        <w:t xml:space="preserve">Montant max. : </w:t>
      </w:r>
      <w:r w:rsidR="00391C73">
        <w:t xml:space="preserve">  </w:t>
      </w:r>
      <w:r w:rsidR="000D511F">
        <w:t>60</w:t>
      </w:r>
      <w:r w:rsidR="00892B13">
        <w:t> 000 €HT</w:t>
      </w:r>
    </w:p>
    <w:p w:rsidR="00E66F11" w:rsidRDefault="00E66F11" w:rsidP="0032497C">
      <w:pPr>
        <w:spacing w:after="0" w:line="240" w:lineRule="auto"/>
        <w:ind w:left="708"/>
      </w:pPr>
      <w:r>
        <w:t xml:space="preserve">Lot 2 : </w:t>
      </w:r>
      <w:r w:rsidR="000D511F">
        <w:t>Protège drap plastifié</w:t>
      </w:r>
      <w:r w:rsidR="000D511F">
        <w:tab/>
      </w:r>
      <w:r w:rsidR="000D511F">
        <w:tab/>
      </w:r>
      <w:r w:rsidR="000D511F">
        <w:tab/>
      </w:r>
      <w:r>
        <w:t>Montant max. :</w:t>
      </w:r>
      <w:r w:rsidR="00892B13">
        <w:t xml:space="preserve"> </w:t>
      </w:r>
      <w:r w:rsidR="000D511F">
        <w:t xml:space="preserve">  </w:t>
      </w:r>
      <w:r w:rsidR="00892B13">
        <w:t>80 000 €HT</w:t>
      </w:r>
    </w:p>
    <w:p w:rsidR="00E66F11" w:rsidRDefault="00E66F11" w:rsidP="0032497C">
      <w:pPr>
        <w:spacing w:after="0" w:line="240" w:lineRule="auto"/>
        <w:ind w:left="708"/>
      </w:pPr>
      <w:r>
        <w:t xml:space="preserve">Lot 3 : </w:t>
      </w:r>
      <w:r w:rsidR="000D511F">
        <w:t>Alèse absorbante</w:t>
      </w:r>
      <w:r w:rsidR="000D511F">
        <w:tab/>
      </w:r>
      <w:r>
        <w:tab/>
      </w:r>
      <w:r>
        <w:tab/>
        <w:t>Montant max. :</w:t>
      </w:r>
      <w:r w:rsidR="00892B13">
        <w:t xml:space="preserve"> </w:t>
      </w:r>
      <w:r w:rsidR="00391C73">
        <w:t xml:space="preserve">  </w:t>
      </w:r>
      <w:r w:rsidR="000D511F">
        <w:t>6</w:t>
      </w:r>
      <w:r w:rsidR="00892B13">
        <w:t>0 000 €HT</w:t>
      </w:r>
    </w:p>
    <w:p w:rsidR="00E66F11" w:rsidRDefault="00E66F11" w:rsidP="0032497C">
      <w:pPr>
        <w:spacing w:after="0" w:line="240" w:lineRule="auto"/>
        <w:ind w:left="708"/>
      </w:pPr>
      <w:r>
        <w:t xml:space="preserve">Lot 4 : </w:t>
      </w:r>
      <w:r w:rsidR="000D511F">
        <w:t>Tapis absorbant</w:t>
      </w:r>
      <w:r w:rsidR="000D511F">
        <w:tab/>
      </w:r>
      <w:r w:rsidR="000D511F">
        <w:tab/>
      </w:r>
      <w:r>
        <w:tab/>
      </w:r>
      <w:r>
        <w:tab/>
        <w:t xml:space="preserve">Montant max. : </w:t>
      </w:r>
      <w:r w:rsidR="000D511F">
        <w:t>150</w:t>
      </w:r>
      <w:r w:rsidR="00892B13">
        <w:t> 000 €HT</w:t>
      </w:r>
    </w:p>
    <w:p w:rsidR="00E66F11" w:rsidRDefault="00E66F11" w:rsidP="00D45994">
      <w:pPr>
        <w:spacing w:after="0" w:line="240" w:lineRule="auto"/>
      </w:pPr>
    </w:p>
    <w:p w:rsidR="001B252D" w:rsidRDefault="001B252D" w:rsidP="00D45994">
      <w:pPr>
        <w:spacing w:after="0" w:line="240" w:lineRule="auto"/>
      </w:pPr>
      <w:r>
        <w:t xml:space="preserve">Les marchés à bons de commande consécutifs à cette consultation seront d’une durée de 48 mois. </w:t>
      </w:r>
      <w:r w:rsidR="00391C73">
        <w:t>Les montants maximums s’entendent sur la durée du marché.</w:t>
      </w:r>
    </w:p>
    <w:p w:rsidR="001B252D" w:rsidRDefault="001B252D" w:rsidP="00D45994">
      <w:pPr>
        <w:spacing w:after="0" w:line="240" w:lineRule="auto"/>
      </w:pPr>
    </w:p>
    <w:p w:rsidR="001B252D" w:rsidRDefault="001B252D" w:rsidP="00D45994">
      <w:pPr>
        <w:spacing w:after="0" w:line="240" w:lineRule="auto"/>
      </w:pPr>
      <w:r>
        <w:t>Les critères de sélection sont les suivants :</w:t>
      </w:r>
    </w:p>
    <w:p w:rsidR="008E0852" w:rsidRDefault="008E0852" w:rsidP="00D45994">
      <w:pPr>
        <w:spacing w:after="0" w:line="240" w:lineRule="auto"/>
      </w:pPr>
    </w:p>
    <w:p w:rsidR="00A360EA" w:rsidRPr="00EA0C29" w:rsidRDefault="00A360EA" w:rsidP="00A360EA">
      <w:pPr>
        <w:pStyle w:val="Paragraphedeliste"/>
        <w:numPr>
          <w:ilvl w:val="0"/>
          <w:numId w:val="3"/>
        </w:numPr>
        <w:tabs>
          <w:tab w:val="left" w:pos="5529"/>
        </w:tabs>
        <w:spacing w:after="0" w:line="240" w:lineRule="auto"/>
        <w:contextualSpacing w:val="0"/>
        <w:jc w:val="both"/>
        <w:rPr>
          <w:rFonts w:cs="Arial"/>
          <w:b/>
          <w:sz w:val="20"/>
        </w:rPr>
      </w:pPr>
      <w:r w:rsidRPr="00EA0C29">
        <w:rPr>
          <w:rFonts w:cs="Arial"/>
          <w:b/>
          <w:sz w:val="20"/>
        </w:rPr>
        <w:t>Prix : 60%</w:t>
      </w:r>
    </w:p>
    <w:p w:rsidR="00A360EA" w:rsidRDefault="00A360EA" w:rsidP="00A360EA">
      <w:pPr>
        <w:pStyle w:val="Paragraphedeliste"/>
        <w:tabs>
          <w:tab w:val="left" w:pos="5529"/>
        </w:tabs>
        <w:jc w:val="both"/>
        <w:rPr>
          <w:rFonts w:cs="Arial"/>
          <w:sz w:val="20"/>
        </w:rPr>
      </w:pPr>
      <w:r>
        <w:rPr>
          <w:rFonts w:cs="Arial"/>
          <w:sz w:val="20"/>
        </w:rPr>
        <w:t>Evalué en fonction du montant global du DQE pour chaque lot</w:t>
      </w:r>
    </w:p>
    <w:p w:rsidR="00A360EA" w:rsidRPr="00EA0C29" w:rsidRDefault="00A360EA" w:rsidP="00A360EA">
      <w:pPr>
        <w:pStyle w:val="Paragraphedeliste"/>
        <w:numPr>
          <w:ilvl w:val="0"/>
          <w:numId w:val="3"/>
        </w:numPr>
        <w:tabs>
          <w:tab w:val="left" w:pos="5529"/>
        </w:tabs>
        <w:spacing w:after="0" w:line="240" w:lineRule="auto"/>
        <w:contextualSpacing w:val="0"/>
        <w:jc w:val="both"/>
        <w:rPr>
          <w:rFonts w:cs="Arial"/>
          <w:b/>
          <w:sz w:val="20"/>
        </w:rPr>
      </w:pPr>
      <w:r w:rsidRPr="00EA0C29">
        <w:rPr>
          <w:rFonts w:cs="Arial"/>
          <w:b/>
          <w:sz w:val="20"/>
        </w:rPr>
        <w:t>Qualité technique de l’offre : 40%</w:t>
      </w:r>
    </w:p>
    <w:p w:rsidR="00A360EA" w:rsidRPr="004D646C" w:rsidRDefault="00A360EA" w:rsidP="00A360EA">
      <w:pPr>
        <w:pStyle w:val="Paragraphedeliste"/>
        <w:tabs>
          <w:tab w:val="left" w:pos="5529"/>
        </w:tabs>
        <w:jc w:val="both"/>
        <w:rPr>
          <w:rFonts w:cs="Arial"/>
          <w:sz w:val="20"/>
        </w:rPr>
      </w:pPr>
      <w:r w:rsidRPr="00EA0C29">
        <w:rPr>
          <w:rFonts w:cs="Arial"/>
          <w:sz w:val="20"/>
        </w:rPr>
        <w:t>La note technique est appréciée sur la base de la pertinence et la complétude des éléments de l’offre technique (Cadre de réponse technique, échantillons et fiches techniques comprises)</w:t>
      </w:r>
      <w:bookmarkStart w:id="0" w:name="_GoBack"/>
      <w:bookmarkEnd w:id="0"/>
    </w:p>
    <w:p w:rsidR="00A360EA" w:rsidRPr="001C6DEC" w:rsidRDefault="00A360EA" w:rsidP="00D45994">
      <w:pPr>
        <w:spacing w:after="0" w:line="240" w:lineRule="auto"/>
        <w:rPr>
          <w:sz w:val="16"/>
        </w:rPr>
      </w:pPr>
    </w:p>
    <w:p w:rsidR="00A071EF" w:rsidRDefault="001B252D" w:rsidP="001B252D">
      <w:pPr>
        <w:shd w:val="clear" w:color="auto" w:fill="DEEAF6" w:themeFill="accent5" w:themeFillTint="33"/>
        <w:spacing w:after="0" w:line="240" w:lineRule="auto"/>
      </w:pPr>
      <w:r>
        <w:t>CALENDRIER</w:t>
      </w:r>
    </w:p>
    <w:p w:rsidR="001B252D" w:rsidRPr="00354969" w:rsidRDefault="001B252D" w:rsidP="00D45994">
      <w:pPr>
        <w:spacing w:after="0" w:line="240" w:lineRule="auto"/>
        <w:rPr>
          <w:sz w:val="1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817"/>
        <w:gridCol w:w="4245"/>
      </w:tblGrid>
      <w:tr w:rsidR="00E34BE3" w:rsidRPr="00E34BE3" w:rsidTr="006B17F7">
        <w:trPr>
          <w:jc w:val="center"/>
        </w:trPr>
        <w:tc>
          <w:tcPr>
            <w:tcW w:w="4817" w:type="dxa"/>
          </w:tcPr>
          <w:p w:rsidR="00E34BE3" w:rsidRPr="00E34BE3" w:rsidRDefault="00E34BE3" w:rsidP="00913338">
            <w:r w:rsidRPr="00E34BE3">
              <w:t>Publication du DCE :</w:t>
            </w:r>
          </w:p>
        </w:tc>
        <w:tc>
          <w:tcPr>
            <w:tcW w:w="4245" w:type="dxa"/>
          </w:tcPr>
          <w:p w:rsidR="00E34BE3" w:rsidRPr="00E34BE3" w:rsidRDefault="00A20623" w:rsidP="00913338">
            <w:r>
              <w:t>1</w:t>
            </w:r>
            <w:r w:rsidR="0011654B">
              <w:t>6</w:t>
            </w:r>
            <w:r w:rsidR="006B17F7">
              <w:t xml:space="preserve"> </w:t>
            </w:r>
            <w:r w:rsidR="000C0B58">
              <w:t>avril</w:t>
            </w:r>
            <w:r w:rsidR="006B17F7">
              <w:t xml:space="preserve"> 2025</w:t>
            </w:r>
          </w:p>
        </w:tc>
      </w:tr>
      <w:tr w:rsidR="00E34BE3" w:rsidRPr="00E34BE3" w:rsidTr="006B17F7">
        <w:trPr>
          <w:jc w:val="center"/>
        </w:trPr>
        <w:tc>
          <w:tcPr>
            <w:tcW w:w="4817" w:type="dxa"/>
          </w:tcPr>
          <w:p w:rsidR="00E34BE3" w:rsidRPr="00E34BE3" w:rsidRDefault="00E34BE3" w:rsidP="00913338">
            <w:r w:rsidRPr="00E34BE3">
              <w:t>Date limite de remise des offres :</w:t>
            </w:r>
          </w:p>
        </w:tc>
        <w:tc>
          <w:tcPr>
            <w:tcW w:w="4245" w:type="dxa"/>
          </w:tcPr>
          <w:p w:rsidR="00E34BE3" w:rsidRPr="00E34BE3" w:rsidRDefault="00B41642" w:rsidP="00913338">
            <w:r>
              <w:t>19 mai</w:t>
            </w:r>
            <w:r w:rsidR="006B17F7">
              <w:t xml:space="preserve"> 2025</w:t>
            </w:r>
          </w:p>
        </w:tc>
      </w:tr>
      <w:tr w:rsidR="00E34BE3" w:rsidRPr="00E34BE3" w:rsidTr="006B17F7">
        <w:trPr>
          <w:jc w:val="center"/>
        </w:trPr>
        <w:tc>
          <w:tcPr>
            <w:tcW w:w="4817" w:type="dxa"/>
          </w:tcPr>
          <w:p w:rsidR="00E34BE3" w:rsidRPr="00E34BE3" w:rsidRDefault="00E34BE3" w:rsidP="00913338">
            <w:r w:rsidRPr="00E34BE3">
              <w:t>Finalisation RAO :</w:t>
            </w:r>
          </w:p>
        </w:tc>
        <w:tc>
          <w:tcPr>
            <w:tcW w:w="4245" w:type="dxa"/>
          </w:tcPr>
          <w:p w:rsidR="00E34BE3" w:rsidRPr="00E34BE3" w:rsidRDefault="00807F80" w:rsidP="00913338">
            <w:r>
              <w:t xml:space="preserve">Semaine </w:t>
            </w:r>
            <w:r w:rsidR="00B41642">
              <w:t>3</w:t>
            </w:r>
            <w:r>
              <w:t>7</w:t>
            </w:r>
          </w:p>
        </w:tc>
      </w:tr>
      <w:tr w:rsidR="00E34BE3" w:rsidRPr="00E34BE3" w:rsidTr="006B17F7">
        <w:trPr>
          <w:jc w:val="center"/>
        </w:trPr>
        <w:tc>
          <w:tcPr>
            <w:tcW w:w="4817" w:type="dxa"/>
          </w:tcPr>
          <w:p w:rsidR="00E34BE3" w:rsidRPr="00E34BE3" w:rsidRDefault="00E34BE3" w:rsidP="00913338">
            <w:r w:rsidRPr="00E34BE3">
              <w:t>Envoi des courriers de rejet :</w:t>
            </w:r>
          </w:p>
        </w:tc>
        <w:tc>
          <w:tcPr>
            <w:tcW w:w="4245" w:type="dxa"/>
          </w:tcPr>
          <w:p w:rsidR="00E34BE3" w:rsidRPr="00E34BE3" w:rsidRDefault="00807F80" w:rsidP="00913338">
            <w:r>
              <w:t xml:space="preserve">Semaine </w:t>
            </w:r>
            <w:r w:rsidR="00B41642">
              <w:t>3</w:t>
            </w:r>
            <w:r>
              <w:t>8</w:t>
            </w:r>
          </w:p>
        </w:tc>
      </w:tr>
      <w:tr w:rsidR="00E34BE3" w:rsidRPr="00E34BE3" w:rsidTr="006B17F7">
        <w:trPr>
          <w:jc w:val="center"/>
        </w:trPr>
        <w:tc>
          <w:tcPr>
            <w:tcW w:w="4817" w:type="dxa"/>
          </w:tcPr>
          <w:p w:rsidR="00E34BE3" w:rsidRPr="00E34BE3" w:rsidRDefault="00E34BE3" w:rsidP="00913338">
            <w:r w:rsidRPr="00E34BE3">
              <w:t>Notification des marchés :</w:t>
            </w:r>
          </w:p>
        </w:tc>
        <w:tc>
          <w:tcPr>
            <w:tcW w:w="4245" w:type="dxa"/>
          </w:tcPr>
          <w:p w:rsidR="00E34BE3" w:rsidRPr="00E34BE3" w:rsidRDefault="00807F80" w:rsidP="00913338">
            <w:r>
              <w:t xml:space="preserve">Semaine </w:t>
            </w:r>
            <w:r w:rsidR="00B41642">
              <w:t>4</w:t>
            </w:r>
            <w:r>
              <w:t>0</w:t>
            </w:r>
          </w:p>
        </w:tc>
      </w:tr>
    </w:tbl>
    <w:p w:rsidR="00A071EF" w:rsidRDefault="00A071EF" w:rsidP="001C6DEC">
      <w:pPr>
        <w:spacing w:after="0" w:line="240" w:lineRule="auto"/>
      </w:pPr>
    </w:p>
    <w:sectPr w:rsidR="00A071EF" w:rsidSect="00354969">
      <w:pgSz w:w="11906" w:h="16838"/>
      <w:pgMar w:top="142" w:right="707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A56D4"/>
    <w:multiLevelType w:val="hybridMultilevel"/>
    <w:tmpl w:val="7AB4BD56"/>
    <w:lvl w:ilvl="0" w:tplc="CCEC2B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B1F4A"/>
    <w:multiLevelType w:val="hybridMultilevel"/>
    <w:tmpl w:val="C8141F80"/>
    <w:lvl w:ilvl="0" w:tplc="FC40D2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70921"/>
    <w:multiLevelType w:val="hybridMultilevel"/>
    <w:tmpl w:val="F7CCD5C4"/>
    <w:lvl w:ilvl="0" w:tplc="982C60B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6BDF2B80"/>
    <w:multiLevelType w:val="hybridMultilevel"/>
    <w:tmpl w:val="2AB4B0C0"/>
    <w:lvl w:ilvl="0" w:tplc="040C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994"/>
    <w:rsid w:val="000063D9"/>
    <w:rsid w:val="000068AF"/>
    <w:rsid w:val="00022D3A"/>
    <w:rsid w:val="00095959"/>
    <w:rsid w:val="000A506F"/>
    <w:rsid w:val="000C0B58"/>
    <w:rsid w:val="000D511F"/>
    <w:rsid w:val="000E03A9"/>
    <w:rsid w:val="00102C63"/>
    <w:rsid w:val="0011654B"/>
    <w:rsid w:val="001322DD"/>
    <w:rsid w:val="00141A10"/>
    <w:rsid w:val="001B252D"/>
    <w:rsid w:val="001C6DEC"/>
    <w:rsid w:val="00203624"/>
    <w:rsid w:val="002342A4"/>
    <w:rsid w:val="002F675F"/>
    <w:rsid w:val="00305730"/>
    <w:rsid w:val="0032497C"/>
    <w:rsid w:val="003261D8"/>
    <w:rsid w:val="00354969"/>
    <w:rsid w:val="0036722D"/>
    <w:rsid w:val="00391C73"/>
    <w:rsid w:val="00394BC3"/>
    <w:rsid w:val="003A182A"/>
    <w:rsid w:val="003B6DCD"/>
    <w:rsid w:val="004806F3"/>
    <w:rsid w:val="004F3625"/>
    <w:rsid w:val="00542F6F"/>
    <w:rsid w:val="0056075C"/>
    <w:rsid w:val="005A0BD2"/>
    <w:rsid w:val="005D178A"/>
    <w:rsid w:val="006B17F7"/>
    <w:rsid w:val="00740644"/>
    <w:rsid w:val="00774F94"/>
    <w:rsid w:val="007E1BDC"/>
    <w:rsid w:val="00807F80"/>
    <w:rsid w:val="00827DAA"/>
    <w:rsid w:val="00850E8C"/>
    <w:rsid w:val="00866C19"/>
    <w:rsid w:val="00892B13"/>
    <w:rsid w:val="008E0852"/>
    <w:rsid w:val="00992091"/>
    <w:rsid w:val="00A071EF"/>
    <w:rsid w:val="00A20623"/>
    <w:rsid w:val="00A3513E"/>
    <w:rsid w:val="00A360EA"/>
    <w:rsid w:val="00A409B5"/>
    <w:rsid w:val="00AA6DF5"/>
    <w:rsid w:val="00AD51C0"/>
    <w:rsid w:val="00B41642"/>
    <w:rsid w:val="00C63FF2"/>
    <w:rsid w:val="00C878E0"/>
    <w:rsid w:val="00CF65BC"/>
    <w:rsid w:val="00D45994"/>
    <w:rsid w:val="00DC784D"/>
    <w:rsid w:val="00DE7CCB"/>
    <w:rsid w:val="00E22513"/>
    <w:rsid w:val="00E34BE3"/>
    <w:rsid w:val="00E66481"/>
    <w:rsid w:val="00E66F11"/>
    <w:rsid w:val="00E67418"/>
    <w:rsid w:val="00EF1DDE"/>
    <w:rsid w:val="00EF7655"/>
    <w:rsid w:val="00F7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853F2"/>
  <w15:chartTrackingRefBased/>
  <w15:docId w15:val="{3D1558D5-6729-48C0-A92E-E34BA6082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1B252D"/>
    <w:pPr>
      <w:ind w:left="720"/>
      <w:contextualSpacing/>
    </w:pPr>
  </w:style>
  <w:style w:type="table" w:styleId="Grilledutableau">
    <w:name w:val="Table Grid"/>
    <w:basedOn w:val="TableauNormal"/>
    <w:uiPriority w:val="39"/>
    <w:rsid w:val="00E34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locked/>
    <w:rsid w:val="00EF7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7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418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RIBES Laurence</dc:creator>
  <cp:keywords/>
  <dc:description/>
  <cp:lastModifiedBy>RIBES Laurence</cp:lastModifiedBy>
  <cp:revision>28</cp:revision>
  <dcterms:created xsi:type="dcterms:W3CDTF">2025-01-29T12:51:00Z</dcterms:created>
  <dcterms:modified xsi:type="dcterms:W3CDTF">2025-04-14T10:00:00Z</dcterms:modified>
</cp:coreProperties>
</file>