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920F2" w14:textId="5E54909E" w:rsidR="003679FD" w:rsidRDefault="003679FD" w:rsidP="007C5B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</w:t>
      </w:r>
      <w:r w:rsidRPr="003679FD">
        <w:rPr>
          <w:b/>
          <w:bCs/>
          <w:sz w:val="32"/>
          <w:szCs w:val="32"/>
        </w:rPr>
        <w:t xml:space="preserve">ahier des </w:t>
      </w:r>
      <w:r>
        <w:rPr>
          <w:b/>
          <w:bCs/>
          <w:sz w:val="32"/>
          <w:szCs w:val="32"/>
        </w:rPr>
        <w:t>C</w:t>
      </w:r>
      <w:r w:rsidRPr="003679FD">
        <w:rPr>
          <w:b/>
          <w:bCs/>
          <w:sz w:val="32"/>
          <w:szCs w:val="32"/>
        </w:rPr>
        <w:t xml:space="preserve">lauses </w:t>
      </w:r>
      <w:r>
        <w:rPr>
          <w:b/>
          <w:bCs/>
          <w:sz w:val="32"/>
          <w:szCs w:val="32"/>
        </w:rPr>
        <w:t>T</w:t>
      </w:r>
      <w:r w:rsidRPr="003679FD">
        <w:rPr>
          <w:b/>
          <w:bCs/>
          <w:sz w:val="32"/>
          <w:szCs w:val="32"/>
        </w:rPr>
        <w:t xml:space="preserve">echniques </w:t>
      </w:r>
      <w:r>
        <w:rPr>
          <w:b/>
          <w:bCs/>
          <w:sz w:val="32"/>
          <w:szCs w:val="32"/>
        </w:rPr>
        <w:t>P</w:t>
      </w:r>
      <w:r w:rsidRPr="003679FD">
        <w:rPr>
          <w:b/>
          <w:bCs/>
          <w:sz w:val="32"/>
          <w:szCs w:val="32"/>
        </w:rPr>
        <w:t>articulières</w:t>
      </w:r>
      <w:r>
        <w:rPr>
          <w:b/>
          <w:bCs/>
          <w:sz w:val="32"/>
          <w:szCs w:val="32"/>
        </w:rPr>
        <w:t xml:space="preserve"> LOT </w:t>
      </w:r>
      <w:proofErr w:type="gramStart"/>
      <w:r>
        <w:rPr>
          <w:b/>
          <w:bCs/>
          <w:sz w:val="32"/>
          <w:szCs w:val="32"/>
        </w:rPr>
        <w:t>1</w:t>
      </w:r>
      <w:r w:rsidR="007C5BFA" w:rsidRPr="00F6423B">
        <w:rPr>
          <w:b/>
          <w:bCs/>
          <w:sz w:val="32"/>
          <w:szCs w:val="32"/>
        </w:rPr>
        <w:t>:</w:t>
      </w:r>
      <w:proofErr w:type="gramEnd"/>
      <w:r w:rsidR="007C5BFA" w:rsidRPr="00F6423B">
        <w:rPr>
          <w:b/>
          <w:bCs/>
          <w:sz w:val="32"/>
          <w:szCs w:val="32"/>
        </w:rPr>
        <w:t xml:space="preserve"> </w:t>
      </w:r>
    </w:p>
    <w:p w14:paraId="797DAA74" w14:textId="0FB985A7" w:rsidR="00114E51" w:rsidRPr="00F6423B" w:rsidRDefault="007C5BFA" w:rsidP="007C5BFA">
      <w:pPr>
        <w:jc w:val="center"/>
        <w:rPr>
          <w:b/>
          <w:bCs/>
          <w:sz w:val="32"/>
          <w:szCs w:val="32"/>
        </w:rPr>
      </w:pPr>
      <w:r w:rsidRPr="00F6423B">
        <w:rPr>
          <w:b/>
          <w:bCs/>
          <w:sz w:val="32"/>
          <w:szCs w:val="32"/>
        </w:rPr>
        <w:t xml:space="preserve">Bancs </w:t>
      </w:r>
      <w:r w:rsidR="00F91E91">
        <w:rPr>
          <w:b/>
          <w:bCs/>
          <w:sz w:val="32"/>
          <w:szCs w:val="32"/>
        </w:rPr>
        <w:t>d’émulateurs de batteries</w:t>
      </w:r>
    </w:p>
    <w:p w14:paraId="1CAAF225" w14:textId="137B904B" w:rsidR="005219E8" w:rsidRDefault="005219E8" w:rsidP="005219E8"/>
    <w:p w14:paraId="66AF4469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bCs/>
          <w:kern w:val="32"/>
          <w:sz w:val="28"/>
          <w:szCs w:val="28"/>
        </w:rPr>
      </w:pPr>
      <w:bookmarkStart w:id="0" w:name="_Toc290563791"/>
      <w:r>
        <w:rPr>
          <w:rFonts w:ascii="Times New Roman" w:hAnsi="Times New Roman" w:cs="Times New Roman"/>
          <w:b/>
          <w:kern w:val="32"/>
          <w:sz w:val="28"/>
          <w:szCs w:val="28"/>
        </w:rPr>
        <w:t>Désignation de l’objet du marché et/ou les lots le cas échéant</w:t>
      </w:r>
      <w:bookmarkEnd w:id="0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6CE05346" w14:textId="39DC0613" w:rsidR="005219E8" w:rsidRDefault="00D21E32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Appareils d’émulation de batteries de puissance significatives.  </w:t>
      </w:r>
    </w:p>
    <w:p w14:paraId="74E78A2E" w14:textId="77777777" w:rsidR="005219E8" w:rsidRDefault="005219E8" w:rsidP="005219E8">
      <w:pPr>
        <w:spacing w:line="312" w:lineRule="auto"/>
        <w:ind w:left="720"/>
        <w:rPr>
          <w:rFonts w:ascii="Times New Roman" w:hAnsi="Times New Roman" w:cs="Calibri"/>
          <w:sz w:val="24"/>
          <w:szCs w:val="24"/>
        </w:rPr>
      </w:pPr>
    </w:p>
    <w:p w14:paraId="71ACFA53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1" w:name="_Toc290563792"/>
      <w:r>
        <w:rPr>
          <w:rFonts w:ascii="Times New Roman" w:hAnsi="Times New Roman" w:cs="Times New Roman"/>
          <w:b/>
          <w:kern w:val="32"/>
          <w:sz w:val="28"/>
          <w:szCs w:val="28"/>
        </w:rPr>
        <w:t>Expression des besoins</w:t>
      </w:r>
      <w:bookmarkEnd w:id="1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140C267C" w14:textId="506FDAE7" w:rsidR="005219E8" w:rsidRDefault="005C798F" w:rsidP="005219E8">
      <w:pPr>
        <w:pStyle w:val="instructions"/>
        <w:tabs>
          <w:tab w:val="left" w:pos="284"/>
        </w:tabs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Dans le cadre du projet d</w:t>
      </w:r>
      <w:r w:rsidR="00505EF7">
        <w:rPr>
          <w:bCs/>
          <w:i w:val="0"/>
          <w:sz w:val="24"/>
          <w:szCs w:val="24"/>
        </w:rPr>
        <w:t xml:space="preserve">’appel à manifestations d’intérêt France 2030 </w:t>
      </w:r>
      <w:proofErr w:type="spellStart"/>
      <w:r w:rsidR="00505EF7">
        <w:rPr>
          <w:bCs/>
          <w:i w:val="0"/>
          <w:sz w:val="24"/>
          <w:szCs w:val="24"/>
        </w:rPr>
        <w:t>Battena</w:t>
      </w:r>
      <w:proofErr w:type="spellEnd"/>
      <w:r w:rsidR="00505EF7">
        <w:rPr>
          <w:bCs/>
          <w:i w:val="0"/>
          <w:sz w:val="24"/>
          <w:szCs w:val="24"/>
        </w:rPr>
        <w:t xml:space="preserve">, l’université de Poitiers souhaite se doter de </w:t>
      </w:r>
      <w:r w:rsidR="00D21E32">
        <w:rPr>
          <w:bCs/>
          <w:i w:val="0"/>
          <w:sz w:val="24"/>
          <w:szCs w:val="24"/>
        </w:rPr>
        <w:t>trois</w:t>
      </w:r>
      <w:r w:rsidR="00505EF7">
        <w:rPr>
          <w:bCs/>
          <w:i w:val="0"/>
          <w:sz w:val="24"/>
          <w:szCs w:val="24"/>
        </w:rPr>
        <w:t xml:space="preserve"> bancs d</w:t>
      </w:r>
      <w:r w:rsidR="00D21E32">
        <w:rPr>
          <w:bCs/>
          <w:i w:val="0"/>
          <w:sz w:val="24"/>
          <w:szCs w:val="24"/>
        </w:rPr>
        <w:t xml:space="preserve">’émulateurs de batteries. L’objectif est de former </w:t>
      </w:r>
      <w:r w:rsidR="00386344">
        <w:rPr>
          <w:bCs/>
          <w:i w:val="0"/>
          <w:sz w:val="24"/>
          <w:szCs w:val="24"/>
        </w:rPr>
        <w:t xml:space="preserve">les étudiants </w:t>
      </w:r>
      <w:r w:rsidR="00D21E32">
        <w:rPr>
          <w:bCs/>
          <w:i w:val="0"/>
          <w:sz w:val="24"/>
          <w:szCs w:val="24"/>
        </w:rPr>
        <w:t xml:space="preserve">aux chaines de tractions des véhicules électriques (VE), des structures de chargeurs de VE et de </w:t>
      </w:r>
      <w:r w:rsidR="00386344">
        <w:rPr>
          <w:bCs/>
          <w:i w:val="0"/>
          <w:sz w:val="24"/>
          <w:szCs w:val="24"/>
        </w:rPr>
        <w:t xml:space="preserve">la </w:t>
      </w:r>
      <w:r w:rsidR="00D21E32">
        <w:rPr>
          <w:bCs/>
          <w:i w:val="0"/>
          <w:sz w:val="24"/>
          <w:szCs w:val="24"/>
        </w:rPr>
        <w:t>modélisation des batteries de différentes technologies.</w:t>
      </w:r>
      <w:r w:rsidR="008E1761">
        <w:rPr>
          <w:bCs/>
          <w:i w:val="0"/>
          <w:sz w:val="24"/>
          <w:szCs w:val="24"/>
        </w:rPr>
        <w:t xml:space="preserve"> </w:t>
      </w:r>
    </w:p>
    <w:p w14:paraId="312D1EEA" w14:textId="77777777" w:rsidR="005219E8" w:rsidRDefault="005219E8" w:rsidP="005219E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07D5DE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2" w:name="_Toc290563793"/>
      <w:r>
        <w:rPr>
          <w:rFonts w:ascii="Times New Roman" w:hAnsi="Times New Roman" w:cs="Times New Roman"/>
          <w:b/>
          <w:kern w:val="32"/>
          <w:sz w:val="28"/>
          <w:szCs w:val="28"/>
        </w:rPr>
        <w:t>Spécifications techniques</w:t>
      </w:r>
      <w:bookmarkEnd w:id="2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66A47DD6" w14:textId="77777777" w:rsidR="005219E8" w:rsidRDefault="005219E8" w:rsidP="005219E8">
      <w:pPr>
        <w:rPr>
          <w:rFonts w:ascii="Times New Roman" w:hAnsi="Times New Roman" w:cs="Times New Roman"/>
          <w:sz w:val="24"/>
          <w:szCs w:val="24"/>
        </w:rPr>
      </w:pPr>
    </w:p>
    <w:p w14:paraId="1CDA1C3E" w14:textId="16BE095B" w:rsidR="00630B11" w:rsidRDefault="00126915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lot est constitué de </w:t>
      </w:r>
      <w:r w:rsidR="00D21E32">
        <w:rPr>
          <w:rFonts w:ascii="Times New Roman" w:hAnsi="Times New Roman" w:cs="Times New Roman"/>
          <w:sz w:val="24"/>
          <w:szCs w:val="24"/>
        </w:rPr>
        <w:t>trois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E32">
        <w:rPr>
          <w:rFonts w:ascii="Times New Roman" w:hAnsi="Times New Roman" w:cs="Times New Roman"/>
          <w:sz w:val="24"/>
          <w:szCs w:val="24"/>
        </w:rPr>
        <w:t>émulateurs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D21E32">
        <w:rPr>
          <w:rFonts w:ascii="Times New Roman" w:hAnsi="Times New Roman" w:cs="Times New Roman"/>
          <w:sz w:val="24"/>
          <w:szCs w:val="24"/>
        </w:rPr>
        <w:t>batteries</w:t>
      </w:r>
      <w:r w:rsidR="00630B11">
        <w:rPr>
          <w:rFonts w:ascii="Times New Roman" w:hAnsi="Times New Roman" w:cs="Times New Roman"/>
          <w:sz w:val="24"/>
          <w:szCs w:val="24"/>
        </w:rPr>
        <w:t>.</w:t>
      </w:r>
    </w:p>
    <w:p w14:paraId="1679257D" w14:textId="77777777" w:rsidR="00D21E32" w:rsidRDefault="00630B11" w:rsidP="005219E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</w:t>
      </w:r>
      <w:r w:rsidR="00537138">
        <w:rPr>
          <w:rFonts w:ascii="Times New Roman" w:hAnsi="Times New Roman" w:cs="Times New Roman"/>
          <w:sz w:val="24"/>
          <w:szCs w:val="24"/>
        </w:rPr>
        <w:t xml:space="preserve">s caractéristiques des </w:t>
      </w:r>
      <w:r w:rsidR="00D21E32">
        <w:rPr>
          <w:rFonts w:ascii="Times New Roman" w:hAnsi="Times New Roman" w:cs="Times New Roman"/>
          <w:sz w:val="24"/>
          <w:szCs w:val="24"/>
        </w:rPr>
        <w:t>trois</w:t>
      </w:r>
      <w:r w:rsidR="00B16A0E">
        <w:rPr>
          <w:rFonts w:ascii="Times New Roman" w:hAnsi="Times New Roman" w:cs="Times New Roman"/>
          <w:sz w:val="24"/>
          <w:szCs w:val="24"/>
        </w:rPr>
        <w:t xml:space="preserve"> </w:t>
      </w:r>
      <w:r w:rsidR="00D21E32">
        <w:rPr>
          <w:rFonts w:ascii="Times New Roman" w:hAnsi="Times New Roman" w:cs="Times New Roman"/>
          <w:sz w:val="24"/>
          <w:szCs w:val="24"/>
        </w:rPr>
        <w:t>émulateurs</w:t>
      </w:r>
      <w:r w:rsidR="00B16A0E">
        <w:rPr>
          <w:rFonts w:ascii="Times New Roman" w:hAnsi="Times New Roman" w:cs="Times New Roman"/>
          <w:sz w:val="24"/>
          <w:szCs w:val="24"/>
        </w:rPr>
        <w:t xml:space="preserve"> sont identiques</w:t>
      </w:r>
      <w:r w:rsidR="00A67D96" w:rsidRPr="00C957C9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</w:p>
    <w:p w14:paraId="55C7C976" w14:textId="603E429B" w:rsidR="00222D02" w:rsidRDefault="00222D02" w:rsidP="00222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Alimentation programmable </w:t>
      </w:r>
      <w:r w:rsidRPr="00222D02">
        <w:rPr>
          <w:rFonts w:ascii="Times New Roman" w:hAnsi="Times New Roman" w:cs="Times New Roman"/>
          <w:sz w:val="24"/>
          <w:szCs w:val="24"/>
        </w:rPr>
        <w:t>Bidirection</w:t>
      </w:r>
      <w:r w:rsidR="00575533">
        <w:rPr>
          <w:rFonts w:ascii="Times New Roman" w:hAnsi="Times New Roman" w:cs="Times New Roman"/>
          <w:sz w:val="24"/>
          <w:szCs w:val="24"/>
        </w:rPr>
        <w:t>ne</w:t>
      </w:r>
      <w:r w:rsidRPr="00222D02">
        <w:rPr>
          <w:rFonts w:ascii="Times New Roman" w:hAnsi="Times New Roman" w:cs="Times New Roman"/>
          <w:sz w:val="24"/>
          <w:szCs w:val="24"/>
        </w:rPr>
        <w:t>l</w:t>
      </w:r>
      <w:r w:rsidR="00575533">
        <w:rPr>
          <w:rFonts w:ascii="Times New Roman" w:hAnsi="Times New Roman" w:cs="Times New Roman"/>
          <w:sz w:val="24"/>
          <w:szCs w:val="24"/>
        </w:rPr>
        <w:t>le</w:t>
      </w:r>
      <w:r w:rsidRPr="00222D02">
        <w:rPr>
          <w:rFonts w:ascii="Times New Roman" w:hAnsi="Times New Roman" w:cs="Times New Roman"/>
          <w:sz w:val="24"/>
          <w:szCs w:val="24"/>
        </w:rPr>
        <w:t xml:space="preserve"> DC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22D02">
        <w:rPr>
          <w:rFonts w:ascii="Times New Roman" w:hAnsi="Times New Roman" w:cs="Times New Roman"/>
          <w:sz w:val="24"/>
          <w:szCs w:val="24"/>
        </w:rPr>
        <w:t>600V/40A/6kW</w:t>
      </w:r>
    </w:p>
    <w:p w14:paraId="210D7384" w14:textId="0E8F906D" w:rsidR="00222D02" w:rsidRDefault="00222D02" w:rsidP="00222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Alimentation / Réinjection AC sur le réseau. </w:t>
      </w:r>
    </w:p>
    <w:p w14:paraId="74C75478" w14:textId="179CB981" w:rsidR="00222D02" w:rsidRDefault="00222D02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Isolation galvanique de la partie DC.</w:t>
      </w:r>
    </w:p>
    <w:p w14:paraId="15449AA6" w14:textId="1ABC5103" w:rsidR="00222D02" w:rsidRDefault="00222D02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Logiciel d’émulation de batteries associé à l’alimentation DC/DC réversible.</w:t>
      </w:r>
    </w:p>
    <w:p w14:paraId="0B8E54B0" w14:textId="697AE2AC" w:rsidR="00E834F2" w:rsidRDefault="00E834F2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Logiciel de pilotage de l’alimentation.</w:t>
      </w:r>
    </w:p>
    <w:p w14:paraId="2A56D826" w14:textId="4B96F80D" w:rsidR="007A0333" w:rsidRDefault="007A0333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Mesure de tension et courant à 0.1%</w:t>
      </w:r>
      <w:r w:rsidR="00527AF5">
        <w:rPr>
          <w:rFonts w:ascii="Times New Roman" w:hAnsi="Times New Roman" w:cs="Times New Roman"/>
          <w:sz w:val="24"/>
          <w:szCs w:val="24"/>
        </w:rPr>
        <w:t xml:space="preserve"> pleine échelle</w:t>
      </w:r>
    </w:p>
    <w:p w14:paraId="79B6D5CC" w14:textId="434153BA" w:rsidR="00EE294E" w:rsidRDefault="00EE294E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Possibilité de mise en série et en parallèle des alimentations DC.</w:t>
      </w:r>
    </w:p>
    <w:p w14:paraId="3C35E5A8" w14:textId="030F1D42" w:rsidR="005E1747" w:rsidRDefault="005E1747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Temps de réponse &lt;1.5ms</w:t>
      </w:r>
    </w:p>
    <w:p w14:paraId="631AC44B" w14:textId="3E6032EC" w:rsidR="005219E8" w:rsidRDefault="00222D02" w:rsidP="00521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219E8">
        <w:rPr>
          <w:rFonts w:ascii="Times New Roman" w:hAnsi="Times New Roman" w:cs="Times New Roman"/>
          <w:sz w:val="24"/>
          <w:szCs w:val="24"/>
        </w:rPr>
        <w:t>l est demandé une mise en service</w:t>
      </w:r>
      <w:r w:rsidR="00467922">
        <w:rPr>
          <w:rFonts w:ascii="Times New Roman" w:hAnsi="Times New Roman" w:cs="Times New Roman"/>
          <w:sz w:val="24"/>
          <w:szCs w:val="24"/>
        </w:rPr>
        <w:t xml:space="preserve"> et une </w:t>
      </w:r>
      <w:r w:rsidR="00D7194E">
        <w:rPr>
          <w:rFonts w:ascii="Times New Roman" w:hAnsi="Times New Roman" w:cs="Times New Roman"/>
          <w:sz w:val="24"/>
          <w:szCs w:val="24"/>
        </w:rPr>
        <w:t>formation</w:t>
      </w:r>
      <w:r w:rsidR="005219E8">
        <w:rPr>
          <w:rFonts w:ascii="Times New Roman" w:hAnsi="Times New Roman" w:cs="Times New Roman"/>
          <w:sz w:val="24"/>
          <w:szCs w:val="24"/>
        </w:rPr>
        <w:t xml:space="preserve"> sur </w:t>
      </w:r>
      <w:r w:rsidR="0039737D">
        <w:rPr>
          <w:rFonts w:ascii="Times New Roman" w:hAnsi="Times New Roman" w:cs="Times New Roman"/>
          <w:sz w:val="24"/>
          <w:szCs w:val="24"/>
        </w:rPr>
        <w:t>le site de l’IUT de Poitiers</w:t>
      </w:r>
      <w:r w:rsidR="005219E8">
        <w:rPr>
          <w:rFonts w:ascii="Times New Roman" w:hAnsi="Times New Roman" w:cs="Times New Roman"/>
          <w:sz w:val="24"/>
          <w:szCs w:val="24"/>
        </w:rPr>
        <w:t xml:space="preserve"> </w:t>
      </w:r>
      <w:r w:rsidR="004679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95AF9" w14:textId="2DC09C58" w:rsidR="005219E8" w:rsidRDefault="00582999" w:rsidP="00F468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 alimentation sera équipée d’une interface CAN.</w:t>
      </w:r>
    </w:p>
    <w:p w14:paraId="5753C13F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bookmarkStart w:id="3" w:name="_Toc290563799"/>
      <w:r>
        <w:rPr>
          <w:rFonts w:ascii="Times New Roman" w:hAnsi="Times New Roman" w:cs="Times New Roman"/>
          <w:b/>
          <w:kern w:val="32"/>
          <w:sz w:val="28"/>
          <w:szCs w:val="28"/>
        </w:rPr>
        <w:t>Délais de livraison</w:t>
      </w:r>
      <w:bookmarkEnd w:id="3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7629E011" w14:textId="77777777" w:rsidR="008E1761" w:rsidRDefault="008E1761" w:rsidP="008E1761">
      <w:pPr>
        <w:keepNext/>
        <w:spacing w:before="240" w:after="60" w:line="240" w:lineRule="auto"/>
        <w:ind w:left="720"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14:paraId="14E81A7F" w14:textId="0DC3471A" w:rsidR="00C81E66" w:rsidRDefault="00BC1CAE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Conscient des </w:t>
      </w:r>
      <w:r w:rsidR="00491F7D">
        <w:rPr>
          <w:rFonts w:ascii="Times New Roman" w:hAnsi="Times New Roman" w:cs="Times New Roman"/>
          <w:sz w:val="24"/>
          <w:szCs w:val="24"/>
        </w:rPr>
        <w:t>délais de fabrication et de livraison</w:t>
      </w:r>
      <w:r w:rsidR="00A25294">
        <w:rPr>
          <w:rFonts w:ascii="Times New Roman" w:hAnsi="Times New Roman" w:cs="Times New Roman"/>
          <w:sz w:val="24"/>
          <w:szCs w:val="24"/>
        </w:rPr>
        <w:t xml:space="preserve"> de ce type de matériel</w:t>
      </w:r>
      <w:r w:rsidR="00491F7D">
        <w:rPr>
          <w:rFonts w:ascii="Times New Roman" w:hAnsi="Times New Roman" w:cs="Times New Roman"/>
          <w:sz w:val="24"/>
          <w:szCs w:val="24"/>
        </w:rPr>
        <w:t xml:space="preserve">, il serait intéressant de disposer du matériel sous 6 mois. </w:t>
      </w:r>
    </w:p>
    <w:p w14:paraId="27B94E05" w14:textId="72648250" w:rsidR="005219E8" w:rsidRDefault="005219E8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matériel devra être livré et installé </w:t>
      </w:r>
      <w:proofErr w:type="gramStart"/>
      <w:r>
        <w:rPr>
          <w:rFonts w:ascii="Times New Roman" w:hAnsi="Times New Roman" w:cs="Times New Roman"/>
          <w:sz w:val="24"/>
          <w:szCs w:val="24"/>
        </w:rPr>
        <w:t>au:</w:t>
      </w:r>
      <w:proofErr w:type="gramEnd"/>
    </w:p>
    <w:p w14:paraId="4AC6597E" w14:textId="77777777" w:rsidR="00C81E66" w:rsidRPr="00C81E66" w:rsidRDefault="00C81E66" w:rsidP="00C81E66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lastRenderedPageBreak/>
        <w:t>IUT de Poitiers</w:t>
      </w:r>
    </w:p>
    <w:p w14:paraId="3664152F" w14:textId="77777777" w:rsidR="00C81E66" w:rsidRPr="00C81E66" w:rsidRDefault="00C81E66" w:rsidP="00C81E66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t xml:space="preserve">14 </w:t>
      </w:r>
      <w:proofErr w:type="gramStart"/>
      <w:r w:rsidRPr="00C81E66">
        <w:rPr>
          <w:rFonts w:ascii="Times New Roman" w:hAnsi="Times New Roman" w:cs="Times New Roman"/>
          <w:sz w:val="24"/>
          <w:szCs w:val="24"/>
        </w:rPr>
        <w:t>allée</w:t>
      </w:r>
      <w:proofErr w:type="gramEnd"/>
      <w:r w:rsidRPr="00C81E66">
        <w:rPr>
          <w:rFonts w:ascii="Times New Roman" w:hAnsi="Times New Roman" w:cs="Times New Roman"/>
          <w:sz w:val="24"/>
          <w:szCs w:val="24"/>
        </w:rPr>
        <w:t xml:space="preserve"> Jean Monnet, TSA41114</w:t>
      </w:r>
    </w:p>
    <w:p w14:paraId="0B146335" w14:textId="388D8F35" w:rsidR="005219E8" w:rsidRDefault="00C81E66" w:rsidP="00C81E66">
      <w:pPr>
        <w:spacing w:line="312" w:lineRule="auto"/>
        <w:rPr>
          <w:rFonts w:ascii="Times New Roman" w:hAnsi="Times New Roman" w:cs="Calibri"/>
          <w:sz w:val="24"/>
          <w:szCs w:val="24"/>
        </w:rPr>
      </w:pPr>
      <w:r w:rsidRPr="00C81E66">
        <w:rPr>
          <w:rFonts w:ascii="Times New Roman" w:hAnsi="Times New Roman" w:cs="Times New Roman"/>
          <w:sz w:val="24"/>
          <w:szCs w:val="24"/>
        </w:rPr>
        <w:t>86073 Poitiers Cedex 9</w:t>
      </w:r>
    </w:p>
    <w:p w14:paraId="282EAE2A" w14:textId="77777777" w:rsidR="005219E8" w:rsidRDefault="005219E8" w:rsidP="005219E8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spécifications nécessaires ou contraintes à la bonne installation de l’équipement devront être précisées dans l’offre.</w:t>
      </w:r>
    </w:p>
    <w:p w14:paraId="21DC46CB" w14:textId="77777777" w:rsidR="005219E8" w:rsidRDefault="005219E8" w:rsidP="005219E8">
      <w:pPr>
        <w:keepNext/>
        <w:numPr>
          <w:ilvl w:val="0"/>
          <w:numId w:val="2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kern w:val="32"/>
          <w:sz w:val="28"/>
          <w:szCs w:val="28"/>
        </w:rPr>
      </w:pPr>
      <w:bookmarkStart w:id="4" w:name="_Toc290563800"/>
      <w:r>
        <w:rPr>
          <w:rFonts w:ascii="Times New Roman" w:hAnsi="Times New Roman" w:cs="Times New Roman"/>
          <w:b/>
          <w:kern w:val="32"/>
          <w:sz w:val="28"/>
          <w:szCs w:val="28"/>
        </w:rPr>
        <w:t>Critères d’attribution</w:t>
      </w:r>
      <w:bookmarkEnd w:id="4"/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</w:p>
    <w:p w14:paraId="1A94A2CE" w14:textId="77777777" w:rsidR="005219E8" w:rsidRDefault="005219E8" w:rsidP="005219E8">
      <w:pPr>
        <w:rPr>
          <w:rFonts w:ascii="Calibri" w:hAnsi="Calibri" w:cs="Calibri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8"/>
        <w:gridCol w:w="1559"/>
      </w:tblGrid>
      <w:tr w:rsidR="005219E8" w14:paraId="313DC01D" w14:textId="77777777" w:rsidTr="005219E8">
        <w:trPr>
          <w:trHeight w:val="506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7022" w14:textId="77777777" w:rsidR="005219E8" w:rsidRDefault="005219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Critères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A423" w14:textId="77777777" w:rsidR="005219E8" w:rsidRDefault="00521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Pourcentage</w:t>
            </w:r>
          </w:p>
        </w:tc>
      </w:tr>
      <w:tr w:rsidR="005219E8" w14:paraId="39084F4C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D381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Calibri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Prix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D3D3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219E8" w14:paraId="027B39C9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E403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Qualité de la valeur technique</w:t>
            </w:r>
          </w:p>
          <w:p w14:paraId="6F540E63" w14:textId="77777777" w:rsidR="006D54BF" w:rsidRPr="006D54BF" w:rsidRDefault="006D54BF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Gamme d’essai (courant/tension)</w:t>
            </w:r>
          </w:p>
          <w:p w14:paraId="7C213A54" w14:textId="782F0C79" w:rsidR="005219E8" w:rsidRDefault="00A109FE" w:rsidP="005219E8">
            <w:pPr>
              <w:pStyle w:val="Paragraphedeliste"/>
              <w:keepNext/>
              <w:numPr>
                <w:ilvl w:val="0"/>
                <w:numId w:val="3"/>
              </w:numPr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Possibilités de duplication du logiciel</w:t>
            </w:r>
            <w:r w:rsidR="005219E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A114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219E8" w14:paraId="1B6DAC7D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8C5D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Délai de livraison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BC68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219E8" w14:paraId="17BBD4C0" w14:textId="77777777" w:rsidTr="005219E8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EE8E" w14:textId="77777777" w:rsidR="005219E8" w:rsidRDefault="005219E8">
            <w:pPr>
              <w:keepNext/>
              <w:spacing w:before="240" w:after="60"/>
              <w:ind w:left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SAV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B1CC" w14:textId="77777777" w:rsidR="005219E8" w:rsidRDefault="0052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14:paraId="1BDD841F" w14:textId="77777777" w:rsidR="005219E8" w:rsidRDefault="005219E8" w:rsidP="005219E8">
      <w:pPr>
        <w:ind w:left="708"/>
        <w:rPr>
          <w:rFonts w:ascii="Times New Roman" w:eastAsia="Times New Roman" w:hAnsi="Times New Roman" w:cs="Calibri"/>
        </w:rPr>
      </w:pPr>
    </w:p>
    <w:p w14:paraId="1C225FD9" w14:textId="77777777" w:rsidR="005219E8" w:rsidRDefault="005219E8" w:rsidP="005219E8">
      <w:pPr>
        <w:ind w:left="708"/>
        <w:rPr>
          <w:rFonts w:ascii="Times New Roman" w:hAnsi="Times New Roman"/>
        </w:rPr>
      </w:pPr>
    </w:p>
    <w:p w14:paraId="3BF9E014" w14:textId="70FAFD8E" w:rsidR="00A037BD" w:rsidRDefault="00A037BD" w:rsidP="00A037BD">
      <w:pPr>
        <w:keepNext/>
        <w:numPr>
          <w:ilvl w:val="0"/>
          <w:numId w:val="6"/>
        </w:numPr>
        <w:spacing w:before="240" w:after="60" w:line="240" w:lineRule="auto"/>
        <w:jc w:val="both"/>
        <w:outlineLvl w:val="0"/>
        <w:rPr>
          <w:rFonts w:ascii="Times New Roman" w:hAnsi="Times New Roman" w:cs="Cambria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>Budget</w:t>
      </w:r>
    </w:p>
    <w:p w14:paraId="2D8B8718" w14:textId="0473B704" w:rsidR="005219E8" w:rsidRDefault="00A037BD" w:rsidP="005219E8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Le budget max</w:t>
      </w:r>
      <w:r w:rsidR="00527AF5">
        <w:rPr>
          <w:rFonts w:ascii="Times New Roman" w:hAnsi="Times New Roman"/>
        </w:rPr>
        <w:t>imum</w:t>
      </w:r>
      <w:r>
        <w:rPr>
          <w:rFonts w:ascii="Times New Roman" w:hAnsi="Times New Roman"/>
        </w:rPr>
        <w:t xml:space="preserve"> alloué est de</w:t>
      </w:r>
      <w:r w:rsidR="00717F42">
        <w:rPr>
          <w:rFonts w:ascii="Times New Roman" w:hAnsi="Times New Roman"/>
        </w:rPr>
        <w:t xml:space="preserve"> l’ordre de 40000 euros HT</w:t>
      </w:r>
      <w:r w:rsidR="00527AF5">
        <w:rPr>
          <w:rFonts w:ascii="Times New Roman" w:hAnsi="Times New Roman"/>
        </w:rPr>
        <w:t xml:space="preserve"> </w:t>
      </w:r>
    </w:p>
    <w:p w14:paraId="065B3C9B" w14:textId="77777777" w:rsidR="005219E8" w:rsidRDefault="005219E8" w:rsidP="005219E8"/>
    <w:sectPr w:rsidR="00521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4FDC"/>
    <w:multiLevelType w:val="hybridMultilevel"/>
    <w:tmpl w:val="CF5476A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B26000"/>
    <w:multiLevelType w:val="hybridMultilevel"/>
    <w:tmpl w:val="F1CE1894"/>
    <w:lvl w:ilvl="0" w:tplc="536A6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271FB"/>
    <w:multiLevelType w:val="hybridMultilevel"/>
    <w:tmpl w:val="B04025C0"/>
    <w:lvl w:ilvl="0" w:tplc="22F0B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166BC"/>
    <w:multiLevelType w:val="hybridMultilevel"/>
    <w:tmpl w:val="2E7E22EE"/>
    <w:lvl w:ilvl="0" w:tplc="41502DE0">
      <w:start w:val="7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C157B95"/>
    <w:multiLevelType w:val="hybridMultilevel"/>
    <w:tmpl w:val="CF5476A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D51"/>
    <w:rsid w:val="00087D4E"/>
    <w:rsid w:val="00114E51"/>
    <w:rsid w:val="00126915"/>
    <w:rsid w:val="00157666"/>
    <w:rsid w:val="001A6C2C"/>
    <w:rsid w:val="001E0BFB"/>
    <w:rsid w:val="00203ECE"/>
    <w:rsid w:val="00216443"/>
    <w:rsid w:val="00222D02"/>
    <w:rsid w:val="00241025"/>
    <w:rsid w:val="002A64B9"/>
    <w:rsid w:val="002C33B0"/>
    <w:rsid w:val="002C6870"/>
    <w:rsid w:val="00301B9C"/>
    <w:rsid w:val="00310048"/>
    <w:rsid w:val="00345C2D"/>
    <w:rsid w:val="00346EE2"/>
    <w:rsid w:val="003679FD"/>
    <w:rsid w:val="00375667"/>
    <w:rsid w:val="00386344"/>
    <w:rsid w:val="003969E5"/>
    <w:rsid w:val="0039737D"/>
    <w:rsid w:val="00444341"/>
    <w:rsid w:val="00467922"/>
    <w:rsid w:val="00472659"/>
    <w:rsid w:val="00491F7D"/>
    <w:rsid w:val="004A0824"/>
    <w:rsid w:val="00505EF7"/>
    <w:rsid w:val="005219E8"/>
    <w:rsid w:val="00527AF5"/>
    <w:rsid w:val="00537138"/>
    <w:rsid w:val="00574D62"/>
    <w:rsid w:val="00575533"/>
    <w:rsid w:val="00582999"/>
    <w:rsid w:val="00592CA3"/>
    <w:rsid w:val="005C798F"/>
    <w:rsid w:val="005E1747"/>
    <w:rsid w:val="00630B11"/>
    <w:rsid w:val="006651E3"/>
    <w:rsid w:val="0067729A"/>
    <w:rsid w:val="006D54BF"/>
    <w:rsid w:val="00717F42"/>
    <w:rsid w:val="0079190C"/>
    <w:rsid w:val="00793C63"/>
    <w:rsid w:val="007A0333"/>
    <w:rsid w:val="007C5BFA"/>
    <w:rsid w:val="007D0030"/>
    <w:rsid w:val="007E114A"/>
    <w:rsid w:val="00843D5E"/>
    <w:rsid w:val="00887D9D"/>
    <w:rsid w:val="008E1761"/>
    <w:rsid w:val="009B22AC"/>
    <w:rsid w:val="00A037BD"/>
    <w:rsid w:val="00A109FE"/>
    <w:rsid w:val="00A25294"/>
    <w:rsid w:val="00A62AD1"/>
    <w:rsid w:val="00A67D96"/>
    <w:rsid w:val="00A83CDC"/>
    <w:rsid w:val="00AC2DF2"/>
    <w:rsid w:val="00B025AB"/>
    <w:rsid w:val="00B16A0E"/>
    <w:rsid w:val="00B35548"/>
    <w:rsid w:val="00B60A38"/>
    <w:rsid w:val="00BC1CAE"/>
    <w:rsid w:val="00C538C1"/>
    <w:rsid w:val="00C60A61"/>
    <w:rsid w:val="00C65C4F"/>
    <w:rsid w:val="00C814E1"/>
    <w:rsid w:val="00C81E66"/>
    <w:rsid w:val="00C957C9"/>
    <w:rsid w:val="00D21DE4"/>
    <w:rsid w:val="00D21E32"/>
    <w:rsid w:val="00D6561D"/>
    <w:rsid w:val="00D7194E"/>
    <w:rsid w:val="00DC1DB5"/>
    <w:rsid w:val="00E54D51"/>
    <w:rsid w:val="00E834F2"/>
    <w:rsid w:val="00E92089"/>
    <w:rsid w:val="00EA1BD3"/>
    <w:rsid w:val="00EE294E"/>
    <w:rsid w:val="00F468E9"/>
    <w:rsid w:val="00F6423B"/>
    <w:rsid w:val="00F91E91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88A4"/>
  <w15:chartTrackingRefBased/>
  <w15:docId w15:val="{B3571136-90E8-404B-AAC4-457D8E63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4E51"/>
    <w:pPr>
      <w:ind w:left="720"/>
      <w:contextualSpacing/>
    </w:pPr>
  </w:style>
  <w:style w:type="character" w:customStyle="1" w:styleId="instructionsCar">
    <w:name w:val="instructions Car"/>
    <w:link w:val="instructions"/>
    <w:locked/>
    <w:rsid w:val="005219E8"/>
    <w:rPr>
      <w:rFonts w:ascii="Times New Roman" w:eastAsia="Times New Roman" w:hAnsi="Times New Roman" w:cs="Times New Roman"/>
      <w:i/>
      <w:spacing w:val="-4"/>
    </w:rPr>
  </w:style>
  <w:style w:type="paragraph" w:customStyle="1" w:styleId="instructions">
    <w:name w:val="instructions"/>
    <w:basedOn w:val="Normal"/>
    <w:link w:val="instructionsCar"/>
    <w:qFormat/>
    <w:rsid w:val="005219E8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Poitiers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cauet</dc:creator>
  <cp:keywords/>
  <dc:description/>
  <cp:lastModifiedBy>Guille Aurelien</cp:lastModifiedBy>
  <cp:revision>3</cp:revision>
  <dcterms:created xsi:type="dcterms:W3CDTF">2025-04-16T13:16:00Z</dcterms:created>
  <dcterms:modified xsi:type="dcterms:W3CDTF">2025-04-17T07:56:00Z</dcterms:modified>
</cp:coreProperties>
</file>