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A7F" w:rsidRPr="00FA5B79" w:rsidRDefault="00964A7F" w:rsidP="00964A7F">
      <w:pPr>
        <w:keepNext w:val="0"/>
        <w:tabs>
          <w:tab w:val="left" w:pos="284"/>
          <w:tab w:val="left" w:pos="709"/>
        </w:tabs>
        <w:spacing w:before="0" w:after="0"/>
        <w:ind w:right="-142"/>
        <w:jc w:val="center"/>
        <w:rPr>
          <w:b/>
          <w:sz w:val="24"/>
          <w:szCs w:val="24"/>
        </w:rPr>
      </w:pPr>
      <w:r w:rsidRPr="00FA5B79">
        <w:rPr>
          <w:b/>
          <w:sz w:val="24"/>
          <w:szCs w:val="24"/>
        </w:rPr>
        <w:t xml:space="preserve">ANNEXE </w:t>
      </w:r>
      <w:r>
        <w:rPr>
          <w:b/>
          <w:sz w:val="24"/>
          <w:szCs w:val="24"/>
        </w:rPr>
        <w:t xml:space="preserve">1 </w:t>
      </w:r>
      <w:r w:rsidRPr="00FA5B79">
        <w:rPr>
          <w:b/>
          <w:sz w:val="24"/>
          <w:szCs w:val="24"/>
        </w:rPr>
        <w:t xml:space="preserve">: </w:t>
      </w:r>
      <w:r w:rsidRPr="00FA5B79">
        <w:rPr>
          <w:b/>
          <w:sz w:val="24"/>
          <w:szCs w:val="24"/>
        </w:rPr>
        <w:tab/>
        <w:t>Architecture du système</w:t>
      </w:r>
    </w:p>
    <w:p w:rsidR="00964A7F" w:rsidRPr="00F756F2" w:rsidRDefault="00964A7F" w:rsidP="00964A7F">
      <w:pPr>
        <w:pStyle w:val="Paragraphedeliste"/>
        <w:keepNext w:val="0"/>
        <w:numPr>
          <w:ilvl w:val="0"/>
          <w:numId w:val="3"/>
        </w:numPr>
        <w:tabs>
          <w:tab w:val="left" w:pos="284"/>
          <w:tab w:val="left" w:pos="709"/>
        </w:tabs>
        <w:spacing w:before="0" w:after="0"/>
        <w:ind w:right="-142"/>
        <w:jc w:val="left"/>
        <w:rPr>
          <w:b/>
          <w:sz w:val="24"/>
        </w:rPr>
      </w:pPr>
      <w:r w:rsidRPr="00F756F2">
        <w:rPr>
          <w:b/>
          <w:sz w:val="24"/>
        </w:rPr>
        <w:t xml:space="preserve">– Synoptique </w:t>
      </w:r>
    </w:p>
    <w:p w:rsidR="00964A7F" w:rsidRPr="00FA5B79" w:rsidRDefault="00964A7F" w:rsidP="00964A7F">
      <w:pPr>
        <w:keepNext w:val="0"/>
        <w:tabs>
          <w:tab w:val="left" w:pos="284"/>
          <w:tab w:val="left" w:pos="709"/>
        </w:tabs>
        <w:spacing w:before="0" w:after="0"/>
        <w:ind w:right="-142"/>
        <w:jc w:val="center"/>
        <w:rPr>
          <w:b/>
          <w:sz w:val="24"/>
          <w:szCs w:val="24"/>
        </w:rPr>
      </w:pPr>
      <w:r w:rsidRPr="00FA5B79">
        <w:rPr>
          <w:b/>
          <w:noProof/>
          <w:sz w:val="24"/>
          <w:szCs w:val="24"/>
          <w:lang w:val="fr-FR"/>
        </w:rPr>
        <w:drawing>
          <wp:inline distT="0" distB="0" distL="0" distR="0" wp14:anchorId="6A8FFDD1" wp14:editId="3109246D">
            <wp:extent cx="6384925" cy="476313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47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  <w:r w:rsidRPr="00FA5B79">
        <w:rPr>
          <w:sz w:val="24"/>
        </w:rPr>
        <w:t xml:space="preserve">L’architecture est </w:t>
      </w:r>
      <w:r w:rsidR="00A371C1" w:rsidRPr="00FA5B79">
        <w:rPr>
          <w:sz w:val="24"/>
        </w:rPr>
        <w:t>basée</w:t>
      </w:r>
      <w:r w:rsidRPr="00FA5B79">
        <w:rPr>
          <w:sz w:val="24"/>
        </w:rPr>
        <w:t xml:space="preserve"> sur une communication Ethernet depuis l’automate du balisage. Les régulateurs communiquent en JBUS RS485. Une passerelle Ethernet est installée pour les connecter au réseau.</w:t>
      </w:r>
      <w:bookmarkStart w:id="0" w:name="_GoBack"/>
      <w:bookmarkEnd w:id="0"/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  <w:r w:rsidRPr="00FA5B79">
        <w:rPr>
          <w:sz w:val="24"/>
        </w:rPr>
        <w:t>Les informations liées au groupe électrogène de secours sont raccordées sur un coffret situé pièce adjacente au local « énergie ».</w:t>
      </w: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  <w:r w:rsidRPr="00FA5B79">
        <w:rPr>
          <w:sz w:val="24"/>
        </w:rPr>
        <w:t>Les informations liées à la manche à vent et aux lampes à éclats sont raccordées sur les bornier de l’armoire principale électrique « secourue » dans le local « énergie ».</w:t>
      </w: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  <w:r w:rsidRPr="00FA5B79">
        <w:rPr>
          <w:sz w:val="24"/>
        </w:rPr>
        <w:t>Les informations liées aux régulateurs (x6) sont raccordées à la carte communication à l’entrée des régulateurs.</w:t>
      </w:r>
    </w:p>
    <w:p w:rsidR="00964A7F" w:rsidRPr="00FA5B79" w:rsidRDefault="00964A7F" w:rsidP="00964A7F">
      <w:pPr>
        <w:keepNext w:val="0"/>
        <w:spacing w:before="0" w:after="0"/>
        <w:jc w:val="left"/>
        <w:rPr>
          <w:sz w:val="24"/>
        </w:rPr>
      </w:pPr>
      <w:r w:rsidRPr="00FA5B79">
        <w:rPr>
          <w:sz w:val="24"/>
        </w:rPr>
        <w:t>Les régulateurs sont de marque ADB (type MCR-III et MCR 5000).</w:t>
      </w:r>
    </w:p>
    <w:p w:rsidR="00964A7F" w:rsidRDefault="00964A7F" w:rsidP="00964A7F">
      <w:pPr>
        <w:keepNext w:val="0"/>
        <w:spacing w:before="0" w:after="0"/>
        <w:jc w:val="left"/>
        <w:rPr>
          <w:sz w:val="24"/>
        </w:rPr>
      </w:pPr>
    </w:p>
    <w:p w:rsidR="00964A7F" w:rsidRPr="00F756F2" w:rsidRDefault="00964A7F" w:rsidP="00964A7F">
      <w:pPr>
        <w:pStyle w:val="Paragraphedeliste"/>
        <w:keepNext w:val="0"/>
        <w:numPr>
          <w:ilvl w:val="0"/>
          <w:numId w:val="3"/>
        </w:numPr>
        <w:tabs>
          <w:tab w:val="left" w:pos="284"/>
          <w:tab w:val="left" w:pos="709"/>
        </w:tabs>
        <w:spacing w:before="0" w:after="0"/>
        <w:ind w:right="-142"/>
        <w:jc w:val="left"/>
        <w:rPr>
          <w:b/>
          <w:sz w:val="24"/>
        </w:rPr>
      </w:pPr>
      <w:r w:rsidRPr="00F756F2">
        <w:rPr>
          <w:b/>
          <w:sz w:val="24"/>
        </w:rPr>
        <w:t xml:space="preserve">– </w:t>
      </w:r>
      <w:r>
        <w:rPr>
          <w:b/>
          <w:sz w:val="24"/>
        </w:rPr>
        <w:t>Descriptif du matériel</w:t>
      </w:r>
    </w:p>
    <w:p w:rsidR="00964A7F" w:rsidRPr="00FA5B79" w:rsidRDefault="00964A7F" w:rsidP="00964A7F">
      <w:pPr>
        <w:keepNext w:val="0"/>
        <w:spacing w:before="0" w:after="0"/>
        <w:jc w:val="left"/>
        <w:rPr>
          <w:b/>
          <w:sz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1127"/>
        <w:gridCol w:w="6730"/>
      </w:tblGrid>
      <w:tr w:rsidR="00964A7F" w:rsidRPr="00FA5B79" w:rsidTr="009831A1">
        <w:tc>
          <w:tcPr>
            <w:tcW w:w="10060" w:type="dxa"/>
            <w:gridSpan w:val="3"/>
            <w:shd w:val="clear" w:color="auto" w:fill="E5B8B7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szCs w:val="22"/>
              </w:rPr>
            </w:pPr>
            <w:r w:rsidRPr="00FA5B79">
              <w:rPr>
                <w:b/>
                <w:szCs w:val="22"/>
              </w:rPr>
              <w:t>Vigie</w:t>
            </w:r>
          </w:p>
        </w:tc>
      </w:tr>
      <w:tr w:rsidR="00964A7F" w:rsidRPr="00FA5B79" w:rsidTr="009831A1">
        <w:tc>
          <w:tcPr>
            <w:tcW w:w="2203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Désignation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Nombre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Observation</w:t>
            </w:r>
          </w:p>
        </w:tc>
      </w:tr>
      <w:tr w:rsidR="00964A7F" w:rsidRPr="00FA5B79" w:rsidTr="009831A1">
        <w:tc>
          <w:tcPr>
            <w:tcW w:w="2203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Terminal tactile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2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964A7F" w:rsidRPr="00FA5B79" w:rsidRDefault="00A371C1" w:rsidP="009831A1">
            <w:pPr>
              <w:keepNext w:val="0"/>
              <w:spacing w:before="0" w:after="0"/>
              <w:rPr>
                <w:szCs w:val="22"/>
              </w:rPr>
            </w:pPr>
            <w:r w:rsidRPr="00FA5B79">
              <w:rPr>
                <w:szCs w:val="22"/>
              </w:rPr>
              <w:t>Écran</w:t>
            </w:r>
            <w:r w:rsidR="00964A7F" w:rsidRPr="00FA5B79">
              <w:rPr>
                <w:szCs w:val="22"/>
              </w:rPr>
              <w:t xml:space="preserve"> Proface </w:t>
            </w:r>
            <w:r w:rsidR="00620628">
              <w:rPr>
                <w:szCs w:val="22"/>
              </w:rPr>
              <w:t>SP5000</w:t>
            </w:r>
          </w:p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</w:rPr>
            </w:pPr>
            <w:r w:rsidRPr="00FA5B79">
              <w:rPr>
                <w:szCs w:val="22"/>
              </w:rPr>
              <w:t>12,1 pouces</w:t>
            </w:r>
          </w:p>
        </w:tc>
      </w:tr>
    </w:tbl>
    <w:p w:rsidR="00964A7F" w:rsidRPr="00FA5B79" w:rsidRDefault="00964A7F" w:rsidP="00964A7F">
      <w:pPr>
        <w:keepNext w:val="0"/>
        <w:spacing w:before="0" w:after="0"/>
        <w:ind w:left="360"/>
        <w:jc w:val="left"/>
        <w:rPr>
          <w:b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1127"/>
        <w:gridCol w:w="6734"/>
      </w:tblGrid>
      <w:tr w:rsidR="00964A7F" w:rsidRPr="00FA5B79" w:rsidTr="009831A1">
        <w:tc>
          <w:tcPr>
            <w:tcW w:w="10060" w:type="dxa"/>
            <w:gridSpan w:val="3"/>
            <w:shd w:val="clear" w:color="auto" w:fill="E5B8B7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szCs w:val="22"/>
              </w:rPr>
            </w:pPr>
            <w:r w:rsidRPr="00FA5B79">
              <w:rPr>
                <w:b/>
                <w:szCs w:val="22"/>
              </w:rPr>
              <w:t xml:space="preserve">Salle technique </w:t>
            </w:r>
          </w:p>
        </w:tc>
      </w:tr>
      <w:tr w:rsidR="00964A7F" w:rsidRPr="00FA5B79" w:rsidTr="009831A1">
        <w:tc>
          <w:tcPr>
            <w:tcW w:w="2199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Désignation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Nombre</w:t>
            </w:r>
          </w:p>
        </w:tc>
        <w:tc>
          <w:tcPr>
            <w:tcW w:w="6734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Observation</w:t>
            </w:r>
          </w:p>
        </w:tc>
      </w:tr>
      <w:tr w:rsidR="00964A7F" w:rsidRPr="00FA5B79" w:rsidTr="009831A1">
        <w:tc>
          <w:tcPr>
            <w:tcW w:w="2199" w:type="dxa"/>
            <w:shd w:val="clear" w:color="auto" w:fill="auto"/>
            <w:vAlign w:val="center"/>
          </w:tcPr>
          <w:p w:rsidR="00964A7F" w:rsidRPr="00FA5B79" w:rsidRDefault="00A371C1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Écran</w:t>
            </w:r>
            <w:r w:rsidR="00964A7F" w:rsidRPr="00FA5B79">
              <w:rPr>
                <w:szCs w:val="22"/>
              </w:rPr>
              <w:t xml:space="preserve"> de visualisation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34" w:type="dxa"/>
            <w:shd w:val="clear" w:color="auto" w:fill="auto"/>
            <w:vAlign w:val="center"/>
          </w:tcPr>
          <w:p w:rsidR="00964A7F" w:rsidRPr="00F51BB6" w:rsidRDefault="00A371C1" w:rsidP="009831A1">
            <w:pPr>
              <w:keepNext w:val="0"/>
              <w:spacing w:before="0" w:after="0"/>
              <w:rPr>
                <w:szCs w:val="22"/>
              </w:rPr>
            </w:pPr>
            <w:r w:rsidRPr="00F51BB6">
              <w:rPr>
                <w:szCs w:val="22"/>
              </w:rPr>
              <w:t>Écran</w:t>
            </w:r>
            <w:r w:rsidR="00964A7F" w:rsidRPr="00F51BB6">
              <w:rPr>
                <w:szCs w:val="22"/>
              </w:rPr>
              <w:t xml:space="preserve"> Phillips – 22’’ – 223V7QDSB</w:t>
            </w:r>
          </w:p>
        </w:tc>
      </w:tr>
      <w:tr w:rsidR="00964A7F" w:rsidRPr="00FA5B79" w:rsidTr="009831A1">
        <w:tc>
          <w:tcPr>
            <w:tcW w:w="2199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Unité centrale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34" w:type="dxa"/>
            <w:shd w:val="clear" w:color="auto" w:fill="auto"/>
            <w:vAlign w:val="center"/>
          </w:tcPr>
          <w:p w:rsidR="00964A7F" w:rsidRPr="00F51BB6" w:rsidRDefault="00964A7F" w:rsidP="009831A1">
            <w:pPr>
              <w:keepNext w:val="0"/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 xml:space="preserve">PC Bureautique HP 290 G2 – Micro </w:t>
            </w:r>
            <w:proofErr w:type="spellStart"/>
            <w:r w:rsidRPr="00F51BB6">
              <w:rPr>
                <w:szCs w:val="22"/>
              </w:rPr>
              <w:t>tower</w:t>
            </w:r>
            <w:proofErr w:type="spellEnd"/>
            <w:r w:rsidRPr="00F51BB6">
              <w:rPr>
                <w:szCs w:val="22"/>
              </w:rPr>
              <w:t> :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 xml:space="preserve">Processeur 1 x </w:t>
            </w:r>
            <w:proofErr w:type="spellStart"/>
            <w:r w:rsidRPr="00F51BB6">
              <w:rPr>
                <w:szCs w:val="22"/>
              </w:rPr>
              <w:t>Core</w:t>
            </w:r>
            <w:proofErr w:type="spellEnd"/>
            <w:r w:rsidRPr="00F51BB6">
              <w:rPr>
                <w:szCs w:val="22"/>
              </w:rPr>
              <w:t xml:space="preserve"> i3 8100 / 3,6 GHz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>RAM 4 GB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>Disque dur : HDD 500 GB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 xml:space="preserve">DVD </w:t>
            </w:r>
            <w:proofErr w:type="spellStart"/>
            <w:r w:rsidRPr="00F51BB6">
              <w:rPr>
                <w:szCs w:val="22"/>
              </w:rPr>
              <w:t>Writer</w:t>
            </w:r>
            <w:proofErr w:type="spellEnd"/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 xml:space="preserve">UHD 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>Graphics 630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proofErr w:type="spellStart"/>
            <w:r w:rsidRPr="00F51BB6">
              <w:rPr>
                <w:szCs w:val="22"/>
              </w:rPr>
              <w:t>GigE</w:t>
            </w:r>
            <w:proofErr w:type="spellEnd"/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>Souris et clavier</w:t>
            </w:r>
          </w:p>
          <w:p w:rsidR="00964A7F" w:rsidRPr="00F51BB6" w:rsidRDefault="00964A7F" w:rsidP="00964A7F">
            <w:pPr>
              <w:keepNext w:val="0"/>
              <w:numPr>
                <w:ilvl w:val="0"/>
                <w:numId w:val="1"/>
              </w:numPr>
              <w:spacing w:before="0" w:after="0"/>
              <w:jc w:val="left"/>
              <w:rPr>
                <w:szCs w:val="22"/>
              </w:rPr>
            </w:pPr>
            <w:r w:rsidRPr="00F51BB6">
              <w:rPr>
                <w:szCs w:val="22"/>
              </w:rPr>
              <w:t>Windows 10 Pro 64 bit</w:t>
            </w:r>
          </w:p>
        </w:tc>
      </w:tr>
      <w:tr w:rsidR="00964A7F" w:rsidRPr="00FA5B79" w:rsidTr="009831A1">
        <w:tc>
          <w:tcPr>
            <w:tcW w:w="2199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Imprimante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34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left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EPSON LX350 :</w:t>
            </w:r>
          </w:p>
          <w:p w:rsidR="00964A7F" w:rsidRPr="00FA5B79" w:rsidRDefault="00964A7F" w:rsidP="009831A1">
            <w:pPr>
              <w:keepNext w:val="0"/>
              <w:autoSpaceDE w:val="0"/>
              <w:autoSpaceDN w:val="0"/>
              <w:adjustRightInd w:val="0"/>
              <w:spacing w:before="0" w:after="0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raccordée au PC serveur, elle permet l’impression au fils de l’eau de tous les évènements</w:t>
            </w:r>
          </w:p>
        </w:tc>
      </w:tr>
    </w:tbl>
    <w:p w:rsidR="00964A7F" w:rsidRPr="00FA5B79" w:rsidRDefault="00964A7F" w:rsidP="00964A7F">
      <w:pPr>
        <w:keepNext w:val="0"/>
        <w:spacing w:before="0" w:after="0"/>
        <w:jc w:val="left"/>
        <w:rPr>
          <w:b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1125"/>
        <w:gridCol w:w="6745"/>
      </w:tblGrid>
      <w:tr w:rsidR="00964A7F" w:rsidRPr="00FA5B79" w:rsidTr="009831A1">
        <w:tc>
          <w:tcPr>
            <w:tcW w:w="10060" w:type="dxa"/>
            <w:gridSpan w:val="3"/>
            <w:shd w:val="clear" w:color="auto" w:fill="E5B8B7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szCs w:val="22"/>
              </w:rPr>
            </w:pPr>
            <w:r w:rsidRPr="00FA5B79">
              <w:rPr>
                <w:b/>
                <w:szCs w:val="22"/>
              </w:rPr>
              <w:t>Local « énergie » (coffret électrique de l’automate)</w:t>
            </w:r>
          </w:p>
        </w:tc>
      </w:tr>
      <w:tr w:rsidR="00964A7F" w:rsidRPr="00FA5B79" w:rsidTr="009831A1">
        <w:tc>
          <w:tcPr>
            <w:tcW w:w="2190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Désignation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Nombre</w:t>
            </w:r>
          </w:p>
        </w:tc>
        <w:tc>
          <w:tcPr>
            <w:tcW w:w="674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Observation</w:t>
            </w:r>
          </w:p>
        </w:tc>
      </w:tr>
      <w:tr w:rsidR="00964A7F" w:rsidRPr="00FA5B79" w:rsidTr="009831A1">
        <w:tc>
          <w:tcPr>
            <w:tcW w:w="2190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Switch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4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</w:rPr>
            </w:pPr>
            <w:proofErr w:type="spellStart"/>
            <w:r w:rsidRPr="00FA5B79">
              <w:rPr>
                <w:szCs w:val="22"/>
              </w:rPr>
              <w:t>Dlink</w:t>
            </w:r>
            <w:proofErr w:type="spellEnd"/>
            <w:r w:rsidRPr="00FA5B79">
              <w:rPr>
                <w:szCs w:val="22"/>
              </w:rPr>
              <w:t xml:space="preserve"> DES-1016D, 16 port non </w:t>
            </w:r>
            <w:proofErr w:type="spellStart"/>
            <w:r w:rsidRPr="00FA5B79">
              <w:rPr>
                <w:szCs w:val="22"/>
              </w:rPr>
              <w:t>manageable</w:t>
            </w:r>
            <w:proofErr w:type="spellEnd"/>
          </w:p>
        </w:tc>
      </w:tr>
      <w:tr w:rsidR="00964A7F" w:rsidRPr="00FA5B79" w:rsidTr="009831A1">
        <w:tc>
          <w:tcPr>
            <w:tcW w:w="2190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Passerelle Ethernet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4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</w:rPr>
            </w:pPr>
            <w:r w:rsidRPr="00FA5B79">
              <w:rPr>
                <w:szCs w:val="22"/>
              </w:rPr>
              <w:t xml:space="preserve">MOXA </w:t>
            </w:r>
            <w:proofErr w:type="spellStart"/>
            <w:r w:rsidRPr="00FA5B79">
              <w:rPr>
                <w:szCs w:val="22"/>
              </w:rPr>
              <w:t>MGate</w:t>
            </w:r>
            <w:proofErr w:type="spellEnd"/>
            <w:r w:rsidRPr="00FA5B79">
              <w:rPr>
                <w:szCs w:val="22"/>
              </w:rPr>
              <w:t xml:space="preserve"> MB3180</w:t>
            </w:r>
          </w:p>
        </w:tc>
      </w:tr>
      <w:tr w:rsidR="00964A7F" w:rsidRPr="00FA5B79" w:rsidTr="009831A1">
        <w:tc>
          <w:tcPr>
            <w:tcW w:w="2190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Horloge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4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</w:rPr>
            </w:pPr>
            <w:r w:rsidRPr="00FA5B79">
              <w:rPr>
                <w:szCs w:val="22"/>
                <w:lang w:val="fr-FR"/>
              </w:rPr>
              <w:t>GORGY TIMING de type MDE RT9S, Chaine horaire raccordée sur le réseau Ethernet et l’entrée IRIG B de la base</w:t>
            </w:r>
          </w:p>
        </w:tc>
      </w:tr>
      <w:tr w:rsidR="00964A7F" w:rsidRPr="00FA5B79" w:rsidTr="009831A1">
        <w:tc>
          <w:tcPr>
            <w:tcW w:w="2190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Automate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1</w:t>
            </w:r>
          </w:p>
        </w:tc>
        <w:tc>
          <w:tcPr>
            <w:tcW w:w="6745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SCHNEIDER de type M340</w:t>
            </w:r>
          </w:p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  <w:lang w:val="fr-FR"/>
              </w:rPr>
            </w:pPr>
          </w:p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Configuration 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0"/>
              <w:gridCol w:w="2749"/>
            </w:tblGrid>
            <w:tr w:rsidR="00964A7F" w:rsidRPr="00FA5B79" w:rsidTr="009831A1">
              <w:tc>
                <w:tcPr>
                  <w:tcW w:w="3430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Désignation</w:t>
                  </w:r>
                </w:p>
              </w:tc>
              <w:tc>
                <w:tcPr>
                  <w:tcW w:w="2749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Référence</w:t>
                  </w:r>
                </w:p>
              </w:tc>
            </w:tr>
            <w:tr w:rsidR="00964A7F" w:rsidRPr="00FA5B79" w:rsidTr="009831A1">
              <w:tc>
                <w:tcPr>
                  <w:tcW w:w="3430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Rack 4  modules</w:t>
                  </w:r>
                </w:p>
              </w:tc>
              <w:tc>
                <w:tcPr>
                  <w:tcW w:w="2749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left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BMX XBP0400</w:t>
                  </w:r>
                </w:p>
              </w:tc>
            </w:tr>
            <w:tr w:rsidR="00964A7F" w:rsidRPr="00FA5B79" w:rsidTr="009831A1">
              <w:tc>
                <w:tcPr>
                  <w:tcW w:w="3430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Module d’alimentation 24V</w:t>
                  </w:r>
                </w:p>
              </w:tc>
              <w:tc>
                <w:tcPr>
                  <w:tcW w:w="2749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left"/>
                    <w:rPr>
                      <w:sz w:val="24"/>
                    </w:rPr>
                  </w:pPr>
                  <w:r w:rsidRPr="00FA5B79">
                    <w:rPr>
                      <w:sz w:val="24"/>
                    </w:rPr>
                    <w:t>BMX CPC2010</w:t>
                  </w:r>
                </w:p>
              </w:tc>
            </w:tr>
            <w:tr w:rsidR="00964A7F" w:rsidRPr="00FA5B79" w:rsidTr="009831A1">
              <w:tc>
                <w:tcPr>
                  <w:tcW w:w="3430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Module processeur PRENUIUM</w:t>
                  </w:r>
                </w:p>
              </w:tc>
              <w:tc>
                <w:tcPr>
                  <w:tcW w:w="2749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left"/>
                    <w:rPr>
                      <w:sz w:val="24"/>
                    </w:rPr>
                  </w:pPr>
                  <w:r w:rsidRPr="00FA5B79">
                    <w:rPr>
                      <w:sz w:val="24"/>
                    </w:rPr>
                    <w:t>BMX P342020</w:t>
                  </w:r>
                </w:p>
              </w:tc>
            </w:tr>
            <w:tr w:rsidR="00964A7F" w:rsidRPr="00FA5B79" w:rsidTr="009831A1">
              <w:tc>
                <w:tcPr>
                  <w:tcW w:w="3430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Module 32 entrées TOR</w:t>
                  </w:r>
                </w:p>
              </w:tc>
              <w:tc>
                <w:tcPr>
                  <w:tcW w:w="2749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left"/>
                    <w:rPr>
                      <w:sz w:val="24"/>
                    </w:rPr>
                  </w:pPr>
                  <w:r w:rsidRPr="00FA5B79">
                    <w:rPr>
                      <w:sz w:val="24"/>
                    </w:rPr>
                    <w:t>BMX DDI3202K</w:t>
                  </w:r>
                </w:p>
              </w:tc>
            </w:tr>
            <w:tr w:rsidR="00964A7F" w:rsidRPr="00FA5B79" w:rsidTr="009831A1">
              <w:tc>
                <w:tcPr>
                  <w:tcW w:w="3430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center"/>
                    <w:rPr>
                      <w:szCs w:val="22"/>
                      <w:lang w:val="fr-FR"/>
                    </w:rPr>
                  </w:pPr>
                  <w:r w:rsidRPr="00FA5B79">
                    <w:rPr>
                      <w:szCs w:val="22"/>
                      <w:lang w:val="fr-FR"/>
                    </w:rPr>
                    <w:t>Module 32 sorties TOR</w:t>
                  </w:r>
                </w:p>
              </w:tc>
              <w:tc>
                <w:tcPr>
                  <w:tcW w:w="2749" w:type="dxa"/>
                  <w:shd w:val="clear" w:color="auto" w:fill="auto"/>
                </w:tcPr>
                <w:p w:rsidR="00964A7F" w:rsidRPr="00FA5B79" w:rsidRDefault="00964A7F" w:rsidP="009831A1">
                  <w:pPr>
                    <w:keepNext w:val="0"/>
                    <w:spacing w:before="0" w:after="0"/>
                    <w:jc w:val="left"/>
                    <w:rPr>
                      <w:sz w:val="24"/>
                    </w:rPr>
                  </w:pPr>
                  <w:r w:rsidRPr="00FA5B79">
                    <w:rPr>
                      <w:sz w:val="24"/>
                    </w:rPr>
                    <w:t>DDO3202K</w:t>
                  </w:r>
                </w:p>
              </w:tc>
            </w:tr>
          </w:tbl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  <w:lang w:val="fr-FR"/>
              </w:rPr>
            </w:pPr>
          </w:p>
        </w:tc>
      </w:tr>
    </w:tbl>
    <w:p w:rsidR="00964A7F" w:rsidRPr="00FA5B79" w:rsidRDefault="00964A7F" w:rsidP="00964A7F">
      <w:pPr>
        <w:keepNext w:val="0"/>
        <w:spacing w:before="0" w:after="0"/>
        <w:jc w:val="left"/>
        <w:rPr>
          <w:b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7912"/>
      </w:tblGrid>
      <w:tr w:rsidR="00964A7F" w:rsidRPr="00FA5B79" w:rsidTr="009831A1">
        <w:tc>
          <w:tcPr>
            <w:tcW w:w="10060" w:type="dxa"/>
            <w:gridSpan w:val="2"/>
            <w:shd w:val="clear" w:color="auto" w:fill="E5B8B7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szCs w:val="22"/>
              </w:rPr>
            </w:pPr>
            <w:r w:rsidRPr="00FA5B79">
              <w:rPr>
                <w:b/>
                <w:szCs w:val="22"/>
              </w:rPr>
              <w:t xml:space="preserve">LOGICIELS </w:t>
            </w:r>
          </w:p>
        </w:tc>
      </w:tr>
      <w:tr w:rsidR="00964A7F" w:rsidRPr="00FA5B79" w:rsidTr="009831A1">
        <w:tc>
          <w:tcPr>
            <w:tcW w:w="2148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Désignation</w:t>
            </w:r>
          </w:p>
        </w:tc>
        <w:tc>
          <w:tcPr>
            <w:tcW w:w="7912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b/>
                <w:i/>
                <w:szCs w:val="22"/>
              </w:rPr>
            </w:pPr>
            <w:r w:rsidRPr="00FA5B79">
              <w:rPr>
                <w:b/>
                <w:i/>
                <w:szCs w:val="22"/>
              </w:rPr>
              <w:t>Observation</w:t>
            </w:r>
          </w:p>
        </w:tc>
      </w:tr>
      <w:tr w:rsidR="00964A7F" w:rsidRPr="00FA5B79" w:rsidTr="009831A1">
        <w:tc>
          <w:tcPr>
            <w:tcW w:w="2148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supervision</w:t>
            </w:r>
          </w:p>
        </w:tc>
        <w:tc>
          <w:tcPr>
            <w:tcW w:w="7912" w:type="dxa"/>
            <w:shd w:val="clear" w:color="auto" w:fill="auto"/>
            <w:vAlign w:val="center"/>
          </w:tcPr>
          <w:p w:rsidR="00964A7F" w:rsidRPr="00FA5B79" w:rsidRDefault="00620628" w:rsidP="009831A1">
            <w:pPr>
              <w:keepNext w:val="0"/>
              <w:autoSpaceDE w:val="0"/>
              <w:autoSpaceDN w:val="0"/>
              <w:adjustRightInd w:val="0"/>
              <w:spacing w:before="0" w:after="0"/>
              <w:jc w:val="lef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PcVue V16.1</w:t>
            </w:r>
            <w:r w:rsidR="00964A7F" w:rsidRPr="00FA5B79">
              <w:rPr>
                <w:szCs w:val="22"/>
                <w:lang w:val="fr-FR"/>
              </w:rPr>
              <w:t xml:space="preserve"> </w:t>
            </w:r>
            <w:r w:rsidR="00A371C1" w:rsidRPr="00FA5B79">
              <w:rPr>
                <w:szCs w:val="22"/>
                <w:lang w:val="fr-FR"/>
              </w:rPr>
              <w:t>d’ARC Informatique</w:t>
            </w:r>
          </w:p>
          <w:p w:rsidR="00964A7F" w:rsidRPr="00FA5B79" w:rsidRDefault="00620628" w:rsidP="009831A1">
            <w:pPr>
              <w:keepNext w:val="0"/>
              <w:autoSpaceDE w:val="0"/>
              <w:autoSpaceDN w:val="0"/>
              <w:adjustRightInd w:val="0"/>
              <w:spacing w:before="0" w:after="0"/>
              <w:jc w:val="lef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Les licences PcVue</w:t>
            </w:r>
            <w:r w:rsidR="00964A7F" w:rsidRPr="00FA5B79">
              <w:rPr>
                <w:szCs w:val="22"/>
                <w:lang w:val="fr-FR"/>
              </w:rPr>
              <w:t xml:space="preserve"> sont :</w:t>
            </w:r>
          </w:p>
          <w:p w:rsidR="00964A7F" w:rsidRPr="00FA5B79" w:rsidRDefault="00964A7F" w:rsidP="00964A7F">
            <w:pPr>
              <w:keepNext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1 licence COMPLET 1000 variables</w:t>
            </w:r>
          </w:p>
          <w:p w:rsidR="00964A7F" w:rsidRPr="00FA5B79" w:rsidRDefault="00964A7F" w:rsidP="00964A7F">
            <w:pPr>
              <w:keepNext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left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4 licences RUN-TIME 1000 variables</w:t>
            </w:r>
          </w:p>
          <w:p w:rsidR="00964A7F" w:rsidRPr="00FA5B79" w:rsidRDefault="00964A7F" w:rsidP="009831A1">
            <w:pPr>
              <w:keepNext w:val="0"/>
              <w:autoSpaceDE w:val="0"/>
              <w:autoSpaceDN w:val="0"/>
              <w:adjustRightInd w:val="0"/>
              <w:spacing w:before="0" w:after="0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L’interface graphique permet de dessiner le plan des pistes, de localiser les feux, de décrire les états des matériels, de définir des boutons tactiles ou souris pour les commandes.</w:t>
            </w:r>
          </w:p>
          <w:p w:rsidR="00964A7F" w:rsidRPr="00FA5B79" w:rsidRDefault="00964A7F" w:rsidP="009831A1">
            <w:pPr>
              <w:keepNext w:val="0"/>
              <w:autoSpaceDE w:val="0"/>
              <w:autoSpaceDN w:val="0"/>
              <w:adjustRightInd w:val="0"/>
              <w:spacing w:before="0" w:after="0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>Ce logiciel permet, avec une brève formation, aux personnels de maintenance de continuer à améliorer les images livrées.</w:t>
            </w:r>
          </w:p>
        </w:tc>
      </w:tr>
      <w:tr w:rsidR="00964A7F" w:rsidRPr="00FA5B79" w:rsidTr="009831A1">
        <w:tc>
          <w:tcPr>
            <w:tcW w:w="2148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Terminaux tactiles</w:t>
            </w:r>
          </w:p>
        </w:tc>
        <w:tc>
          <w:tcPr>
            <w:tcW w:w="7912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rPr>
                <w:szCs w:val="22"/>
              </w:rPr>
            </w:pPr>
            <w:r w:rsidRPr="00FA5B79">
              <w:rPr>
                <w:szCs w:val="22"/>
              </w:rPr>
              <w:t>Logiciel de programmation GP Pro EX de chez Proface</w:t>
            </w:r>
          </w:p>
        </w:tc>
      </w:tr>
      <w:tr w:rsidR="00964A7F" w:rsidRPr="00FA5B79" w:rsidTr="009831A1">
        <w:tc>
          <w:tcPr>
            <w:tcW w:w="2148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spacing w:before="0" w:after="0"/>
              <w:jc w:val="center"/>
              <w:rPr>
                <w:szCs w:val="22"/>
              </w:rPr>
            </w:pPr>
            <w:r w:rsidRPr="00FA5B79">
              <w:rPr>
                <w:szCs w:val="22"/>
              </w:rPr>
              <w:t>Automate</w:t>
            </w:r>
          </w:p>
        </w:tc>
        <w:tc>
          <w:tcPr>
            <w:tcW w:w="7912" w:type="dxa"/>
            <w:shd w:val="clear" w:color="auto" w:fill="auto"/>
            <w:vAlign w:val="center"/>
          </w:tcPr>
          <w:p w:rsidR="00964A7F" w:rsidRPr="00FA5B79" w:rsidRDefault="00964A7F" w:rsidP="009831A1">
            <w:pPr>
              <w:keepNext w:val="0"/>
              <w:autoSpaceDE w:val="0"/>
              <w:autoSpaceDN w:val="0"/>
              <w:adjustRightInd w:val="0"/>
              <w:spacing w:before="0" w:after="0"/>
              <w:rPr>
                <w:szCs w:val="22"/>
                <w:lang w:val="fr-FR"/>
              </w:rPr>
            </w:pPr>
            <w:r w:rsidRPr="00FA5B79">
              <w:rPr>
                <w:szCs w:val="22"/>
                <w:lang w:val="fr-FR"/>
              </w:rPr>
              <w:t xml:space="preserve">Logiciel de programmation UNITY permettant le diagnostic matériel, de recharger un programme en cas de changement de l’UC et de modifier le programme </w:t>
            </w:r>
            <w:r>
              <w:rPr>
                <w:szCs w:val="22"/>
                <w:lang w:val="fr-FR"/>
              </w:rPr>
              <w:t>pour les éventuelles évolutions.</w:t>
            </w:r>
          </w:p>
        </w:tc>
      </w:tr>
    </w:tbl>
    <w:p w:rsidR="00DA76F8" w:rsidRDefault="00DA76F8"/>
    <w:sectPr w:rsidR="00DA76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02" w:rsidRDefault="00B46402" w:rsidP="00964A7F">
      <w:pPr>
        <w:spacing w:before="0" w:after="0"/>
      </w:pPr>
      <w:r>
        <w:separator/>
      </w:r>
    </w:p>
  </w:endnote>
  <w:endnote w:type="continuationSeparator" w:id="0">
    <w:p w:rsidR="00B46402" w:rsidRDefault="00B46402" w:rsidP="00964A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A7F" w:rsidRDefault="00964A7F">
    <w:pPr>
      <w:pStyle w:val="Pieddepage"/>
    </w:pPr>
    <w:r>
      <w:rPr>
        <w:rFonts w:ascii="Arial" w:hAnsi="Arial" w:cs="Arial"/>
        <w:i/>
        <w:sz w:val="16"/>
        <w:szCs w:val="16"/>
      </w:rPr>
      <w:t xml:space="preserve">Annexe </w:t>
    </w:r>
    <w:r w:rsidRPr="0084717C">
      <w:rPr>
        <w:rFonts w:ascii="Arial" w:hAnsi="Arial" w:cs="Arial"/>
        <w:i/>
        <w:sz w:val="16"/>
        <w:szCs w:val="16"/>
      </w:rPr>
      <w:t>CCTP</w:t>
    </w:r>
    <w:r w:rsidRPr="0084717C">
      <w:rPr>
        <w:rFonts w:ascii="Arial" w:hAnsi="Arial" w:cs="Arial"/>
        <w:i/>
        <w:sz w:val="16"/>
        <w:szCs w:val="16"/>
      </w:rPr>
      <w:ptab w:relativeTo="margin" w:alignment="center" w:leader="none"/>
    </w:r>
    <w:r w:rsidRPr="0084717C">
      <w:rPr>
        <w:rFonts w:ascii="Arial" w:hAnsi="Arial" w:cs="Arial"/>
        <w:i/>
        <w:sz w:val="16"/>
        <w:szCs w:val="16"/>
      </w:rPr>
      <w:ptab w:relativeTo="margin" w:alignment="right" w:leader="none"/>
    </w:r>
    <w:r w:rsidRPr="0084717C">
      <w:rPr>
        <w:rFonts w:ascii="Arial" w:hAnsi="Arial" w:cs="Arial"/>
        <w:bCs/>
        <w:i/>
        <w:sz w:val="16"/>
        <w:szCs w:val="16"/>
      </w:rPr>
      <w:fldChar w:fldCharType="begin"/>
    </w:r>
    <w:r w:rsidRPr="0084717C">
      <w:rPr>
        <w:rFonts w:ascii="Arial" w:hAnsi="Arial" w:cs="Arial"/>
        <w:bCs/>
        <w:i/>
        <w:sz w:val="16"/>
        <w:szCs w:val="16"/>
      </w:rPr>
      <w:instrText>PAGE  \* Arabic  \* MERGEFORMAT</w:instrText>
    </w:r>
    <w:r w:rsidRPr="0084717C">
      <w:rPr>
        <w:rFonts w:ascii="Arial" w:hAnsi="Arial" w:cs="Arial"/>
        <w:bCs/>
        <w:i/>
        <w:sz w:val="16"/>
        <w:szCs w:val="16"/>
      </w:rPr>
      <w:fldChar w:fldCharType="separate"/>
    </w:r>
    <w:r w:rsidR="00A371C1">
      <w:rPr>
        <w:rFonts w:ascii="Arial" w:hAnsi="Arial" w:cs="Arial"/>
        <w:bCs/>
        <w:i/>
        <w:noProof/>
        <w:sz w:val="16"/>
        <w:szCs w:val="16"/>
      </w:rPr>
      <w:t>2</w:t>
    </w:r>
    <w:r w:rsidRPr="0084717C">
      <w:rPr>
        <w:rFonts w:ascii="Arial" w:hAnsi="Arial" w:cs="Arial"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02" w:rsidRDefault="00B46402" w:rsidP="00964A7F">
      <w:pPr>
        <w:spacing w:before="0" w:after="0"/>
      </w:pPr>
      <w:r>
        <w:separator/>
      </w:r>
    </w:p>
  </w:footnote>
  <w:footnote w:type="continuationSeparator" w:id="0">
    <w:p w:rsidR="00B46402" w:rsidRDefault="00B46402" w:rsidP="00964A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A7F" w:rsidRDefault="00964A7F" w:rsidP="00964A7F">
    <w:pPr>
      <w:tabs>
        <w:tab w:val="center" w:pos="4819"/>
        <w:tab w:val="right" w:pos="9071"/>
      </w:tabs>
      <w:spacing w:before="0" w:after="0"/>
      <w:rPr>
        <w:rFonts w:ascii="Arial" w:hAnsi="Arial" w:cs="Arial"/>
        <w:i/>
        <w:sz w:val="16"/>
        <w:szCs w:val="16"/>
      </w:rPr>
    </w:pPr>
    <w:r w:rsidRPr="00872561">
      <w:rPr>
        <w:rFonts w:ascii="Arial" w:hAnsi="Arial" w:cs="Arial"/>
        <w:i/>
        <w:sz w:val="16"/>
        <w:szCs w:val="16"/>
      </w:rPr>
      <w:t xml:space="preserve">PHALSBOURG (Moselle) – Quartier La </w:t>
    </w:r>
    <w:r>
      <w:rPr>
        <w:rFonts w:ascii="Arial" w:hAnsi="Arial" w:cs="Arial"/>
        <w:i/>
        <w:sz w:val="16"/>
        <w:szCs w:val="16"/>
      </w:rPr>
      <w:t>Horie</w:t>
    </w:r>
    <w:r w:rsidRPr="00872561">
      <w:rPr>
        <w:rFonts w:ascii="Arial" w:hAnsi="Arial" w:cs="Arial"/>
        <w:i/>
        <w:sz w:val="16"/>
        <w:szCs w:val="16"/>
      </w:rPr>
      <w:t xml:space="preserve"> – </w:t>
    </w:r>
    <w:r>
      <w:rPr>
        <w:rFonts w:ascii="Arial" w:hAnsi="Arial" w:cs="Arial"/>
        <w:i/>
        <w:sz w:val="16"/>
        <w:szCs w:val="16"/>
      </w:rPr>
      <w:t>Bâtiment 0090 – Maintenance du système de contrôle et de commande du balisage lumineux d’aérodrome.</w:t>
    </w:r>
    <w:r w:rsidRPr="00872561">
      <w:rPr>
        <w:rFonts w:ascii="Arial" w:hAnsi="Arial" w:cs="Arial"/>
        <w:i/>
        <w:sz w:val="16"/>
        <w:szCs w:val="16"/>
      </w:rPr>
      <w:t xml:space="preserve"> </w:t>
    </w:r>
  </w:p>
  <w:p w:rsidR="00964A7F" w:rsidRPr="00E70D11" w:rsidRDefault="00964A7F" w:rsidP="00964A7F">
    <w:pPr>
      <w:pBdr>
        <w:bottom w:val="single" w:sz="6" w:space="1" w:color="auto"/>
      </w:pBdr>
      <w:tabs>
        <w:tab w:val="center" w:pos="4819"/>
        <w:tab w:val="right" w:pos="9071"/>
      </w:tabs>
      <w:spacing w:before="0" w:after="0"/>
      <w:rPr>
        <w:rFonts w:ascii="Arial Narrow" w:hAnsi="Arial Narrow"/>
        <w:sz w:val="16"/>
        <w:szCs w:val="16"/>
        <w:lang w:val="fr-FR"/>
      </w:rPr>
    </w:pPr>
    <w:r w:rsidRPr="00872561">
      <w:rPr>
        <w:rFonts w:ascii="Arial" w:hAnsi="Arial" w:cs="Arial"/>
        <w:i/>
        <w:sz w:val="16"/>
        <w:szCs w:val="16"/>
      </w:rPr>
      <w:t>Projet n°</w:t>
    </w:r>
    <w:r>
      <w:rPr>
        <w:rFonts w:ascii="Arial" w:hAnsi="Arial" w:cs="Arial"/>
        <w:i/>
        <w:sz w:val="16"/>
        <w:szCs w:val="16"/>
      </w:rPr>
      <w:t xml:space="preserve"> 25/USID08/013.</w:t>
    </w:r>
  </w:p>
  <w:p w:rsidR="00964A7F" w:rsidRDefault="00964A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2188"/>
    <w:multiLevelType w:val="hybridMultilevel"/>
    <w:tmpl w:val="0F7AF74A"/>
    <w:lvl w:ilvl="0" w:tplc="209E9E84">
      <w:start w:val="1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F5471"/>
    <w:multiLevelType w:val="hybridMultilevel"/>
    <w:tmpl w:val="991C673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05922"/>
    <w:multiLevelType w:val="hybridMultilevel"/>
    <w:tmpl w:val="734A36B0"/>
    <w:lvl w:ilvl="0" w:tplc="209E9E84">
      <w:start w:val="1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7F"/>
    <w:rsid w:val="00620628"/>
    <w:rsid w:val="00964A7F"/>
    <w:rsid w:val="00A371C1"/>
    <w:rsid w:val="00B46402"/>
    <w:rsid w:val="00DA76F8"/>
    <w:rsid w:val="00DD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ECCF"/>
  <w15:chartTrackingRefBased/>
  <w15:docId w15:val="{F5BEBB6F-7329-4660-A9CC-771D0A42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A7F"/>
    <w:pPr>
      <w:keepNext/>
      <w:spacing w:before="40" w:after="60" w:line="240" w:lineRule="auto"/>
      <w:jc w:val="both"/>
    </w:pPr>
    <w:rPr>
      <w:rFonts w:ascii="Times New Roman" w:eastAsia="Times New Roman" w:hAnsi="Times New Roman" w:cs="Times New Roman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4A7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64A7F"/>
  </w:style>
  <w:style w:type="paragraph" w:styleId="Pieddepage">
    <w:name w:val="footer"/>
    <w:basedOn w:val="Normal"/>
    <w:link w:val="PieddepageCar"/>
    <w:uiPriority w:val="99"/>
    <w:unhideWhenUsed/>
    <w:rsid w:val="00964A7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64A7F"/>
  </w:style>
  <w:style w:type="paragraph" w:styleId="Paragraphedeliste">
    <w:name w:val="List Paragraph"/>
    <w:basedOn w:val="Normal"/>
    <w:uiPriority w:val="99"/>
    <w:qFormat/>
    <w:rsid w:val="00964A7F"/>
    <w:pPr>
      <w:ind w:left="720"/>
      <w:contextualSpacing/>
    </w:pPr>
    <w:rPr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84620667B4644A069B1BD1B1AD796" ma:contentTypeVersion="1" ma:contentTypeDescription="Crée un document." ma:contentTypeScope="" ma:versionID="4d35058695ab132187470ff9a6f4eefa">
  <xsd:schema xmlns:xsd="http://www.w3.org/2001/XMLSchema" xmlns:xs="http://www.w3.org/2001/XMLSchema" xmlns:p="http://schemas.microsoft.com/office/2006/metadata/properties" xmlns:ns2="1f77cdb7-f4a4-4d58-af78-6851c7737fb5" targetNamespace="http://schemas.microsoft.com/office/2006/metadata/properties" ma:root="true" ma:fieldsID="ac992b9c7babbc17a07bb7635c07e2e9" ns2:_="">
    <xsd:import namespace="1f77cdb7-f4a4-4d58-af78-6851c7737f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7cdb7-f4a4-4d58-af78-6851c7737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453C51-28B8-4628-A41B-C4F1A8D66ACA}"/>
</file>

<file path=customXml/itemProps2.xml><?xml version="1.0" encoding="utf-8"?>
<ds:datastoreItem xmlns:ds="http://schemas.openxmlformats.org/officeDocument/2006/customXml" ds:itemID="{972EBD60-18D3-4702-9144-FF7DD642E063}"/>
</file>

<file path=customXml/itemProps3.xml><?xml version="1.0" encoding="utf-8"?>
<ds:datastoreItem xmlns:ds="http://schemas.openxmlformats.org/officeDocument/2006/customXml" ds:itemID="{0636252F-B496-40A2-91B4-C2375C8551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BRESSANNUTTI Diego TSEF 2CL</dc:creator>
  <cp:keywords/>
  <dc:description/>
  <cp:lastModifiedBy>BRESSANNUTTI Diego TSEF 2CL</cp:lastModifiedBy>
  <cp:revision>2</cp:revision>
  <dcterms:created xsi:type="dcterms:W3CDTF">2025-04-01T12:21:00Z</dcterms:created>
  <dcterms:modified xsi:type="dcterms:W3CDTF">2025-04-01T13:02:00Z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0x01010050F84620667B4644A069B1BD1B1AD796</vt:lpwstr>
  </property>
</Properties>
</file>