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42791DC3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3336D8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B779A5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(passé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7EA59EC4" w14:textId="76C19233" w:rsidR="00A734FC" w:rsidRPr="007248D1" w:rsidRDefault="0071330E" w:rsidP="00B779A5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3336D8">
        <w:rPr>
          <w:rFonts w:asciiTheme="minorHAnsi" w:hAnsiTheme="minorHAnsi" w:cstheme="minorHAnsi"/>
          <w:sz w:val="32"/>
        </w:rPr>
        <w:t>6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>Thierry Bonnaure</w:t>
      </w:r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Email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 xml:space="preserve">..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Pr="007248D1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6ADE2697" w:rsidR="00BA32CD" w:rsidRPr="007248D1" w:rsidRDefault="00D131B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D131B4">
        <w:drawing>
          <wp:inline distT="0" distB="0" distL="0" distR="0" wp14:anchorId="0FDFC652" wp14:editId="56D196B1">
            <wp:extent cx="5974080" cy="570865"/>
            <wp:effectExtent l="0" t="0" r="7620" b="635"/>
            <wp:docPr id="6759992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993A2" w14:textId="4611CA5A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 lot </w:t>
      </w:r>
      <w:r>
        <w:rPr>
          <w:rFonts w:asciiTheme="minorHAnsi" w:eastAsia="Times New Roman" w:hAnsiTheme="minorHAnsi" w:cstheme="minorHAnsi"/>
          <w:color w:val="auto"/>
          <w:szCs w:val="20"/>
        </w:rPr>
        <w:t>6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sera attribué à 2 soumissionnaires maximum.</w:t>
      </w:r>
    </w:p>
    <w:p w14:paraId="12F17CE7" w14:textId="77777777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Les volumes minimum et maximum de commande sont respectivement comme suit :   </w:t>
      </w:r>
    </w:p>
    <w:p w14:paraId="55517598" w14:textId="5BC9B4E1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Quantité minimale : </w:t>
      </w:r>
      <w:r w:rsidR="00D131B4">
        <w:rPr>
          <w:rFonts w:asciiTheme="minorHAnsi" w:eastAsia="Times New Roman" w:hAnsiTheme="minorHAnsi" w:cstheme="minorHAnsi"/>
          <w:color w:val="auto"/>
          <w:szCs w:val="20"/>
        </w:rPr>
        <w:t>7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  -   Quantité maximale : </w:t>
      </w:r>
      <w:r w:rsidR="00D131B4">
        <w:rPr>
          <w:rFonts w:asciiTheme="minorHAnsi" w:eastAsia="Times New Roman" w:hAnsiTheme="minorHAnsi" w:cstheme="minorHAnsi"/>
          <w:color w:val="auto"/>
          <w:szCs w:val="20"/>
        </w:rPr>
        <w:t>11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</w:t>
      </w:r>
    </w:p>
    <w:p w14:paraId="31193398" w14:textId="77777777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2EDD0CDC" w14:textId="77777777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Par ailleurs je suis informé que les bons de commande seront attribués selon les modalités suivantes :</w:t>
      </w:r>
    </w:p>
    <w:p w14:paraId="71432810" w14:textId="04ECB356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60 % de la quantité totale des commandes du marché au titulaire classé en première position à l’issue de l’analyse des offres, soit des quantités minimale et maximale de commande respectivement fixées à : </w:t>
      </w:r>
      <w:r w:rsidR="00D131B4">
        <w:rPr>
          <w:rFonts w:asciiTheme="minorHAnsi" w:eastAsia="Times New Roman" w:hAnsiTheme="minorHAnsi" w:cstheme="minorHAnsi"/>
          <w:color w:val="auto"/>
          <w:szCs w:val="20"/>
        </w:rPr>
        <w:t>4.2 ha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minimum et </w:t>
      </w:r>
      <w:r w:rsidR="00D131B4">
        <w:rPr>
          <w:rFonts w:asciiTheme="minorHAnsi" w:eastAsia="Times New Roman" w:hAnsiTheme="minorHAnsi" w:cstheme="minorHAnsi"/>
          <w:color w:val="auto"/>
          <w:szCs w:val="20"/>
        </w:rPr>
        <w:t>6.6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3864ED57" w14:textId="0E36846E" w:rsidR="00B779A5" w:rsidRPr="001363B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40 % de la quantité totale des commandes du marché aux titulaires classés en seconde position à l’issue de l’analyse des offres, soit des quantités minimale et maximale de commande respectivement fixées à : </w:t>
      </w:r>
      <w:r w:rsidR="00D131B4" w:rsidRPr="00D131B4">
        <w:rPr>
          <w:rFonts w:asciiTheme="minorHAnsi" w:eastAsia="Times New Roman" w:hAnsiTheme="minorHAnsi" w:cstheme="minorHAnsi"/>
          <w:color w:val="auto"/>
          <w:szCs w:val="20"/>
        </w:rPr>
        <w:t>2.8 ha</w:t>
      </w:r>
      <w:r w:rsidRPr="00D131B4">
        <w:rPr>
          <w:rFonts w:asciiTheme="minorHAnsi" w:eastAsia="Times New Roman" w:hAnsiTheme="minorHAnsi" w:cstheme="minorHAnsi"/>
          <w:color w:val="auto"/>
          <w:szCs w:val="20"/>
        </w:rPr>
        <w:t xml:space="preserve"> minimum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et </w:t>
      </w:r>
      <w:r w:rsidR="00D131B4">
        <w:rPr>
          <w:rFonts w:asciiTheme="minorHAnsi" w:eastAsia="Times New Roman" w:hAnsiTheme="minorHAnsi" w:cstheme="minorHAnsi"/>
          <w:color w:val="auto"/>
          <w:szCs w:val="20"/>
        </w:rPr>
        <w:t>4.4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12F20271" w14:textId="77777777" w:rsidR="00B779A5" w:rsidRPr="007248D1" w:rsidRDefault="00B779A5" w:rsidP="00B779A5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Néanmoins, dans l’hypothèse d’un nombre de candidatures insuffisant ne permettant pas de retenir 2 titulaires, un seul titulaire sera retenu.</w:t>
      </w:r>
    </w:p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0B3C5E" w14:textId="75ADCE71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……………………………………………………………………………………... </w:t>
      </w:r>
    </w:p>
    <w:p w14:paraId="736A70FE" w14:textId="3753FFAB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(les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03EE9B8B" w:rsidR="00A734FC" w:rsidRDefault="00B779A5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  <w:r w:rsidRPr="00B779A5">
        <w:rPr>
          <w:rFonts w:asciiTheme="minorHAnsi" w:hAnsiTheme="minorHAnsi" w:cstheme="minorHAnsi"/>
        </w:rPr>
        <w:t>Le candidat est classé en ……….ème position il aura donc ……………..% de la quantité totale des commandes de l’accord-cadre.</w:t>
      </w:r>
    </w:p>
    <w:p w14:paraId="52005959" w14:textId="77777777" w:rsidR="00B779A5" w:rsidRPr="007248D1" w:rsidRDefault="00B779A5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………………..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le ……………………….</w:t>
            </w:r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5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5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24711D9B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3336D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B779A5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087A936E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3336D8">
            <w:rPr>
              <w:b/>
            </w:rPr>
            <w:t>6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0C2E33"/>
    <w:rsid w:val="001015CA"/>
    <w:rsid w:val="00130C75"/>
    <w:rsid w:val="00146F7D"/>
    <w:rsid w:val="00177F2C"/>
    <w:rsid w:val="00243B52"/>
    <w:rsid w:val="00291A4D"/>
    <w:rsid w:val="002C06AD"/>
    <w:rsid w:val="002D2D4C"/>
    <w:rsid w:val="002D32BE"/>
    <w:rsid w:val="00306AC3"/>
    <w:rsid w:val="00332AA5"/>
    <w:rsid w:val="003336D8"/>
    <w:rsid w:val="00357CBA"/>
    <w:rsid w:val="00375C1E"/>
    <w:rsid w:val="003806DC"/>
    <w:rsid w:val="003E382B"/>
    <w:rsid w:val="00433CB8"/>
    <w:rsid w:val="00455EED"/>
    <w:rsid w:val="00481736"/>
    <w:rsid w:val="004E7F62"/>
    <w:rsid w:val="005652B8"/>
    <w:rsid w:val="00577194"/>
    <w:rsid w:val="005C141B"/>
    <w:rsid w:val="00622708"/>
    <w:rsid w:val="0063354C"/>
    <w:rsid w:val="00637FE4"/>
    <w:rsid w:val="00647B5B"/>
    <w:rsid w:val="006A1E35"/>
    <w:rsid w:val="006D58F3"/>
    <w:rsid w:val="0071330E"/>
    <w:rsid w:val="007248D1"/>
    <w:rsid w:val="00731359"/>
    <w:rsid w:val="00777EF3"/>
    <w:rsid w:val="007D7784"/>
    <w:rsid w:val="00894953"/>
    <w:rsid w:val="008A5C01"/>
    <w:rsid w:val="008B275B"/>
    <w:rsid w:val="008B4B14"/>
    <w:rsid w:val="008D5C8A"/>
    <w:rsid w:val="00936CF4"/>
    <w:rsid w:val="009C2AF1"/>
    <w:rsid w:val="009E62D2"/>
    <w:rsid w:val="00A52F34"/>
    <w:rsid w:val="00A734FC"/>
    <w:rsid w:val="00AB1162"/>
    <w:rsid w:val="00B15818"/>
    <w:rsid w:val="00B179B8"/>
    <w:rsid w:val="00B6469B"/>
    <w:rsid w:val="00B7301B"/>
    <w:rsid w:val="00B779A5"/>
    <w:rsid w:val="00B943AD"/>
    <w:rsid w:val="00B97203"/>
    <w:rsid w:val="00BA32CD"/>
    <w:rsid w:val="00BE3F09"/>
    <w:rsid w:val="00C00959"/>
    <w:rsid w:val="00C31FEB"/>
    <w:rsid w:val="00C34DA4"/>
    <w:rsid w:val="00C601B2"/>
    <w:rsid w:val="00CA2A76"/>
    <w:rsid w:val="00CC6F60"/>
    <w:rsid w:val="00D131B4"/>
    <w:rsid w:val="00D13E1F"/>
    <w:rsid w:val="00D53809"/>
    <w:rsid w:val="00DA386E"/>
    <w:rsid w:val="00E4484D"/>
    <w:rsid w:val="00E97404"/>
    <w:rsid w:val="00EC68DC"/>
    <w:rsid w:val="00F53FAF"/>
    <w:rsid w:val="00F72674"/>
    <w:rsid w:val="00FE0CD1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1287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12</cp:revision>
  <dcterms:created xsi:type="dcterms:W3CDTF">2024-05-06T14:42:00Z</dcterms:created>
  <dcterms:modified xsi:type="dcterms:W3CDTF">2025-04-15T12:22:00Z</dcterms:modified>
</cp:coreProperties>
</file>