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398C" w:rsidRDefault="00B3398C">
      <w:pPr>
        <w:widowControl w:val="0"/>
        <w:autoSpaceDE w:val="0"/>
        <w:autoSpaceDN w:val="0"/>
        <w:adjustRightInd w:val="0"/>
        <w:spacing w:before="14" w:line="240" w:lineRule="exact"/>
        <w:ind w:left="120"/>
        <w:rPr>
          <w:b/>
          <w:bCs/>
        </w:rPr>
      </w:pPr>
    </w:p>
    <w:p w:rsidR="00B3398C" w:rsidRDefault="00B3398C">
      <w:pPr>
        <w:widowControl w:val="0"/>
        <w:autoSpaceDE w:val="0"/>
        <w:autoSpaceDN w:val="0"/>
        <w:adjustRightInd w:val="0"/>
        <w:spacing w:before="14" w:line="240" w:lineRule="exact"/>
        <w:ind w:left="120"/>
        <w:rPr>
          <w:b/>
          <w:bCs/>
        </w:rPr>
      </w:pPr>
    </w:p>
    <w:p w:rsidR="00B3398C" w:rsidRDefault="00B3398C">
      <w:pPr>
        <w:widowControl w:val="0"/>
        <w:autoSpaceDE w:val="0"/>
        <w:autoSpaceDN w:val="0"/>
        <w:adjustRightInd w:val="0"/>
        <w:spacing w:before="14" w:line="240" w:lineRule="exact"/>
        <w:ind w:left="120"/>
        <w:rPr>
          <w:b/>
          <w:bCs/>
        </w:rPr>
      </w:pPr>
    </w:p>
    <w:p w:rsidR="00B3398C" w:rsidRDefault="00B3398C">
      <w:pPr>
        <w:widowControl w:val="0"/>
        <w:autoSpaceDE w:val="0"/>
        <w:autoSpaceDN w:val="0"/>
        <w:adjustRightInd w:val="0"/>
        <w:spacing w:before="14" w:line="240" w:lineRule="exact"/>
        <w:ind w:left="120"/>
        <w:rPr>
          <w:b/>
          <w:bCs/>
        </w:rPr>
      </w:pPr>
    </w:p>
    <w:p w:rsidR="00B3398C" w:rsidRDefault="00B3398C">
      <w:pPr>
        <w:widowControl w:val="0"/>
        <w:autoSpaceDE w:val="0"/>
        <w:autoSpaceDN w:val="0"/>
        <w:adjustRightInd w:val="0"/>
        <w:spacing w:before="14" w:line="240" w:lineRule="exact"/>
        <w:ind w:left="120"/>
        <w:rPr>
          <w:b/>
          <w:bCs/>
        </w:rPr>
      </w:pPr>
    </w:p>
    <w:p w:rsidR="00B3398C" w:rsidRDefault="00B3398C">
      <w:pPr>
        <w:widowControl w:val="0"/>
        <w:autoSpaceDE w:val="0"/>
        <w:autoSpaceDN w:val="0"/>
        <w:adjustRightInd w:val="0"/>
        <w:spacing w:before="14" w:line="240" w:lineRule="exact"/>
        <w:ind w:left="120"/>
        <w:rPr>
          <w:b/>
          <w:bCs/>
        </w:rPr>
      </w:pPr>
    </w:p>
    <w:p w:rsidR="00B3398C" w:rsidRDefault="00B1466D" w:rsidP="00C649C5">
      <w:pPr>
        <w:jc w:val="center"/>
      </w:pPr>
      <w:r>
        <w:rPr>
          <w:noProof/>
          <w:lang w:eastAsia="fr-FR"/>
        </w:rPr>
        <w:drawing>
          <wp:inline distT="0" distB="0" distL="0" distR="0">
            <wp:extent cx="3408218" cy="1414104"/>
            <wp:effectExtent l="0" t="0" r="190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31756" cy="1423870"/>
                    </a:xfrm>
                    <a:prstGeom prst="rect">
                      <a:avLst/>
                    </a:prstGeom>
                    <a:noFill/>
                    <a:ln>
                      <a:noFill/>
                    </a:ln>
                  </pic:spPr>
                </pic:pic>
              </a:graphicData>
            </a:graphic>
          </wp:inline>
        </w:drawing>
      </w:r>
    </w:p>
    <w:p w:rsidR="00632595" w:rsidRDefault="00632595"/>
    <w:p w:rsidR="00B3398C" w:rsidRDefault="00B3398C"/>
    <w:p w:rsidR="00B3398C" w:rsidRDefault="00B3398C" w:rsidP="00B1466D">
      <w:pPr>
        <w:rPr>
          <w:rFonts w:ascii="Arial" w:hAnsi="Arial" w:cs="Arial"/>
          <w:sz w:val="36"/>
          <w:szCs w:val="36"/>
        </w:rPr>
      </w:pPr>
    </w:p>
    <w:p w:rsidR="00B3398C" w:rsidRDefault="00B3398C" w:rsidP="003C2E90">
      <w:pPr>
        <w:pBdr>
          <w:top w:val="single" w:sz="18" w:space="0" w:color="auto"/>
          <w:left w:val="single" w:sz="18" w:space="4" w:color="auto"/>
          <w:bottom w:val="single" w:sz="18" w:space="1" w:color="auto"/>
          <w:right w:val="single" w:sz="18" w:space="4" w:color="auto"/>
        </w:pBdr>
        <w:jc w:val="center"/>
        <w:rPr>
          <w:rFonts w:ascii="Arial" w:hAnsi="Arial" w:cs="Arial"/>
          <w:sz w:val="36"/>
          <w:szCs w:val="36"/>
        </w:rPr>
      </w:pPr>
    </w:p>
    <w:p w:rsidR="00B3398C" w:rsidRPr="00707B79" w:rsidRDefault="001D73E9" w:rsidP="003C2E90">
      <w:pPr>
        <w:pBdr>
          <w:top w:val="single" w:sz="18" w:space="0" w:color="auto"/>
          <w:left w:val="single" w:sz="18" w:space="4" w:color="auto"/>
          <w:bottom w:val="single" w:sz="18" w:space="1" w:color="auto"/>
          <w:right w:val="single" w:sz="18" w:space="4" w:color="auto"/>
        </w:pBdr>
        <w:jc w:val="center"/>
        <w:rPr>
          <w:rFonts w:ascii="Arial" w:hAnsi="Arial" w:cs="Arial"/>
          <w:b/>
          <w:color w:val="C00000"/>
          <w:sz w:val="36"/>
          <w:szCs w:val="36"/>
        </w:rPr>
      </w:pPr>
      <w:r>
        <w:rPr>
          <w:rFonts w:ascii="Arial" w:hAnsi="Arial" w:cs="Arial"/>
          <w:b/>
          <w:sz w:val="36"/>
          <w:szCs w:val="36"/>
        </w:rPr>
        <w:t xml:space="preserve">MARCHÉ </w:t>
      </w:r>
      <w:r w:rsidR="009F0C4E">
        <w:rPr>
          <w:rFonts w:ascii="Arial" w:hAnsi="Arial" w:cs="Arial"/>
          <w:b/>
          <w:sz w:val="36"/>
          <w:szCs w:val="36"/>
        </w:rPr>
        <w:t>n</w:t>
      </w:r>
      <w:r w:rsidR="009F0C4E" w:rsidRPr="009A1C79">
        <w:rPr>
          <w:rFonts w:ascii="Arial" w:hAnsi="Arial" w:cs="Arial"/>
          <w:b/>
          <w:sz w:val="36"/>
          <w:szCs w:val="36"/>
        </w:rPr>
        <w:t>°</w:t>
      </w:r>
      <w:r w:rsidR="009F0C4E" w:rsidRPr="00707B79">
        <w:rPr>
          <w:rFonts w:ascii="Arial" w:hAnsi="Arial" w:cs="Arial"/>
          <w:b/>
          <w:color w:val="C00000"/>
          <w:sz w:val="36"/>
          <w:szCs w:val="36"/>
        </w:rPr>
        <w:t>………………</w:t>
      </w:r>
      <w:proofErr w:type="gramStart"/>
      <w:r w:rsidR="009F0C4E" w:rsidRPr="00707B79">
        <w:rPr>
          <w:rFonts w:ascii="Arial" w:hAnsi="Arial" w:cs="Arial"/>
          <w:b/>
          <w:color w:val="C00000"/>
          <w:sz w:val="36"/>
          <w:szCs w:val="36"/>
        </w:rPr>
        <w:t>…….</w:t>
      </w:r>
      <w:proofErr w:type="gramEnd"/>
      <w:r w:rsidR="009F0C4E" w:rsidRPr="00707B79">
        <w:rPr>
          <w:rFonts w:ascii="Arial" w:hAnsi="Arial" w:cs="Arial"/>
          <w:b/>
          <w:color w:val="C00000"/>
          <w:sz w:val="36"/>
          <w:szCs w:val="36"/>
        </w:rPr>
        <w:t>.</w:t>
      </w:r>
    </w:p>
    <w:p w:rsidR="009F0C4E" w:rsidRDefault="009F0C4E" w:rsidP="003C2E90">
      <w:pPr>
        <w:pBdr>
          <w:top w:val="single" w:sz="18" w:space="0" w:color="auto"/>
          <w:left w:val="single" w:sz="18" w:space="4" w:color="auto"/>
          <w:bottom w:val="single" w:sz="18" w:space="1" w:color="auto"/>
          <w:right w:val="single" w:sz="18" w:space="4" w:color="auto"/>
        </w:pBdr>
        <w:jc w:val="center"/>
        <w:rPr>
          <w:rFonts w:ascii="Arial" w:hAnsi="Arial" w:cs="Arial"/>
          <w:sz w:val="36"/>
          <w:szCs w:val="36"/>
        </w:rPr>
      </w:pPr>
    </w:p>
    <w:p w:rsidR="00B3398C" w:rsidRDefault="00B3398C">
      <w:pPr>
        <w:widowControl w:val="0"/>
        <w:autoSpaceDE w:val="0"/>
        <w:autoSpaceDN w:val="0"/>
        <w:adjustRightInd w:val="0"/>
        <w:spacing w:before="14" w:line="240" w:lineRule="exact"/>
        <w:ind w:left="120"/>
        <w:rPr>
          <w:b/>
          <w:bCs/>
        </w:rPr>
      </w:pPr>
    </w:p>
    <w:p w:rsidR="00B3398C" w:rsidRDefault="00B3398C">
      <w:pPr>
        <w:widowControl w:val="0"/>
        <w:autoSpaceDE w:val="0"/>
        <w:autoSpaceDN w:val="0"/>
        <w:adjustRightInd w:val="0"/>
        <w:spacing w:before="14" w:line="240" w:lineRule="exact"/>
        <w:rPr>
          <w:b/>
          <w:bCs/>
        </w:rPr>
      </w:pPr>
    </w:p>
    <w:p w:rsidR="00B3398C" w:rsidRDefault="00B3398C">
      <w:pPr>
        <w:widowControl w:val="0"/>
        <w:autoSpaceDE w:val="0"/>
        <w:autoSpaceDN w:val="0"/>
        <w:adjustRightInd w:val="0"/>
        <w:spacing w:before="14" w:line="240" w:lineRule="exact"/>
        <w:rPr>
          <w:b/>
          <w:bCs/>
        </w:rPr>
      </w:pPr>
    </w:p>
    <w:p w:rsidR="00B3398C" w:rsidRDefault="00B3398C">
      <w:pPr>
        <w:widowControl w:val="0"/>
        <w:autoSpaceDE w:val="0"/>
        <w:autoSpaceDN w:val="0"/>
        <w:adjustRightInd w:val="0"/>
        <w:spacing w:before="14" w:line="240" w:lineRule="exact"/>
        <w:rPr>
          <w:b/>
          <w:bCs/>
        </w:rPr>
      </w:pPr>
    </w:p>
    <w:p w:rsidR="00B3398C" w:rsidRDefault="00707B79" w:rsidP="00707B79">
      <w:pPr>
        <w:widowControl w:val="0"/>
        <w:autoSpaceDE w:val="0"/>
        <w:autoSpaceDN w:val="0"/>
        <w:adjustRightInd w:val="0"/>
        <w:spacing w:before="14" w:line="240" w:lineRule="exact"/>
        <w:jc w:val="center"/>
        <w:rPr>
          <w:b/>
          <w:bCs/>
        </w:rPr>
      </w:pPr>
      <w:r>
        <w:rPr>
          <w:b/>
          <w:bCs/>
        </w:rPr>
        <w:t>Marché à procédure adaptée</w:t>
      </w:r>
    </w:p>
    <w:p w:rsidR="00B3398C" w:rsidRDefault="00B3398C">
      <w:pPr>
        <w:widowControl w:val="0"/>
        <w:autoSpaceDE w:val="0"/>
        <w:autoSpaceDN w:val="0"/>
        <w:adjustRightInd w:val="0"/>
        <w:spacing w:before="14" w:line="240" w:lineRule="exact"/>
        <w:rPr>
          <w:b/>
          <w:bCs/>
        </w:rPr>
      </w:pPr>
    </w:p>
    <w:p w:rsidR="00B3398C" w:rsidRDefault="00B3398C">
      <w:pPr>
        <w:widowControl w:val="0"/>
        <w:autoSpaceDE w:val="0"/>
        <w:autoSpaceDN w:val="0"/>
        <w:adjustRightInd w:val="0"/>
        <w:spacing w:before="14" w:line="240" w:lineRule="exact"/>
        <w:ind w:left="120"/>
        <w:rPr>
          <w:b/>
          <w:bCs/>
        </w:rPr>
      </w:pPr>
    </w:p>
    <w:p w:rsidR="00B3398C" w:rsidRDefault="00B3398C">
      <w:pPr>
        <w:widowControl w:val="0"/>
        <w:autoSpaceDE w:val="0"/>
        <w:autoSpaceDN w:val="0"/>
        <w:adjustRightInd w:val="0"/>
        <w:spacing w:before="14" w:line="240" w:lineRule="exact"/>
        <w:jc w:val="center"/>
        <w:rPr>
          <w:rFonts w:ascii="Arial" w:hAnsi="Arial" w:cs="Arial"/>
          <w:bCs/>
        </w:rPr>
      </w:pPr>
      <w:r>
        <w:rPr>
          <w:rFonts w:ascii="Arial" w:hAnsi="Arial" w:cs="Arial"/>
          <w:bCs/>
        </w:rPr>
        <w:t>.</w:t>
      </w:r>
    </w:p>
    <w:p w:rsidR="00B3398C" w:rsidRDefault="00B3398C" w:rsidP="008630D8">
      <w:pPr>
        <w:widowControl w:val="0"/>
        <w:autoSpaceDE w:val="0"/>
        <w:autoSpaceDN w:val="0"/>
        <w:adjustRightInd w:val="0"/>
        <w:spacing w:before="14" w:line="240" w:lineRule="exact"/>
        <w:ind w:left="120"/>
        <w:jc w:val="center"/>
        <w:rPr>
          <w:rFonts w:ascii="Arial" w:hAnsi="Arial" w:cs="Arial"/>
          <w:bCs/>
        </w:rPr>
      </w:pPr>
    </w:p>
    <w:p w:rsidR="00B3398C" w:rsidRDefault="00B3398C" w:rsidP="008630D8">
      <w:pPr>
        <w:widowControl w:val="0"/>
        <w:autoSpaceDE w:val="0"/>
        <w:autoSpaceDN w:val="0"/>
        <w:adjustRightInd w:val="0"/>
        <w:spacing w:before="14" w:line="240" w:lineRule="exact"/>
        <w:ind w:left="120"/>
        <w:jc w:val="center"/>
        <w:rPr>
          <w:rFonts w:ascii="Arial" w:hAnsi="Arial" w:cs="Arial"/>
          <w:bCs/>
        </w:rPr>
      </w:pPr>
    </w:p>
    <w:p w:rsidR="00B3398C" w:rsidRDefault="00B3398C" w:rsidP="008630D8">
      <w:pPr>
        <w:jc w:val="center"/>
      </w:pPr>
    </w:p>
    <w:p w:rsidR="0011179F" w:rsidRDefault="00B3398C" w:rsidP="0011179F">
      <w:pPr>
        <w:pBdr>
          <w:top w:val="single" w:sz="4" w:space="1" w:color="auto"/>
          <w:left w:val="single" w:sz="4" w:space="4" w:color="auto"/>
          <w:bottom w:val="single" w:sz="4" w:space="1" w:color="auto"/>
          <w:right w:val="single" w:sz="4" w:space="4" w:color="auto"/>
        </w:pBdr>
        <w:jc w:val="center"/>
      </w:pPr>
      <w:r>
        <w:t xml:space="preserve">Pouvoir </w:t>
      </w:r>
      <w:r w:rsidR="0011179F">
        <w:t>Adjudicateur</w:t>
      </w:r>
      <w:r w:rsidR="0011179F" w:rsidRPr="00535101">
        <w:t xml:space="preserve"> : </w:t>
      </w:r>
      <w:r w:rsidR="0011179F">
        <w:t xml:space="preserve">INRAE, Centre de Recherches de Bordeaux-Aquitaine </w:t>
      </w:r>
    </w:p>
    <w:p w:rsidR="0011179F" w:rsidRDefault="0011179F" w:rsidP="0011179F">
      <w:pPr>
        <w:pBdr>
          <w:top w:val="single" w:sz="4" w:space="1" w:color="auto"/>
          <w:left w:val="single" w:sz="4" w:space="4" w:color="auto"/>
          <w:bottom w:val="single" w:sz="4" w:space="1" w:color="auto"/>
          <w:right w:val="single" w:sz="4" w:space="4" w:color="auto"/>
        </w:pBdr>
        <w:jc w:val="center"/>
      </w:pPr>
      <w:r>
        <w:t xml:space="preserve">71, avenue Edouard </w:t>
      </w:r>
      <w:proofErr w:type="spellStart"/>
      <w:r>
        <w:t>Bourlaux</w:t>
      </w:r>
      <w:proofErr w:type="spellEnd"/>
    </w:p>
    <w:p w:rsidR="0011179F" w:rsidRDefault="0011179F" w:rsidP="0011179F">
      <w:pPr>
        <w:pBdr>
          <w:top w:val="single" w:sz="4" w:space="1" w:color="auto"/>
          <w:left w:val="single" w:sz="4" w:space="4" w:color="auto"/>
          <w:bottom w:val="single" w:sz="4" w:space="1" w:color="auto"/>
          <w:right w:val="single" w:sz="4" w:space="4" w:color="auto"/>
        </w:pBdr>
        <w:jc w:val="center"/>
      </w:pPr>
      <w:r>
        <w:t>CS20032</w:t>
      </w:r>
    </w:p>
    <w:p w:rsidR="0011179F" w:rsidRDefault="0011179F" w:rsidP="0011179F">
      <w:pPr>
        <w:pBdr>
          <w:top w:val="single" w:sz="4" w:space="1" w:color="auto"/>
          <w:left w:val="single" w:sz="4" w:space="4" w:color="auto"/>
          <w:bottom w:val="single" w:sz="4" w:space="1" w:color="auto"/>
          <w:right w:val="single" w:sz="4" w:space="4" w:color="auto"/>
        </w:pBdr>
        <w:jc w:val="center"/>
      </w:pPr>
      <w:r>
        <w:t>33882 Villenave d’Ornon Cedex</w:t>
      </w:r>
    </w:p>
    <w:p w:rsidR="0011179F" w:rsidRPr="008174AB" w:rsidRDefault="0011179F" w:rsidP="0011179F">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4"/>
        <w:jc w:val="center"/>
      </w:pPr>
      <w:r w:rsidRPr="00D85857">
        <w:t>N° SIRET de l’unité bénéficiaire </w:t>
      </w:r>
      <w:r w:rsidRPr="003515A6">
        <w:t>: 180070039012</w:t>
      </w:r>
      <w:r>
        <w:t>74</w:t>
      </w:r>
    </w:p>
    <w:p w:rsidR="00B3398C" w:rsidRPr="002258B6" w:rsidRDefault="00B3398C" w:rsidP="0011179F">
      <w:pPr>
        <w:pBdr>
          <w:top w:val="single" w:sz="4" w:space="1" w:color="auto"/>
          <w:left w:val="single" w:sz="4" w:space="4" w:color="auto"/>
          <w:bottom w:val="single" w:sz="4" w:space="1" w:color="auto"/>
          <w:right w:val="single" w:sz="4" w:space="4" w:color="auto"/>
        </w:pBdr>
        <w:jc w:val="center"/>
        <w:rPr>
          <w:rFonts w:ascii="Arial" w:hAnsi="Arial" w:cs="Arial"/>
          <w:bCs/>
          <w:color w:val="C00000"/>
        </w:rPr>
      </w:pPr>
    </w:p>
    <w:p w:rsidR="00B3398C" w:rsidRPr="008630D8" w:rsidRDefault="00460E17" w:rsidP="008630D8">
      <w:pPr>
        <w:rPr>
          <w:b/>
          <w:bCs/>
        </w:rPr>
      </w:pPr>
      <w:r>
        <w:br w:type="page"/>
      </w:r>
      <w:r w:rsidR="00B3398C" w:rsidRPr="008630D8">
        <w:rPr>
          <w:b/>
        </w:rPr>
        <w:lastRenderedPageBreak/>
        <w:t>Le Titulaire</w:t>
      </w:r>
    </w:p>
    <w:p w:rsidR="00B3398C" w:rsidRPr="003C2E90" w:rsidRDefault="00B3398C" w:rsidP="008630D8">
      <w:r w:rsidRPr="003C2E90">
        <w:t xml:space="preserve">Je soussigné (nom, prénoms) : </w:t>
      </w:r>
      <w:r w:rsidR="00260443">
        <w:t>…………</w:t>
      </w:r>
      <w:proofErr w:type="gramStart"/>
      <w:r w:rsidR="00260443">
        <w:t>…….</w:t>
      </w:r>
      <w:proofErr w:type="gramEnd"/>
      <w:r w:rsidR="00260443">
        <w:t>.</w:t>
      </w:r>
    </w:p>
    <w:p w:rsidR="00B3398C" w:rsidRPr="003C2E90" w:rsidRDefault="00B3398C" w:rsidP="008630D8">
      <w:r w:rsidRPr="003C2E90">
        <w:t xml:space="preserve">Agissant pour le compte de : </w:t>
      </w:r>
      <w:r w:rsidR="00260443">
        <w:t>……………………</w:t>
      </w:r>
    </w:p>
    <w:p w:rsidR="00B3398C" w:rsidRPr="003C2E90" w:rsidRDefault="00B3398C" w:rsidP="008630D8">
      <w:r w:rsidRPr="003C2E90">
        <w:t xml:space="preserve">Forme juridique : </w:t>
      </w:r>
      <w:r w:rsidR="00260443">
        <w:t>………………………………….</w:t>
      </w:r>
    </w:p>
    <w:p w:rsidR="00B3398C" w:rsidRPr="003C2E90" w:rsidRDefault="00B3398C" w:rsidP="008630D8">
      <w:r w:rsidRPr="003C2E90">
        <w:t xml:space="preserve">Capital social : </w:t>
      </w:r>
      <w:r w:rsidR="00260443">
        <w:t>…………………………………….</w:t>
      </w:r>
    </w:p>
    <w:p w:rsidR="00B3398C" w:rsidRPr="003C2E90" w:rsidRDefault="00B3398C" w:rsidP="008630D8">
      <w:r w:rsidRPr="003C2E90">
        <w:t xml:space="preserve">Adresse du siège social : </w:t>
      </w:r>
      <w:r w:rsidR="00260443">
        <w:t>…………………</w:t>
      </w:r>
      <w:proofErr w:type="gramStart"/>
      <w:r w:rsidR="00260443">
        <w:t>…….</w:t>
      </w:r>
      <w:proofErr w:type="gramEnd"/>
      <w:r w:rsidR="00260443">
        <w:t>.</w:t>
      </w:r>
    </w:p>
    <w:p w:rsidR="00B3398C" w:rsidRPr="003C2E90" w:rsidRDefault="00B3398C" w:rsidP="008630D8">
      <w:r w:rsidRPr="003C2E90">
        <w:t xml:space="preserve">Tél. : </w:t>
      </w:r>
      <w:r w:rsidR="00260443">
        <w:t>………………………</w:t>
      </w:r>
    </w:p>
    <w:p w:rsidR="008630D8" w:rsidRDefault="008630D8" w:rsidP="008630D8"/>
    <w:p w:rsidR="00B3398C" w:rsidRPr="003C2E90" w:rsidRDefault="00B3398C" w:rsidP="008630D8">
      <w:r w:rsidRPr="003C2E90">
        <w:t>Immatriculation à l’INSEE</w:t>
      </w:r>
    </w:p>
    <w:p w:rsidR="00B3398C" w:rsidRPr="003C2E90" w:rsidRDefault="00B3398C" w:rsidP="008630D8">
      <w:proofErr w:type="gramStart"/>
      <w:r w:rsidRPr="003C2E90">
        <w:t>n</w:t>
      </w:r>
      <w:proofErr w:type="gramEnd"/>
      <w:r w:rsidRPr="003C2E90">
        <w:t xml:space="preserve">° d’identité d’établissement (SIRET) : </w:t>
      </w:r>
      <w:r w:rsidR="00260443">
        <w:t>……………………………………………</w:t>
      </w:r>
    </w:p>
    <w:p w:rsidR="00B3398C" w:rsidRPr="003C2E90" w:rsidRDefault="00B3398C" w:rsidP="008630D8">
      <w:proofErr w:type="gramStart"/>
      <w:r w:rsidRPr="003C2E90">
        <w:t>code</w:t>
      </w:r>
      <w:proofErr w:type="gramEnd"/>
      <w:r w:rsidRPr="003C2E90">
        <w:t xml:space="preserve"> d’activité économique principale (APE) : </w:t>
      </w:r>
      <w:r w:rsidR="00260443">
        <w:t>…………………………………..</w:t>
      </w:r>
    </w:p>
    <w:p w:rsidR="00B3398C" w:rsidRPr="003C2E90" w:rsidRDefault="00B3398C" w:rsidP="008630D8">
      <w:proofErr w:type="gramStart"/>
      <w:r w:rsidRPr="003C2E90">
        <w:t>n</w:t>
      </w:r>
      <w:proofErr w:type="gramEnd"/>
      <w:r w:rsidRPr="003C2E90">
        <w:t xml:space="preserve">° d’inscription au registre du commerce de : RCS : </w:t>
      </w:r>
      <w:r w:rsidR="00260443">
        <w:t>……………………………</w:t>
      </w:r>
    </w:p>
    <w:p w:rsidR="00B3398C" w:rsidRPr="003C2E90" w:rsidRDefault="00B3398C" w:rsidP="008630D8"/>
    <w:p w:rsidR="00B3398C" w:rsidRPr="003C2E90" w:rsidRDefault="00B3398C" w:rsidP="008630D8">
      <w:proofErr w:type="gramStart"/>
      <w:r w:rsidRPr="003C2E90">
        <w:t>après</w:t>
      </w:r>
      <w:proofErr w:type="gramEnd"/>
      <w:r w:rsidRPr="003C2E90">
        <w:t xml:space="preserve"> avoir pris connaissance des dispositions du présent document, des documents qui y sont mentionnés et après avoir satisfait aux obligations fiscales et sociales en vigueur,</w:t>
      </w:r>
    </w:p>
    <w:p w:rsidR="00B3398C" w:rsidRPr="003C2E90" w:rsidRDefault="00B3398C" w:rsidP="008630D8">
      <w:proofErr w:type="gramStart"/>
      <w:r w:rsidRPr="003C2E90">
        <w:t>m’engage</w:t>
      </w:r>
      <w:proofErr w:type="gramEnd"/>
      <w:r w:rsidRPr="003C2E90">
        <w:t xml:space="preserve"> sans réserve, conformément aux stipulations du présent document et des documents qui y sont mentionnés, à exécuter dans les conditions fixées par lesdits documents les prestations désignées en objet du présent acte d’engagement valant Cahier des Clauses Particulières.</w:t>
      </w:r>
    </w:p>
    <w:p w:rsidR="00B3398C" w:rsidRPr="003C2E90" w:rsidRDefault="00B3398C" w:rsidP="008630D8"/>
    <w:p w:rsidR="00B3398C" w:rsidRPr="008630D8" w:rsidRDefault="00B3398C" w:rsidP="008630D8">
      <w:r w:rsidRPr="003C2E90">
        <w:t xml:space="preserve">L’offre, ainsi présentée ne me lie toutefois que si son acceptation m’est notifiée dans le délai de </w:t>
      </w:r>
      <w:r w:rsidR="0011179F" w:rsidRPr="0011179F">
        <w:t>90 jours</w:t>
      </w:r>
      <w:r w:rsidRPr="008630D8">
        <w:t xml:space="preserve"> à compter de la date </w:t>
      </w:r>
      <w:r w:rsidR="00B152C6" w:rsidRPr="008630D8">
        <w:t>limite de remise des</w:t>
      </w:r>
      <w:r w:rsidR="00B152C6">
        <w:t xml:space="preserve"> plis</w:t>
      </w:r>
      <w:r w:rsidR="0011179F">
        <w:t>.</w:t>
      </w:r>
      <w:r w:rsidR="00391DB4">
        <w:t xml:space="preserve"> </w:t>
      </w:r>
    </w:p>
    <w:p w:rsidR="0011179F" w:rsidRPr="008630D8" w:rsidRDefault="0011179F" w:rsidP="0011179F"/>
    <w:p w:rsidR="0011179F" w:rsidRDefault="0011179F" w:rsidP="0011179F">
      <w:pPr>
        <w:rPr>
          <w:rFonts w:cs="Arial"/>
          <w:b/>
        </w:rPr>
      </w:pPr>
      <w:r w:rsidRPr="008630D8">
        <w:rPr>
          <w:rFonts w:cs="Arial"/>
          <w:b/>
        </w:rPr>
        <w:t>Fait à ………………… le ……………</w:t>
      </w:r>
      <w:proofErr w:type="gramStart"/>
      <w:r w:rsidRPr="008630D8">
        <w:rPr>
          <w:rFonts w:cs="Arial"/>
          <w:b/>
        </w:rPr>
        <w:t>…….</w:t>
      </w:r>
      <w:proofErr w:type="gramEnd"/>
      <w:r w:rsidRPr="008630D8">
        <w:rPr>
          <w:rFonts w:cs="Arial"/>
          <w:b/>
        </w:rPr>
        <w:t>.</w:t>
      </w:r>
    </w:p>
    <w:p w:rsidR="0011179F" w:rsidRPr="00E37210" w:rsidRDefault="0011179F" w:rsidP="0011179F">
      <w:r w:rsidRPr="00E37210">
        <w:t>Le titulaire</w:t>
      </w:r>
      <w:r>
        <w:t xml:space="preserve"> </w:t>
      </w:r>
      <w:r w:rsidRPr="004E373B">
        <w:rPr>
          <w:i/>
          <w:sz w:val="18"/>
          <w:szCs w:val="18"/>
        </w:rPr>
        <w:t>(cocher la case correspondante)</w:t>
      </w:r>
    </w:p>
    <w:p w:rsidR="004B4750" w:rsidRDefault="004B4750" w:rsidP="0011179F"/>
    <w:p w:rsidR="0011179F" w:rsidRDefault="0011179F" w:rsidP="0011179F">
      <w:r w:rsidRPr="00E37210">
        <w:t xml:space="preserve"> </w:t>
      </w:r>
    </w:p>
    <w:tbl>
      <w:tblPr>
        <w:tblStyle w:val="Grilledutableau"/>
        <w:tblW w:w="4388" w:type="dxa"/>
        <w:tblInd w:w="5098" w:type="dxa"/>
        <w:tblLook w:val="04A0" w:firstRow="1" w:lastRow="0" w:firstColumn="1" w:lastColumn="0" w:noHBand="0" w:noVBand="1"/>
      </w:tblPr>
      <w:tblGrid>
        <w:gridCol w:w="4388"/>
      </w:tblGrid>
      <w:tr w:rsidR="0011179F" w:rsidTr="00665486">
        <w:trPr>
          <w:trHeight w:val="1327"/>
        </w:trPr>
        <w:tc>
          <w:tcPr>
            <w:tcW w:w="4388" w:type="dxa"/>
          </w:tcPr>
          <w:p w:rsidR="0011179F" w:rsidRPr="00FB11C2" w:rsidRDefault="0011179F" w:rsidP="00665486">
            <w:pPr>
              <w:rPr>
                <w:i/>
                <w:sz w:val="20"/>
                <w:szCs w:val="20"/>
              </w:rPr>
            </w:pPr>
            <w:r w:rsidRPr="00FB11C2">
              <w:rPr>
                <w:i/>
                <w:sz w:val="20"/>
                <w:szCs w:val="20"/>
              </w:rPr>
              <w:t>Signature, nom, qualité et cachet :</w:t>
            </w:r>
          </w:p>
          <w:p w:rsidR="0011179F" w:rsidRDefault="0011179F" w:rsidP="00665486"/>
          <w:p w:rsidR="0011179F" w:rsidRDefault="0011179F" w:rsidP="00665486"/>
        </w:tc>
      </w:tr>
    </w:tbl>
    <w:p w:rsidR="0011179F" w:rsidRPr="008174AB" w:rsidRDefault="0011179F" w:rsidP="0011179F">
      <w:r w:rsidRPr="008174AB">
        <w:t>INRAE, Centre de Recherches de Bordeaux-Aquitaine</w:t>
      </w:r>
    </w:p>
    <w:p w:rsidR="0011179F" w:rsidRPr="003C2E90" w:rsidRDefault="0011179F" w:rsidP="0011179F">
      <w:r w:rsidRPr="003C2E90">
        <w:t xml:space="preserve">Est acceptée la présente offre </w:t>
      </w:r>
      <w:r>
        <w:t>pour valoir Acte d’Engagement.</w:t>
      </w:r>
    </w:p>
    <w:p w:rsidR="0011179F" w:rsidRPr="003C2E90" w:rsidRDefault="0011179F" w:rsidP="0011179F">
      <w:r w:rsidRPr="003C2E90">
        <w:t>L</w:t>
      </w:r>
      <w:r>
        <w:t>a</w:t>
      </w:r>
      <w:r w:rsidRPr="003C2E90">
        <w:t xml:space="preserve"> </w:t>
      </w:r>
      <w:r>
        <w:t>Représentante du Pouvoir Adjudicateur</w:t>
      </w:r>
    </w:p>
    <w:p w:rsidR="0011179F" w:rsidRDefault="0011179F" w:rsidP="0011179F">
      <w:r w:rsidRPr="00245F51">
        <w:t>Direct</w:t>
      </w:r>
      <w:r>
        <w:t>rice</w:t>
      </w:r>
      <w:r w:rsidRPr="00245F51">
        <w:t xml:space="preserve"> de l’unité </w:t>
      </w:r>
      <w:r>
        <w:t>Christine CHARLOT</w:t>
      </w:r>
    </w:p>
    <w:tbl>
      <w:tblPr>
        <w:tblStyle w:val="Grilledutableau"/>
        <w:tblW w:w="4403" w:type="dxa"/>
        <w:tblInd w:w="5098" w:type="dxa"/>
        <w:tblLook w:val="04A0" w:firstRow="1" w:lastRow="0" w:firstColumn="1" w:lastColumn="0" w:noHBand="0" w:noVBand="1"/>
      </w:tblPr>
      <w:tblGrid>
        <w:gridCol w:w="4403"/>
      </w:tblGrid>
      <w:tr w:rsidR="0011179F" w:rsidTr="00665486">
        <w:trPr>
          <w:trHeight w:val="1282"/>
        </w:trPr>
        <w:tc>
          <w:tcPr>
            <w:tcW w:w="4403" w:type="dxa"/>
          </w:tcPr>
          <w:p w:rsidR="0011179F" w:rsidRPr="00FB11C2" w:rsidRDefault="0011179F" w:rsidP="00665486">
            <w:pPr>
              <w:rPr>
                <w:i/>
                <w:sz w:val="20"/>
                <w:szCs w:val="20"/>
              </w:rPr>
            </w:pPr>
            <w:r>
              <w:br w:type="page"/>
            </w:r>
            <w:r w:rsidRPr="00FB11C2">
              <w:rPr>
                <w:i/>
                <w:sz w:val="20"/>
                <w:szCs w:val="20"/>
              </w:rPr>
              <w:t>Signature, nom, qualité et cachet :</w:t>
            </w:r>
          </w:p>
          <w:p w:rsidR="0011179F" w:rsidRDefault="0011179F" w:rsidP="00665486"/>
          <w:p w:rsidR="0011179F" w:rsidRDefault="0011179F" w:rsidP="00665486"/>
        </w:tc>
      </w:tr>
    </w:tbl>
    <w:p w:rsidR="00E53939" w:rsidRDefault="00B3398C">
      <w:pPr>
        <w:pStyle w:val="TM1"/>
        <w:tabs>
          <w:tab w:val="left" w:pos="480"/>
          <w:tab w:val="right" w:leader="dot" w:pos="9054"/>
        </w:tabs>
        <w:rPr>
          <w:rFonts w:asciiTheme="minorHAnsi" w:eastAsiaTheme="minorEastAsia" w:hAnsiTheme="minorHAnsi"/>
          <w:noProof/>
          <w:lang w:eastAsia="fr-FR"/>
        </w:rPr>
      </w:pPr>
      <w:r w:rsidRPr="00E37210">
        <w:rPr>
          <w:szCs w:val="24"/>
        </w:rPr>
        <w:lastRenderedPageBreak/>
        <w:fldChar w:fldCharType="begin"/>
      </w:r>
      <w:r w:rsidRPr="00E37210">
        <w:instrText xml:space="preserve"> TOC \o "1-3" \h \z \u </w:instrText>
      </w:r>
      <w:r w:rsidRPr="00E37210">
        <w:rPr>
          <w:szCs w:val="24"/>
        </w:rPr>
        <w:fldChar w:fldCharType="separate"/>
      </w:r>
      <w:hyperlink w:anchor="_Toc195108954" w:history="1">
        <w:r w:rsidR="00E53939" w:rsidRPr="00F85BC7">
          <w:rPr>
            <w:rStyle w:val="Lienhypertexte"/>
            <w:b/>
            <w:i/>
            <w:iCs/>
            <w:noProof/>
          </w:rPr>
          <w:t>1.</w:t>
        </w:r>
        <w:r w:rsidR="00E53939">
          <w:rPr>
            <w:rFonts w:asciiTheme="minorHAnsi" w:eastAsiaTheme="minorEastAsia" w:hAnsiTheme="minorHAnsi"/>
            <w:noProof/>
            <w:lang w:eastAsia="fr-FR"/>
          </w:rPr>
          <w:tab/>
        </w:r>
        <w:r w:rsidR="00E53939" w:rsidRPr="00F85BC7">
          <w:rPr>
            <w:rStyle w:val="Lienhypertexte"/>
            <w:noProof/>
          </w:rPr>
          <w:t>OBJET</w:t>
        </w:r>
        <w:r w:rsidR="00E53939">
          <w:rPr>
            <w:noProof/>
            <w:webHidden/>
          </w:rPr>
          <w:tab/>
        </w:r>
        <w:r w:rsidR="00E53939">
          <w:rPr>
            <w:noProof/>
            <w:webHidden/>
          </w:rPr>
          <w:fldChar w:fldCharType="begin"/>
        </w:r>
        <w:r w:rsidR="00E53939">
          <w:rPr>
            <w:noProof/>
            <w:webHidden/>
          </w:rPr>
          <w:instrText xml:space="preserve"> PAGEREF _Toc195108954 \h </w:instrText>
        </w:r>
        <w:r w:rsidR="00E53939">
          <w:rPr>
            <w:noProof/>
            <w:webHidden/>
          </w:rPr>
        </w:r>
        <w:r w:rsidR="00E53939">
          <w:rPr>
            <w:noProof/>
            <w:webHidden/>
          </w:rPr>
          <w:fldChar w:fldCharType="separate"/>
        </w:r>
        <w:r w:rsidR="00E53939">
          <w:rPr>
            <w:noProof/>
            <w:webHidden/>
          </w:rPr>
          <w:t>4</w:t>
        </w:r>
        <w:r w:rsidR="00E53939">
          <w:rPr>
            <w:noProof/>
            <w:webHidden/>
          </w:rPr>
          <w:fldChar w:fldCharType="end"/>
        </w:r>
      </w:hyperlink>
    </w:p>
    <w:p w:rsidR="00E53939" w:rsidRDefault="00315C12">
      <w:pPr>
        <w:pStyle w:val="TM1"/>
        <w:tabs>
          <w:tab w:val="left" w:pos="480"/>
          <w:tab w:val="right" w:leader="dot" w:pos="9054"/>
        </w:tabs>
        <w:rPr>
          <w:rFonts w:asciiTheme="minorHAnsi" w:eastAsiaTheme="minorEastAsia" w:hAnsiTheme="minorHAnsi"/>
          <w:noProof/>
          <w:lang w:eastAsia="fr-FR"/>
        </w:rPr>
      </w:pPr>
      <w:hyperlink w:anchor="_Toc195108955" w:history="1">
        <w:r w:rsidR="00E53939" w:rsidRPr="00F85BC7">
          <w:rPr>
            <w:rStyle w:val="Lienhypertexte"/>
            <w:b/>
            <w:i/>
            <w:iCs/>
            <w:noProof/>
          </w:rPr>
          <w:t>2.</w:t>
        </w:r>
        <w:r w:rsidR="00E53939">
          <w:rPr>
            <w:rFonts w:asciiTheme="minorHAnsi" w:eastAsiaTheme="minorEastAsia" w:hAnsiTheme="minorHAnsi"/>
            <w:noProof/>
            <w:lang w:eastAsia="fr-FR"/>
          </w:rPr>
          <w:tab/>
        </w:r>
        <w:r w:rsidR="00E53939" w:rsidRPr="00F85BC7">
          <w:rPr>
            <w:rStyle w:val="Lienhypertexte"/>
            <w:noProof/>
          </w:rPr>
          <w:t>PIÈCES CONTRACTUELLES DU MARCHÉ</w:t>
        </w:r>
        <w:r w:rsidR="00E53939">
          <w:rPr>
            <w:noProof/>
            <w:webHidden/>
          </w:rPr>
          <w:tab/>
        </w:r>
        <w:r w:rsidR="00E53939">
          <w:rPr>
            <w:noProof/>
            <w:webHidden/>
          </w:rPr>
          <w:fldChar w:fldCharType="begin"/>
        </w:r>
        <w:r w:rsidR="00E53939">
          <w:rPr>
            <w:noProof/>
            <w:webHidden/>
          </w:rPr>
          <w:instrText xml:space="preserve"> PAGEREF _Toc195108955 \h </w:instrText>
        </w:r>
        <w:r w:rsidR="00E53939">
          <w:rPr>
            <w:noProof/>
            <w:webHidden/>
          </w:rPr>
        </w:r>
        <w:r w:rsidR="00E53939">
          <w:rPr>
            <w:noProof/>
            <w:webHidden/>
          </w:rPr>
          <w:fldChar w:fldCharType="separate"/>
        </w:r>
        <w:r w:rsidR="00E53939">
          <w:rPr>
            <w:noProof/>
            <w:webHidden/>
          </w:rPr>
          <w:t>4</w:t>
        </w:r>
        <w:r w:rsidR="00E53939">
          <w:rPr>
            <w:noProof/>
            <w:webHidden/>
          </w:rPr>
          <w:fldChar w:fldCharType="end"/>
        </w:r>
      </w:hyperlink>
    </w:p>
    <w:p w:rsidR="00E53939" w:rsidRDefault="00315C12">
      <w:pPr>
        <w:pStyle w:val="TM1"/>
        <w:tabs>
          <w:tab w:val="left" w:pos="480"/>
          <w:tab w:val="right" w:leader="dot" w:pos="9054"/>
        </w:tabs>
        <w:rPr>
          <w:rFonts w:asciiTheme="minorHAnsi" w:eastAsiaTheme="minorEastAsia" w:hAnsiTheme="minorHAnsi"/>
          <w:noProof/>
          <w:lang w:eastAsia="fr-FR"/>
        </w:rPr>
      </w:pPr>
      <w:hyperlink w:anchor="_Toc195108956" w:history="1">
        <w:r w:rsidR="00E53939" w:rsidRPr="00F85BC7">
          <w:rPr>
            <w:rStyle w:val="Lienhypertexte"/>
            <w:b/>
            <w:i/>
            <w:iCs/>
            <w:noProof/>
          </w:rPr>
          <w:t>3.</w:t>
        </w:r>
        <w:r w:rsidR="00E53939">
          <w:rPr>
            <w:rFonts w:asciiTheme="minorHAnsi" w:eastAsiaTheme="minorEastAsia" w:hAnsiTheme="minorHAnsi"/>
            <w:noProof/>
            <w:lang w:eastAsia="fr-FR"/>
          </w:rPr>
          <w:tab/>
        </w:r>
        <w:r w:rsidR="00E53939" w:rsidRPr="00F85BC7">
          <w:rPr>
            <w:rStyle w:val="Lienhypertexte"/>
            <w:noProof/>
          </w:rPr>
          <w:t>CONTENU DES PRESTATIONS</w:t>
        </w:r>
        <w:r w:rsidR="00E53939">
          <w:rPr>
            <w:noProof/>
            <w:webHidden/>
          </w:rPr>
          <w:tab/>
        </w:r>
        <w:r w:rsidR="00E53939">
          <w:rPr>
            <w:noProof/>
            <w:webHidden/>
          </w:rPr>
          <w:fldChar w:fldCharType="begin"/>
        </w:r>
        <w:r w:rsidR="00E53939">
          <w:rPr>
            <w:noProof/>
            <w:webHidden/>
          </w:rPr>
          <w:instrText xml:space="preserve"> PAGEREF _Toc195108956 \h </w:instrText>
        </w:r>
        <w:r w:rsidR="00E53939">
          <w:rPr>
            <w:noProof/>
            <w:webHidden/>
          </w:rPr>
        </w:r>
        <w:r w:rsidR="00E53939">
          <w:rPr>
            <w:noProof/>
            <w:webHidden/>
          </w:rPr>
          <w:fldChar w:fldCharType="separate"/>
        </w:r>
        <w:r w:rsidR="00E53939">
          <w:rPr>
            <w:noProof/>
            <w:webHidden/>
          </w:rPr>
          <w:t>4</w:t>
        </w:r>
        <w:r w:rsidR="00E53939">
          <w:rPr>
            <w:noProof/>
            <w:webHidden/>
          </w:rPr>
          <w:fldChar w:fldCharType="end"/>
        </w:r>
      </w:hyperlink>
    </w:p>
    <w:p w:rsidR="00E53939" w:rsidRDefault="00315C12">
      <w:pPr>
        <w:pStyle w:val="TM1"/>
        <w:tabs>
          <w:tab w:val="left" w:pos="480"/>
          <w:tab w:val="right" w:leader="dot" w:pos="9054"/>
        </w:tabs>
        <w:rPr>
          <w:rFonts w:asciiTheme="minorHAnsi" w:eastAsiaTheme="minorEastAsia" w:hAnsiTheme="minorHAnsi"/>
          <w:noProof/>
          <w:lang w:eastAsia="fr-FR"/>
        </w:rPr>
      </w:pPr>
      <w:hyperlink w:anchor="_Toc195108957" w:history="1">
        <w:r w:rsidR="00E53939" w:rsidRPr="00F85BC7">
          <w:rPr>
            <w:rStyle w:val="Lienhypertexte"/>
            <w:b/>
            <w:i/>
            <w:iCs/>
            <w:noProof/>
          </w:rPr>
          <w:t>4.</w:t>
        </w:r>
        <w:r w:rsidR="00E53939">
          <w:rPr>
            <w:rFonts w:asciiTheme="minorHAnsi" w:eastAsiaTheme="minorEastAsia" w:hAnsiTheme="minorHAnsi"/>
            <w:noProof/>
            <w:lang w:eastAsia="fr-FR"/>
          </w:rPr>
          <w:tab/>
        </w:r>
        <w:r w:rsidR="00E53939" w:rsidRPr="00F85BC7">
          <w:rPr>
            <w:rStyle w:val="Lienhypertexte"/>
            <w:noProof/>
          </w:rPr>
          <w:t>DURÉE DU MARCHÉ (OU DÉLAI(S) D’EXÉCUTION DU MARCHÉ)</w:t>
        </w:r>
        <w:r w:rsidR="00E53939">
          <w:rPr>
            <w:noProof/>
            <w:webHidden/>
          </w:rPr>
          <w:tab/>
        </w:r>
        <w:r w:rsidR="00E53939">
          <w:rPr>
            <w:noProof/>
            <w:webHidden/>
          </w:rPr>
          <w:fldChar w:fldCharType="begin"/>
        </w:r>
        <w:r w:rsidR="00E53939">
          <w:rPr>
            <w:noProof/>
            <w:webHidden/>
          </w:rPr>
          <w:instrText xml:space="preserve"> PAGEREF _Toc195108957 \h </w:instrText>
        </w:r>
        <w:r w:rsidR="00E53939">
          <w:rPr>
            <w:noProof/>
            <w:webHidden/>
          </w:rPr>
        </w:r>
        <w:r w:rsidR="00E53939">
          <w:rPr>
            <w:noProof/>
            <w:webHidden/>
          </w:rPr>
          <w:fldChar w:fldCharType="separate"/>
        </w:r>
        <w:r w:rsidR="00E53939">
          <w:rPr>
            <w:noProof/>
            <w:webHidden/>
          </w:rPr>
          <w:t>4</w:t>
        </w:r>
        <w:r w:rsidR="00E53939">
          <w:rPr>
            <w:noProof/>
            <w:webHidden/>
          </w:rPr>
          <w:fldChar w:fldCharType="end"/>
        </w:r>
      </w:hyperlink>
    </w:p>
    <w:p w:rsidR="00E53939" w:rsidRDefault="00315C12">
      <w:pPr>
        <w:pStyle w:val="TM1"/>
        <w:tabs>
          <w:tab w:val="left" w:pos="480"/>
          <w:tab w:val="right" w:leader="dot" w:pos="9054"/>
        </w:tabs>
        <w:rPr>
          <w:rFonts w:asciiTheme="minorHAnsi" w:eastAsiaTheme="minorEastAsia" w:hAnsiTheme="minorHAnsi"/>
          <w:noProof/>
          <w:lang w:eastAsia="fr-FR"/>
        </w:rPr>
      </w:pPr>
      <w:hyperlink w:anchor="_Toc195108958" w:history="1">
        <w:r w:rsidR="00E53939" w:rsidRPr="00F85BC7">
          <w:rPr>
            <w:rStyle w:val="Lienhypertexte"/>
            <w:b/>
            <w:i/>
            <w:iCs/>
            <w:noProof/>
          </w:rPr>
          <w:t>5.</w:t>
        </w:r>
        <w:r w:rsidR="00E53939">
          <w:rPr>
            <w:rFonts w:asciiTheme="minorHAnsi" w:eastAsiaTheme="minorEastAsia" w:hAnsiTheme="minorHAnsi"/>
            <w:noProof/>
            <w:lang w:eastAsia="fr-FR"/>
          </w:rPr>
          <w:tab/>
        </w:r>
        <w:r w:rsidR="00E53939" w:rsidRPr="00F85BC7">
          <w:rPr>
            <w:rStyle w:val="Lienhypertexte"/>
            <w:noProof/>
          </w:rPr>
          <w:t>VÉRIFICATION ET ADMISSION DES ÉTUDES</w:t>
        </w:r>
        <w:r w:rsidR="00E53939">
          <w:rPr>
            <w:noProof/>
            <w:webHidden/>
          </w:rPr>
          <w:tab/>
        </w:r>
        <w:r w:rsidR="00E53939">
          <w:rPr>
            <w:noProof/>
            <w:webHidden/>
          </w:rPr>
          <w:fldChar w:fldCharType="begin"/>
        </w:r>
        <w:r w:rsidR="00E53939">
          <w:rPr>
            <w:noProof/>
            <w:webHidden/>
          </w:rPr>
          <w:instrText xml:space="preserve"> PAGEREF _Toc195108958 \h </w:instrText>
        </w:r>
        <w:r w:rsidR="00E53939">
          <w:rPr>
            <w:noProof/>
            <w:webHidden/>
          </w:rPr>
        </w:r>
        <w:r w:rsidR="00E53939">
          <w:rPr>
            <w:noProof/>
            <w:webHidden/>
          </w:rPr>
          <w:fldChar w:fldCharType="separate"/>
        </w:r>
        <w:r w:rsidR="00E53939">
          <w:rPr>
            <w:noProof/>
            <w:webHidden/>
          </w:rPr>
          <w:t>4</w:t>
        </w:r>
        <w:r w:rsidR="00E53939">
          <w:rPr>
            <w:noProof/>
            <w:webHidden/>
          </w:rPr>
          <w:fldChar w:fldCharType="end"/>
        </w:r>
      </w:hyperlink>
    </w:p>
    <w:p w:rsidR="00E53939" w:rsidRDefault="00315C12">
      <w:pPr>
        <w:pStyle w:val="TM1"/>
        <w:tabs>
          <w:tab w:val="left" w:pos="480"/>
          <w:tab w:val="right" w:leader="dot" w:pos="9054"/>
        </w:tabs>
        <w:rPr>
          <w:rFonts w:asciiTheme="minorHAnsi" w:eastAsiaTheme="minorEastAsia" w:hAnsiTheme="minorHAnsi"/>
          <w:noProof/>
          <w:lang w:eastAsia="fr-FR"/>
        </w:rPr>
      </w:pPr>
      <w:hyperlink w:anchor="_Toc195108959" w:history="1">
        <w:r w:rsidR="00E53939" w:rsidRPr="00F85BC7">
          <w:rPr>
            <w:rStyle w:val="Lienhypertexte"/>
            <w:b/>
            <w:noProof/>
          </w:rPr>
          <w:t>6.</w:t>
        </w:r>
        <w:r w:rsidR="00E53939">
          <w:rPr>
            <w:rFonts w:asciiTheme="minorHAnsi" w:eastAsiaTheme="minorEastAsia" w:hAnsiTheme="minorHAnsi"/>
            <w:noProof/>
            <w:lang w:eastAsia="fr-FR"/>
          </w:rPr>
          <w:tab/>
        </w:r>
        <w:r w:rsidR="00E53939" w:rsidRPr="00F85BC7">
          <w:rPr>
            <w:rStyle w:val="Lienhypertexte"/>
            <w:noProof/>
          </w:rPr>
          <w:t>ZONES A REGIME RESTRICTIF (ZRR)</w:t>
        </w:r>
        <w:r w:rsidR="00E53939">
          <w:rPr>
            <w:noProof/>
            <w:webHidden/>
          </w:rPr>
          <w:tab/>
        </w:r>
        <w:r w:rsidR="00E53939">
          <w:rPr>
            <w:noProof/>
            <w:webHidden/>
          </w:rPr>
          <w:fldChar w:fldCharType="begin"/>
        </w:r>
        <w:r w:rsidR="00E53939">
          <w:rPr>
            <w:noProof/>
            <w:webHidden/>
          </w:rPr>
          <w:instrText xml:space="preserve"> PAGEREF _Toc195108959 \h </w:instrText>
        </w:r>
        <w:r w:rsidR="00E53939">
          <w:rPr>
            <w:noProof/>
            <w:webHidden/>
          </w:rPr>
        </w:r>
        <w:r w:rsidR="00E53939">
          <w:rPr>
            <w:noProof/>
            <w:webHidden/>
          </w:rPr>
          <w:fldChar w:fldCharType="separate"/>
        </w:r>
        <w:r w:rsidR="00E53939">
          <w:rPr>
            <w:noProof/>
            <w:webHidden/>
          </w:rPr>
          <w:t>4</w:t>
        </w:r>
        <w:r w:rsidR="00E53939">
          <w:rPr>
            <w:noProof/>
            <w:webHidden/>
          </w:rPr>
          <w:fldChar w:fldCharType="end"/>
        </w:r>
      </w:hyperlink>
    </w:p>
    <w:p w:rsidR="00E53939" w:rsidRDefault="00315C12">
      <w:pPr>
        <w:pStyle w:val="TM1"/>
        <w:tabs>
          <w:tab w:val="left" w:pos="480"/>
          <w:tab w:val="right" w:leader="dot" w:pos="9054"/>
        </w:tabs>
        <w:rPr>
          <w:rFonts w:asciiTheme="minorHAnsi" w:eastAsiaTheme="minorEastAsia" w:hAnsiTheme="minorHAnsi"/>
          <w:noProof/>
          <w:lang w:eastAsia="fr-FR"/>
        </w:rPr>
      </w:pPr>
      <w:hyperlink w:anchor="_Toc195108960" w:history="1">
        <w:r w:rsidR="00E53939" w:rsidRPr="00F85BC7">
          <w:rPr>
            <w:rStyle w:val="Lienhypertexte"/>
            <w:b/>
            <w:i/>
            <w:iCs/>
            <w:noProof/>
          </w:rPr>
          <w:t>7.</w:t>
        </w:r>
        <w:r w:rsidR="00E53939">
          <w:rPr>
            <w:rFonts w:asciiTheme="minorHAnsi" w:eastAsiaTheme="minorEastAsia" w:hAnsiTheme="minorHAnsi"/>
            <w:noProof/>
            <w:lang w:eastAsia="fr-FR"/>
          </w:rPr>
          <w:tab/>
        </w:r>
        <w:r w:rsidR="00E53939" w:rsidRPr="00F85BC7">
          <w:rPr>
            <w:rStyle w:val="Lienhypertexte"/>
            <w:noProof/>
          </w:rPr>
          <w:t>PRIX ET MODALITÉS DE PAIEMENTS</w:t>
        </w:r>
        <w:r w:rsidR="00E53939">
          <w:rPr>
            <w:noProof/>
            <w:webHidden/>
          </w:rPr>
          <w:tab/>
        </w:r>
        <w:r w:rsidR="00E53939">
          <w:rPr>
            <w:noProof/>
            <w:webHidden/>
          </w:rPr>
          <w:fldChar w:fldCharType="begin"/>
        </w:r>
        <w:r w:rsidR="00E53939">
          <w:rPr>
            <w:noProof/>
            <w:webHidden/>
          </w:rPr>
          <w:instrText xml:space="preserve"> PAGEREF _Toc195108960 \h </w:instrText>
        </w:r>
        <w:r w:rsidR="00E53939">
          <w:rPr>
            <w:noProof/>
            <w:webHidden/>
          </w:rPr>
        </w:r>
        <w:r w:rsidR="00E53939">
          <w:rPr>
            <w:noProof/>
            <w:webHidden/>
          </w:rPr>
          <w:fldChar w:fldCharType="separate"/>
        </w:r>
        <w:r w:rsidR="00E53939">
          <w:rPr>
            <w:noProof/>
            <w:webHidden/>
          </w:rPr>
          <w:t>5</w:t>
        </w:r>
        <w:r w:rsidR="00E53939">
          <w:rPr>
            <w:noProof/>
            <w:webHidden/>
          </w:rPr>
          <w:fldChar w:fldCharType="end"/>
        </w:r>
      </w:hyperlink>
    </w:p>
    <w:p w:rsidR="00E53939" w:rsidRDefault="00315C12">
      <w:pPr>
        <w:pStyle w:val="TM2"/>
        <w:tabs>
          <w:tab w:val="left" w:pos="660"/>
        </w:tabs>
        <w:rPr>
          <w:rFonts w:asciiTheme="minorHAnsi" w:eastAsiaTheme="minorEastAsia" w:hAnsiTheme="minorHAnsi" w:cstheme="minorBidi"/>
          <w:noProof/>
          <w:lang w:eastAsia="fr-FR"/>
        </w:rPr>
      </w:pPr>
      <w:hyperlink w:anchor="_Toc195108961" w:history="1">
        <w:r w:rsidR="00E53939" w:rsidRPr="00F85BC7">
          <w:rPr>
            <w:rStyle w:val="Lienhypertexte"/>
            <w:noProof/>
          </w:rPr>
          <w:t>7.1.</w:t>
        </w:r>
        <w:r w:rsidR="00E53939">
          <w:rPr>
            <w:rFonts w:asciiTheme="minorHAnsi" w:eastAsiaTheme="minorEastAsia" w:hAnsiTheme="minorHAnsi" w:cstheme="minorBidi"/>
            <w:noProof/>
            <w:lang w:eastAsia="fr-FR"/>
          </w:rPr>
          <w:tab/>
        </w:r>
        <w:r w:rsidR="00E53939" w:rsidRPr="00F85BC7">
          <w:rPr>
            <w:rStyle w:val="Lienhypertexte"/>
            <w:noProof/>
          </w:rPr>
          <w:t>Prix du marché</w:t>
        </w:r>
        <w:r w:rsidR="00E53939">
          <w:rPr>
            <w:noProof/>
            <w:webHidden/>
          </w:rPr>
          <w:tab/>
        </w:r>
        <w:r w:rsidR="00E53939">
          <w:rPr>
            <w:noProof/>
            <w:webHidden/>
          </w:rPr>
          <w:fldChar w:fldCharType="begin"/>
        </w:r>
        <w:r w:rsidR="00E53939">
          <w:rPr>
            <w:noProof/>
            <w:webHidden/>
          </w:rPr>
          <w:instrText xml:space="preserve"> PAGEREF _Toc195108961 \h </w:instrText>
        </w:r>
        <w:r w:rsidR="00E53939">
          <w:rPr>
            <w:noProof/>
            <w:webHidden/>
          </w:rPr>
        </w:r>
        <w:r w:rsidR="00E53939">
          <w:rPr>
            <w:noProof/>
            <w:webHidden/>
          </w:rPr>
          <w:fldChar w:fldCharType="separate"/>
        </w:r>
        <w:r w:rsidR="00E53939">
          <w:rPr>
            <w:noProof/>
            <w:webHidden/>
          </w:rPr>
          <w:t>5</w:t>
        </w:r>
        <w:r w:rsidR="00E53939">
          <w:rPr>
            <w:noProof/>
            <w:webHidden/>
          </w:rPr>
          <w:fldChar w:fldCharType="end"/>
        </w:r>
      </w:hyperlink>
    </w:p>
    <w:p w:rsidR="00E53939" w:rsidRDefault="00315C12">
      <w:pPr>
        <w:pStyle w:val="TM2"/>
        <w:tabs>
          <w:tab w:val="left" w:pos="660"/>
        </w:tabs>
        <w:rPr>
          <w:rFonts w:asciiTheme="minorHAnsi" w:eastAsiaTheme="minorEastAsia" w:hAnsiTheme="minorHAnsi" w:cstheme="minorBidi"/>
          <w:noProof/>
          <w:lang w:eastAsia="fr-FR"/>
        </w:rPr>
      </w:pPr>
      <w:hyperlink w:anchor="_Toc195108962" w:history="1">
        <w:r w:rsidR="00E53939" w:rsidRPr="00F85BC7">
          <w:rPr>
            <w:rStyle w:val="Lienhypertexte"/>
            <w:noProof/>
          </w:rPr>
          <w:t>7.2.</w:t>
        </w:r>
        <w:r w:rsidR="00E53939">
          <w:rPr>
            <w:rFonts w:asciiTheme="minorHAnsi" w:eastAsiaTheme="minorEastAsia" w:hAnsiTheme="minorHAnsi" w:cstheme="minorBidi"/>
            <w:noProof/>
            <w:lang w:eastAsia="fr-FR"/>
          </w:rPr>
          <w:tab/>
        </w:r>
        <w:r w:rsidR="00E53939" w:rsidRPr="00F85BC7">
          <w:rPr>
            <w:rStyle w:val="Lienhypertexte"/>
            <w:noProof/>
          </w:rPr>
          <w:t>Echéancier de paiement</w:t>
        </w:r>
        <w:r w:rsidR="00E53939">
          <w:rPr>
            <w:noProof/>
            <w:webHidden/>
          </w:rPr>
          <w:tab/>
        </w:r>
        <w:r w:rsidR="00E53939">
          <w:rPr>
            <w:noProof/>
            <w:webHidden/>
          </w:rPr>
          <w:fldChar w:fldCharType="begin"/>
        </w:r>
        <w:r w:rsidR="00E53939">
          <w:rPr>
            <w:noProof/>
            <w:webHidden/>
          </w:rPr>
          <w:instrText xml:space="preserve"> PAGEREF _Toc195108962 \h </w:instrText>
        </w:r>
        <w:r w:rsidR="00E53939">
          <w:rPr>
            <w:noProof/>
            <w:webHidden/>
          </w:rPr>
        </w:r>
        <w:r w:rsidR="00E53939">
          <w:rPr>
            <w:noProof/>
            <w:webHidden/>
          </w:rPr>
          <w:fldChar w:fldCharType="separate"/>
        </w:r>
        <w:r w:rsidR="00E53939">
          <w:rPr>
            <w:noProof/>
            <w:webHidden/>
          </w:rPr>
          <w:t>5</w:t>
        </w:r>
        <w:r w:rsidR="00E53939">
          <w:rPr>
            <w:noProof/>
            <w:webHidden/>
          </w:rPr>
          <w:fldChar w:fldCharType="end"/>
        </w:r>
      </w:hyperlink>
    </w:p>
    <w:p w:rsidR="00E53939" w:rsidRDefault="00315C12">
      <w:pPr>
        <w:pStyle w:val="TM2"/>
        <w:tabs>
          <w:tab w:val="left" w:pos="660"/>
        </w:tabs>
        <w:rPr>
          <w:rFonts w:asciiTheme="minorHAnsi" w:eastAsiaTheme="minorEastAsia" w:hAnsiTheme="minorHAnsi" w:cstheme="minorBidi"/>
          <w:noProof/>
          <w:lang w:eastAsia="fr-FR"/>
        </w:rPr>
      </w:pPr>
      <w:hyperlink w:anchor="_Toc195108963" w:history="1">
        <w:r w:rsidR="00E53939" w:rsidRPr="00F85BC7">
          <w:rPr>
            <w:rStyle w:val="Lienhypertexte"/>
            <w:noProof/>
          </w:rPr>
          <w:t>7.3.</w:t>
        </w:r>
        <w:r w:rsidR="00E53939">
          <w:rPr>
            <w:rFonts w:asciiTheme="minorHAnsi" w:eastAsiaTheme="minorEastAsia" w:hAnsiTheme="minorHAnsi" w:cstheme="minorBidi"/>
            <w:noProof/>
            <w:lang w:eastAsia="fr-FR"/>
          </w:rPr>
          <w:tab/>
        </w:r>
        <w:r w:rsidR="00E53939" w:rsidRPr="00F85BC7">
          <w:rPr>
            <w:rStyle w:val="Lienhypertexte"/>
            <w:noProof/>
          </w:rPr>
          <w:t>Modalités de paiement</w:t>
        </w:r>
        <w:r w:rsidR="00E53939">
          <w:rPr>
            <w:noProof/>
            <w:webHidden/>
          </w:rPr>
          <w:tab/>
        </w:r>
        <w:r w:rsidR="00E53939">
          <w:rPr>
            <w:noProof/>
            <w:webHidden/>
          </w:rPr>
          <w:fldChar w:fldCharType="begin"/>
        </w:r>
        <w:r w:rsidR="00E53939">
          <w:rPr>
            <w:noProof/>
            <w:webHidden/>
          </w:rPr>
          <w:instrText xml:space="preserve"> PAGEREF _Toc195108963 \h </w:instrText>
        </w:r>
        <w:r w:rsidR="00E53939">
          <w:rPr>
            <w:noProof/>
            <w:webHidden/>
          </w:rPr>
        </w:r>
        <w:r w:rsidR="00E53939">
          <w:rPr>
            <w:noProof/>
            <w:webHidden/>
          </w:rPr>
          <w:fldChar w:fldCharType="separate"/>
        </w:r>
        <w:r w:rsidR="00E53939">
          <w:rPr>
            <w:noProof/>
            <w:webHidden/>
          </w:rPr>
          <w:t>5</w:t>
        </w:r>
        <w:r w:rsidR="00E53939">
          <w:rPr>
            <w:noProof/>
            <w:webHidden/>
          </w:rPr>
          <w:fldChar w:fldCharType="end"/>
        </w:r>
      </w:hyperlink>
    </w:p>
    <w:p w:rsidR="00E53939" w:rsidRDefault="00315C12">
      <w:pPr>
        <w:pStyle w:val="TM1"/>
        <w:tabs>
          <w:tab w:val="left" w:pos="480"/>
          <w:tab w:val="right" w:leader="dot" w:pos="9054"/>
        </w:tabs>
        <w:rPr>
          <w:rFonts w:asciiTheme="minorHAnsi" w:eastAsiaTheme="minorEastAsia" w:hAnsiTheme="minorHAnsi"/>
          <w:noProof/>
          <w:lang w:eastAsia="fr-FR"/>
        </w:rPr>
      </w:pPr>
      <w:hyperlink w:anchor="_Toc195108964" w:history="1">
        <w:r w:rsidR="00E53939" w:rsidRPr="00F85BC7">
          <w:rPr>
            <w:rStyle w:val="Lienhypertexte"/>
            <w:b/>
            <w:noProof/>
          </w:rPr>
          <w:t>8.</w:t>
        </w:r>
        <w:r w:rsidR="00E53939">
          <w:rPr>
            <w:rFonts w:asciiTheme="minorHAnsi" w:eastAsiaTheme="minorEastAsia" w:hAnsiTheme="minorHAnsi"/>
            <w:noProof/>
            <w:lang w:eastAsia="fr-FR"/>
          </w:rPr>
          <w:tab/>
        </w:r>
        <w:r w:rsidR="00E53939" w:rsidRPr="00F85BC7">
          <w:rPr>
            <w:rStyle w:val="Lienhypertexte"/>
            <w:noProof/>
          </w:rPr>
          <w:t>AVANCE</w:t>
        </w:r>
        <w:r w:rsidR="00E53939">
          <w:rPr>
            <w:noProof/>
            <w:webHidden/>
          </w:rPr>
          <w:tab/>
        </w:r>
        <w:r w:rsidR="00E53939">
          <w:rPr>
            <w:noProof/>
            <w:webHidden/>
          </w:rPr>
          <w:fldChar w:fldCharType="begin"/>
        </w:r>
        <w:r w:rsidR="00E53939">
          <w:rPr>
            <w:noProof/>
            <w:webHidden/>
          </w:rPr>
          <w:instrText xml:space="preserve"> PAGEREF _Toc195108964 \h </w:instrText>
        </w:r>
        <w:r w:rsidR="00E53939">
          <w:rPr>
            <w:noProof/>
            <w:webHidden/>
          </w:rPr>
        </w:r>
        <w:r w:rsidR="00E53939">
          <w:rPr>
            <w:noProof/>
            <w:webHidden/>
          </w:rPr>
          <w:fldChar w:fldCharType="separate"/>
        </w:r>
        <w:r w:rsidR="00E53939">
          <w:rPr>
            <w:noProof/>
            <w:webHidden/>
          </w:rPr>
          <w:t>6</w:t>
        </w:r>
        <w:r w:rsidR="00E53939">
          <w:rPr>
            <w:noProof/>
            <w:webHidden/>
          </w:rPr>
          <w:fldChar w:fldCharType="end"/>
        </w:r>
      </w:hyperlink>
    </w:p>
    <w:p w:rsidR="00E53939" w:rsidRDefault="00315C12">
      <w:pPr>
        <w:pStyle w:val="TM1"/>
        <w:tabs>
          <w:tab w:val="left" w:pos="480"/>
          <w:tab w:val="right" w:leader="dot" w:pos="9054"/>
        </w:tabs>
        <w:rPr>
          <w:rFonts w:asciiTheme="minorHAnsi" w:eastAsiaTheme="minorEastAsia" w:hAnsiTheme="minorHAnsi"/>
          <w:noProof/>
          <w:lang w:eastAsia="fr-FR"/>
        </w:rPr>
      </w:pPr>
      <w:hyperlink w:anchor="_Toc195108965" w:history="1">
        <w:r w:rsidR="00E53939" w:rsidRPr="00F85BC7">
          <w:rPr>
            <w:rStyle w:val="Lienhypertexte"/>
            <w:b/>
            <w:noProof/>
          </w:rPr>
          <w:t>9.</w:t>
        </w:r>
        <w:r w:rsidR="00E53939">
          <w:rPr>
            <w:rFonts w:asciiTheme="minorHAnsi" w:eastAsiaTheme="minorEastAsia" w:hAnsiTheme="minorHAnsi"/>
            <w:noProof/>
            <w:lang w:eastAsia="fr-FR"/>
          </w:rPr>
          <w:tab/>
        </w:r>
        <w:r w:rsidR="00E53939" w:rsidRPr="00F85BC7">
          <w:rPr>
            <w:rStyle w:val="Lienhypertexte"/>
            <w:noProof/>
          </w:rPr>
          <w:t>PENALITES DE RETARD</w:t>
        </w:r>
        <w:r w:rsidR="00E53939">
          <w:rPr>
            <w:noProof/>
            <w:webHidden/>
          </w:rPr>
          <w:tab/>
        </w:r>
        <w:r w:rsidR="00E53939">
          <w:rPr>
            <w:noProof/>
            <w:webHidden/>
          </w:rPr>
          <w:fldChar w:fldCharType="begin"/>
        </w:r>
        <w:r w:rsidR="00E53939">
          <w:rPr>
            <w:noProof/>
            <w:webHidden/>
          </w:rPr>
          <w:instrText xml:space="preserve"> PAGEREF _Toc195108965 \h </w:instrText>
        </w:r>
        <w:r w:rsidR="00E53939">
          <w:rPr>
            <w:noProof/>
            <w:webHidden/>
          </w:rPr>
        </w:r>
        <w:r w:rsidR="00E53939">
          <w:rPr>
            <w:noProof/>
            <w:webHidden/>
          </w:rPr>
          <w:fldChar w:fldCharType="separate"/>
        </w:r>
        <w:r w:rsidR="00E53939">
          <w:rPr>
            <w:noProof/>
            <w:webHidden/>
          </w:rPr>
          <w:t>6</w:t>
        </w:r>
        <w:r w:rsidR="00E53939">
          <w:rPr>
            <w:noProof/>
            <w:webHidden/>
          </w:rPr>
          <w:fldChar w:fldCharType="end"/>
        </w:r>
      </w:hyperlink>
    </w:p>
    <w:p w:rsidR="00E53939" w:rsidRDefault="00315C12">
      <w:pPr>
        <w:pStyle w:val="TM1"/>
        <w:tabs>
          <w:tab w:val="left" w:pos="660"/>
          <w:tab w:val="right" w:leader="dot" w:pos="9054"/>
        </w:tabs>
        <w:rPr>
          <w:rFonts w:asciiTheme="minorHAnsi" w:eastAsiaTheme="minorEastAsia" w:hAnsiTheme="minorHAnsi"/>
          <w:noProof/>
          <w:lang w:eastAsia="fr-FR"/>
        </w:rPr>
      </w:pPr>
      <w:hyperlink w:anchor="_Toc195108966" w:history="1">
        <w:r w:rsidR="00E53939" w:rsidRPr="00F85BC7">
          <w:rPr>
            <w:rStyle w:val="Lienhypertexte"/>
            <w:b/>
            <w:noProof/>
          </w:rPr>
          <w:t>10.</w:t>
        </w:r>
        <w:r w:rsidR="00E53939">
          <w:rPr>
            <w:rFonts w:asciiTheme="minorHAnsi" w:eastAsiaTheme="minorEastAsia" w:hAnsiTheme="minorHAnsi"/>
            <w:noProof/>
            <w:lang w:eastAsia="fr-FR"/>
          </w:rPr>
          <w:tab/>
        </w:r>
        <w:r w:rsidR="00E53939" w:rsidRPr="00F85BC7">
          <w:rPr>
            <w:rStyle w:val="Lienhypertexte"/>
            <w:noProof/>
          </w:rPr>
          <w:t>CLAUSES ENVIRONNEMENTALE ET D’INSERTION       SOCIALE</w:t>
        </w:r>
        <w:r w:rsidR="00E53939">
          <w:rPr>
            <w:noProof/>
            <w:webHidden/>
          </w:rPr>
          <w:tab/>
        </w:r>
        <w:r w:rsidR="00E53939">
          <w:rPr>
            <w:noProof/>
            <w:webHidden/>
          </w:rPr>
          <w:fldChar w:fldCharType="begin"/>
        </w:r>
        <w:r w:rsidR="00E53939">
          <w:rPr>
            <w:noProof/>
            <w:webHidden/>
          </w:rPr>
          <w:instrText xml:space="preserve"> PAGEREF _Toc195108966 \h </w:instrText>
        </w:r>
        <w:r w:rsidR="00E53939">
          <w:rPr>
            <w:noProof/>
            <w:webHidden/>
          </w:rPr>
        </w:r>
        <w:r w:rsidR="00E53939">
          <w:rPr>
            <w:noProof/>
            <w:webHidden/>
          </w:rPr>
          <w:fldChar w:fldCharType="separate"/>
        </w:r>
        <w:r w:rsidR="00E53939">
          <w:rPr>
            <w:noProof/>
            <w:webHidden/>
          </w:rPr>
          <w:t>6</w:t>
        </w:r>
        <w:r w:rsidR="00E53939">
          <w:rPr>
            <w:noProof/>
            <w:webHidden/>
          </w:rPr>
          <w:fldChar w:fldCharType="end"/>
        </w:r>
      </w:hyperlink>
    </w:p>
    <w:p w:rsidR="00E53939" w:rsidRDefault="00315C12">
      <w:pPr>
        <w:pStyle w:val="TM1"/>
        <w:tabs>
          <w:tab w:val="left" w:pos="660"/>
          <w:tab w:val="right" w:leader="dot" w:pos="9054"/>
        </w:tabs>
        <w:rPr>
          <w:rFonts w:asciiTheme="minorHAnsi" w:eastAsiaTheme="minorEastAsia" w:hAnsiTheme="minorHAnsi"/>
          <w:noProof/>
          <w:lang w:eastAsia="fr-FR"/>
        </w:rPr>
      </w:pPr>
      <w:hyperlink w:anchor="_Toc195108967" w:history="1">
        <w:r w:rsidR="00E53939" w:rsidRPr="00F85BC7">
          <w:rPr>
            <w:rStyle w:val="Lienhypertexte"/>
            <w:b/>
            <w:noProof/>
          </w:rPr>
          <w:t>11.</w:t>
        </w:r>
        <w:r w:rsidR="00E53939">
          <w:rPr>
            <w:rFonts w:asciiTheme="minorHAnsi" w:eastAsiaTheme="minorEastAsia" w:hAnsiTheme="minorHAnsi"/>
            <w:noProof/>
            <w:lang w:eastAsia="fr-FR"/>
          </w:rPr>
          <w:tab/>
        </w:r>
        <w:r w:rsidR="00E53939" w:rsidRPr="00F85BC7">
          <w:rPr>
            <w:rStyle w:val="Lienhypertexte"/>
            <w:noProof/>
          </w:rPr>
          <w:t>PROTECTION DES DONNES A CARACTERE PERSONNEL</w:t>
        </w:r>
        <w:r w:rsidR="00E53939">
          <w:rPr>
            <w:noProof/>
            <w:webHidden/>
          </w:rPr>
          <w:tab/>
        </w:r>
        <w:r w:rsidR="00E53939">
          <w:rPr>
            <w:noProof/>
            <w:webHidden/>
          </w:rPr>
          <w:fldChar w:fldCharType="begin"/>
        </w:r>
        <w:r w:rsidR="00E53939">
          <w:rPr>
            <w:noProof/>
            <w:webHidden/>
          </w:rPr>
          <w:instrText xml:space="preserve"> PAGEREF _Toc195108967 \h </w:instrText>
        </w:r>
        <w:r w:rsidR="00E53939">
          <w:rPr>
            <w:noProof/>
            <w:webHidden/>
          </w:rPr>
        </w:r>
        <w:r w:rsidR="00E53939">
          <w:rPr>
            <w:noProof/>
            <w:webHidden/>
          </w:rPr>
          <w:fldChar w:fldCharType="separate"/>
        </w:r>
        <w:r w:rsidR="00E53939">
          <w:rPr>
            <w:noProof/>
            <w:webHidden/>
          </w:rPr>
          <w:t>6</w:t>
        </w:r>
        <w:r w:rsidR="00E53939">
          <w:rPr>
            <w:noProof/>
            <w:webHidden/>
          </w:rPr>
          <w:fldChar w:fldCharType="end"/>
        </w:r>
      </w:hyperlink>
    </w:p>
    <w:p w:rsidR="00E53939" w:rsidRDefault="00315C12">
      <w:pPr>
        <w:pStyle w:val="TM2"/>
        <w:tabs>
          <w:tab w:val="left" w:pos="660"/>
        </w:tabs>
        <w:rPr>
          <w:rFonts w:asciiTheme="minorHAnsi" w:eastAsiaTheme="minorEastAsia" w:hAnsiTheme="minorHAnsi" w:cstheme="minorBidi"/>
          <w:noProof/>
          <w:lang w:eastAsia="fr-FR"/>
        </w:rPr>
      </w:pPr>
      <w:hyperlink w:anchor="_Toc195108968" w:history="1">
        <w:r w:rsidR="00E53939" w:rsidRPr="00F85BC7">
          <w:rPr>
            <w:rStyle w:val="Lienhypertexte"/>
            <w:rFonts w:ascii="Arial Narrow" w:eastAsia="Times New Roman" w:hAnsi="Arial Narrow" w:cs="Times New Roman"/>
            <w:bCs/>
            <w:iCs/>
            <w:noProof/>
            <w:lang w:val="x-none" w:eastAsia="x-none"/>
          </w:rPr>
          <w:t>11.1.</w:t>
        </w:r>
        <w:r w:rsidR="00E53939">
          <w:rPr>
            <w:rFonts w:asciiTheme="minorHAnsi" w:eastAsiaTheme="minorEastAsia" w:hAnsiTheme="minorHAnsi" w:cstheme="minorBidi"/>
            <w:noProof/>
            <w:lang w:eastAsia="fr-FR"/>
          </w:rPr>
          <w:tab/>
        </w:r>
        <w:r w:rsidR="00E53939" w:rsidRPr="00F85BC7">
          <w:rPr>
            <w:rStyle w:val="Lienhypertexte"/>
            <w:rFonts w:ascii="Arial Narrow" w:eastAsia="Times New Roman" w:hAnsi="Arial Narrow" w:cs="Times New Roman"/>
            <w:bCs/>
            <w:iCs/>
            <w:noProof/>
            <w:lang w:val="x-none" w:eastAsia="x-none"/>
          </w:rPr>
          <w:t>EXIGENCES REGLEMENTAIRES DE CONFIDENTIALITE ET SECURISATION DES DONNEES APPLICABLES AU TITULAIRE ET SES SOUS-TRAITANTS</w:t>
        </w:r>
        <w:r w:rsidR="00E53939">
          <w:rPr>
            <w:noProof/>
            <w:webHidden/>
          </w:rPr>
          <w:tab/>
        </w:r>
        <w:r w:rsidR="00E53939">
          <w:rPr>
            <w:noProof/>
            <w:webHidden/>
          </w:rPr>
          <w:fldChar w:fldCharType="begin"/>
        </w:r>
        <w:r w:rsidR="00E53939">
          <w:rPr>
            <w:noProof/>
            <w:webHidden/>
          </w:rPr>
          <w:instrText xml:space="preserve"> PAGEREF _Toc195108968 \h </w:instrText>
        </w:r>
        <w:r w:rsidR="00E53939">
          <w:rPr>
            <w:noProof/>
            <w:webHidden/>
          </w:rPr>
        </w:r>
        <w:r w:rsidR="00E53939">
          <w:rPr>
            <w:noProof/>
            <w:webHidden/>
          </w:rPr>
          <w:fldChar w:fldCharType="separate"/>
        </w:r>
        <w:r w:rsidR="00E53939">
          <w:rPr>
            <w:noProof/>
            <w:webHidden/>
          </w:rPr>
          <w:t>6</w:t>
        </w:r>
        <w:r w:rsidR="00E53939">
          <w:rPr>
            <w:noProof/>
            <w:webHidden/>
          </w:rPr>
          <w:fldChar w:fldCharType="end"/>
        </w:r>
      </w:hyperlink>
    </w:p>
    <w:p w:rsidR="00E53939" w:rsidRDefault="00315C12">
      <w:pPr>
        <w:pStyle w:val="TM3"/>
        <w:tabs>
          <w:tab w:val="left" w:pos="1320"/>
          <w:tab w:val="right" w:leader="dot" w:pos="9054"/>
        </w:tabs>
        <w:rPr>
          <w:rFonts w:asciiTheme="minorHAnsi" w:eastAsiaTheme="minorEastAsia" w:hAnsiTheme="minorHAnsi"/>
          <w:noProof/>
          <w:lang w:eastAsia="fr-FR"/>
        </w:rPr>
      </w:pPr>
      <w:hyperlink w:anchor="_Toc195108969" w:history="1">
        <w:r w:rsidR="00E53939" w:rsidRPr="00F85BC7">
          <w:rPr>
            <w:rStyle w:val="Lienhypertexte"/>
            <w:rFonts w:ascii="Arial Narrow" w:eastAsia="Calibri" w:hAnsi="Arial Narrow" w:cs="Times-Roman"/>
            <w:noProof/>
          </w:rPr>
          <w:t>11.1.1.</w:t>
        </w:r>
        <w:r w:rsidR="00E53939">
          <w:rPr>
            <w:rFonts w:asciiTheme="minorHAnsi" w:eastAsiaTheme="minorEastAsia" w:hAnsiTheme="minorHAnsi"/>
            <w:noProof/>
            <w:lang w:eastAsia="fr-FR"/>
          </w:rPr>
          <w:tab/>
        </w:r>
        <w:r w:rsidR="00E53939" w:rsidRPr="00F85BC7">
          <w:rPr>
            <w:rStyle w:val="Lienhypertexte"/>
            <w:rFonts w:ascii="Arial Narrow" w:eastAsia="Calibri" w:hAnsi="Arial Narrow" w:cs="Times-Roman"/>
            <w:noProof/>
          </w:rPr>
          <w:t>Conformité au RGI</w:t>
        </w:r>
        <w:r w:rsidR="00E53939">
          <w:rPr>
            <w:noProof/>
            <w:webHidden/>
          </w:rPr>
          <w:tab/>
        </w:r>
        <w:r w:rsidR="00E53939">
          <w:rPr>
            <w:noProof/>
            <w:webHidden/>
          </w:rPr>
          <w:fldChar w:fldCharType="begin"/>
        </w:r>
        <w:r w:rsidR="00E53939">
          <w:rPr>
            <w:noProof/>
            <w:webHidden/>
          </w:rPr>
          <w:instrText xml:space="preserve"> PAGEREF _Toc195108969 \h </w:instrText>
        </w:r>
        <w:r w:rsidR="00E53939">
          <w:rPr>
            <w:noProof/>
            <w:webHidden/>
          </w:rPr>
        </w:r>
        <w:r w:rsidR="00E53939">
          <w:rPr>
            <w:noProof/>
            <w:webHidden/>
          </w:rPr>
          <w:fldChar w:fldCharType="separate"/>
        </w:r>
        <w:r w:rsidR="00E53939">
          <w:rPr>
            <w:noProof/>
            <w:webHidden/>
          </w:rPr>
          <w:t>6</w:t>
        </w:r>
        <w:r w:rsidR="00E53939">
          <w:rPr>
            <w:noProof/>
            <w:webHidden/>
          </w:rPr>
          <w:fldChar w:fldCharType="end"/>
        </w:r>
      </w:hyperlink>
    </w:p>
    <w:p w:rsidR="00E53939" w:rsidRDefault="00315C12">
      <w:pPr>
        <w:pStyle w:val="TM3"/>
        <w:tabs>
          <w:tab w:val="left" w:pos="1320"/>
          <w:tab w:val="right" w:leader="dot" w:pos="9054"/>
        </w:tabs>
        <w:rPr>
          <w:rFonts w:asciiTheme="minorHAnsi" w:eastAsiaTheme="minorEastAsia" w:hAnsiTheme="minorHAnsi"/>
          <w:noProof/>
          <w:lang w:eastAsia="fr-FR"/>
        </w:rPr>
      </w:pPr>
      <w:hyperlink w:anchor="_Toc195108970" w:history="1">
        <w:r w:rsidR="00E53939" w:rsidRPr="00F85BC7">
          <w:rPr>
            <w:rStyle w:val="Lienhypertexte"/>
            <w:rFonts w:ascii="Arial Narrow" w:eastAsia="Calibri" w:hAnsi="Arial Narrow" w:cs="Times-Roman"/>
            <w:noProof/>
          </w:rPr>
          <w:t>11.1.2.</w:t>
        </w:r>
        <w:r w:rsidR="00E53939">
          <w:rPr>
            <w:rFonts w:asciiTheme="minorHAnsi" w:eastAsiaTheme="minorEastAsia" w:hAnsiTheme="minorHAnsi"/>
            <w:noProof/>
            <w:lang w:eastAsia="fr-FR"/>
          </w:rPr>
          <w:tab/>
        </w:r>
        <w:r w:rsidR="00E53939" w:rsidRPr="00F85BC7">
          <w:rPr>
            <w:rStyle w:val="Lienhypertexte"/>
            <w:rFonts w:ascii="Arial Narrow" w:eastAsia="Calibri" w:hAnsi="Arial Narrow" w:cs="Times-Roman"/>
            <w:noProof/>
          </w:rPr>
          <w:t>Conformité au RGAA</w:t>
        </w:r>
        <w:r w:rsidR="00E53939">
          <w:rPr>
            <w:noProof/>
            <w:webHidden/>
          </w:rPr>
          <w:tab/>
        </w:r>
        <w:r w:rsidR="00E53939">
          <w:rPr>
            <w:noProof/>
            <w:webHidden/>
          </w:rPr>
          <w:fldChar w:fldCharType="begin"/>
        </w:r>
        <w:r w:rsidR="00E53939">
          <w:rPr>
            <w:noProof/>
            <w:webHidden/>
          </w:rPr>
          <w:instrText xml:space="preserve"> PAGEREF _Toc195108970 \h </w:instrText>
        </w:r>
        <w:r w:rsidR="00E53939">
          <w:rPr>
            <w:noProof/>
            <w:webHidden/>
          </w:rPr>
        </w:r>
        <w:r w:rsidR="00E53939">
          <w:rPr>
            <w:noProof/>
            <w:webHidden/>
          </w:rPr>
          <w:fldChar w:fldCharType="separate"/>
        </w:r>
        <w:r w:rsidR="00E53939">
          <w:rPr>
            <w:noProof/>
            <w:webHidden/>
          </w:rPr>
          <w:t>6</w:t>
        </w:r>
        <w:r w:rsidR="00E53939">
          <w:rPr>
            <w:noProof/>
            <w:webHidden/>
          </w:rPr>
          <w:fldChar w:fldCharType="end"/>
        </w:r>
      </w:hyperlink>
    </w:p>
    <w:p w:rsidR="00E53939" w:rsidRDefault="00315C12">
      <w:pPr>
        <w:pStyle w:val="TM3"/>
        <w:tabs>
          <w:tab w:val="left" w:pos="1320"/>
          <w:tab w:val="right" w:leader="dot" w:pos="9054"/>
        </w:tabs>
        <w:rPr>
          <w:rFonts w:asciiTheme="minorHAnsi" w:eastAsiaTheme="minorEastAsia" w:hAnsiTheme="minorHAnsi"/>
          <w:noProof/>
          <w:lang w:eastAsia="fr-FR"/>
        </w:rPr>
      </w:pPr>
      <w:hyperlink w:anchor="_Toc195108971" w:history="1">
        <w:r w:rsidR="00E53939" w:rsidRPr="00F85BC7">
          <w:rPr>
            <w:rStyle w:val="Lienhypertexte"/>
            <w:rFonts w:ascii="Arial Narrow" w:eastAsia="Calibri" w:hAnsi="Arial Narrow" w:cs="Times-Roman"/>
            <w:noProof/>
          </w:rPr>
          <w:t>11.1.3.</w:t>
        </w:r>
        <w:r w:rsidR="00E53939">
          <w:rPr>
            <w:rFonts w:asciiTheme="minorHAnsi" w:eastAsiaTheme="minorEastAsia" w:hAnsiTheme="minorHAnsi"/>
            <w:noProof/>
            <w:lang w:eastAsia="fr-FR"/>
          </w:rPr>
          <w:tab/>
        </w:r>
        <w:r w:rsidR="00E53939" w:rsidRPr="00F85BC7">
          <w:rPr>
            <w:rStyle w:val="Lienhypertexte"/>
            <w:rFonts w:ascii="Arial Narrow" w:eastAsia="Calibri" w:hAnsi="Arial Narrow" w:cs="Times-Roman"/>
            <w:noProof/>
          </w:rPr>
          <w:t>Conformité au RGS</w:t>
        </w:r>
        <w:r w:rsidR="00E53939">
          <w:rPr>
            <w:noProof/>
            <w:webHidden/>
          </w:rPr>
          <w:tab/>
        </w:r>
        <w:r w:rsidR="00E53939">
          <w:rPr>
            <w:noProof/>
            <w:webHidden/>
          </w:rPr>
          <w:fldChar w:fldCharType="begin"/>
        </w:r>
        <w:r w:rsidR="00E53939">
          <w:rPr>
            <w:noProof/>
            <w:webHidden/>
          </w:rPr>
          <w:instrText xml:space="preserve"> PAGEREF _Toc195108971 \h </w:instrText>
        </w:r>
        <w:r w:rsidR="00E53939">
          <w:rPr>
            <w:noProof/>
            <w:webHidden/>
          </w:rPr>
        </w:r>
        <w:r w:rsidR="00E53939">
          <w:rPr>
            <w:noProof/>
            <w:webHidden/>
          </w:rPr>
          <w:fldChar w:fldCharType="separate"/>
        </w:r>
        <w:r w:rsidR="00E53939">
          <w:rPr>
            <w:noProof/>
            <w:webHidden/>
          </w:rPr>
          <w:t>7</w:t>
        </w:r>
        <w:r w:rsidR="00E53939">
          <w:rPr>
            <w:noProof/>
            <w:webHidden/>
          </w:rPr>
          <w:fldChar w:fldCharType="end"/>
        </w:r>
      </w:hyperlink>
    </w:p>
    <w:p w:rsidR="00E53939" w:rsidRDefault="00315C12">
      <w:pPr>
        <w:pStyle w:val="TM3"/>
        <w:tabs>
          <w:tab w:val="left" w:pos="1320"/>
          <w:tab w:val="right" w:leader="dot" w:pos="9054"/>
        </w:tabs>
        <w:rPr>
          <w:rFonts w:asciiTheme="minorHAnsi" w:eastAsiaTheme="minorEastAsia" w:hAnsiTheme="minorHAnsi"/>
          <w:noProof/>
          <w:lang w:eastAsia="fr-FR"/>
        </w:rPr>
      </w:pPr>
      <w:hyperlink w:anchor="_Toc195108972" w:history="1">
        <w:r w:rsidR="00E53939" w:rsidRPr="00F85BC7">
          <w:rPr>
            <w:rStyle w:val="Lienhypertexte"/>
            <w:rFonts w:ascii="Arial Narrow" w:eastAsia="Calibri" w:hAnsi="Arial Narrow" w:cs="Times-Roman"/>
            <w:noProof/>
          </w:rPr>
          <w:t>11.1.4.</w:t>
        </w:r>
        <w:r w:rsidR="00E53939">
          <w:rPr>
            <w:rFonts w:asciiTheme="minorHAnsi" w:eastAsiaTheme="minorEastAsia" w:hAnsiTheme="minorHAnsi"/>
            <w:noProof/>
            <w:lang w:eastAsia="fr-FR"/>
          </w:rPr>
          <w:tab/>
        </w:r>
        <w:r w:rsidR="00E53939" w:rsidRPr="00F85BC7">
          <w:rPr>
            <w:rStyle w:val="Lienhypertexte"/>
            <w:rFonts w:ascii="Arial Narrow" w:eastAsia="Calibri" w:hAnsi="Arial Narrow" w:cs="Times-Roman"/>
            <w:noProof/>
          </w:rPr>
          <w:t>Conformité à la PSSIE</w:t>
        </w:r>
        <w:r w:rsidR="00E53939">
          <w:rPr>
            <w:noProof/>
            <w:webHidden/>
          </w:rPr>
          <w:tab/>
        </w:r>
        <w:r w:rsidR="00E53939">
          <w:rPr>
            <w:noProof/>
            <w:webHidden/>
          </w:rPr>
          <w:fldChar w:fldCharType="begin"/>
        </w:r>
        <w:r w:rsidR="00E53939">
          <w:rPr>
            <w:noProof/>
            <w:webHidden/>
          </w:rPr>
          <w:instrText xml:space="preserve"> PAGEREF _Toc195108972 \h </w:instrText>
        </w:r>
        <w:r w:rsidR="00E53939">
          <w:rPr>
            <w:noProof/>
            <w:webHidden/>
          </w:rPr>
        </w:r>
        <w:r w:rsidR="00E53939">
          <w:rPr>
            <w:noProof/>
            <w:webHidden/>
          </w:rPr>
          <w:fldChar w:fldCharType="separate"/>
        </w:r>
        <w:r w:rsidR="00E53939">
          <w:rPr>
            <w:noProof/>
            <w:webHidden/>
          </w:rPr>
          <w:t>7</w:t>
        </w:r>
        <w:r w:rsidR="00E53939">
          <w:rPr>
            <w:noProof/>
            <w:webHidden/>
          </w:rPr>
          <w:fldChar w:fldCharType="end"/>
        </w:r>
      </w:hyperlink>
    </w:p>
    <w:p w:rsidR="00E53939" w:rsidRDefault="00315C12">
      <w:pPr>
        <w:pStyle w:val="TM3"/>
        <w:tabs>
          <w:tab w:val="left" w:pos="1320"/>
          <w:tab w:val="right" w:leader="dot" w:pos="9054"/>
        </w:tabs>
        <w:rPr>
          <w:rFonts w:asciiTheme="minorHAnsi" w:eastAsiaTheme="minorEastAsia" w:hAnsiTheme="minorHAnsi"/>
          <w:noProof/>
          <w:lang w:eastAsia="fr-FR"/>
        </w:rPr>
      </w:pPr>
      <w:hyperlink w:anchor="_Toc195108973" w:history="1">
        <w:r w:rsidR="00E53939" w:rsidRPr="00F85BC7">
          <w:rPr>
            <w:rStyle w:val="Lienhypertexte"/>
            <w:rFonts w:ascii="Arial Narrow" w:eastAsia="Calibri" w:hAnsi="Arial Narrow" w:cs="Times-Roman"/>
            <w:noProof/>
          </w:rPr>
          <w:t>11.1.5.</w:t>
        </w:r>
        <w:r w:rsidR="00E53939">
          <w:rPr>
            <w:rFonts w:asciiTheme="minorHAnsi" w:eastAsiaTheme="minorEastAsia" w:hAnsiTheme="minorHAnsi"/>
            <w:noProof/>
            <w:lang w:eastAsia="fr-FR"/>
          </w:rPr>
          <w:tab/>
        </w:r>
        <w:r w:rsidR="00E53939" w:rsidRPr="00F85BC7">
          <w:rPr>
            <w:rStyle w:val="Lienhypertexte"/>
            <w:rFonts w:ascii="Arial Narrow" w:eastAsia="Calibri" w:hAnsi="Arial Narrow" w:cs="Times-Roman"/>
            <w:noProof/>
          </w:rPr>
          <w:t>Conformité au règlement européen 2016/679 - RGPD</w:t>
        </w:r>
        <w:r w:rsidR="00E53939">
          <w:rPr>
            <w:noProof/>
            <w:webHidden/>
          </w:rPr>
          <w:tab/>
        </w:r>
        <w:r w:rsidR="00E53939">
          <w:rPr>
            <w:noProof/>
            <w:webHidden/>
          </w:rPr>
          <w:fldChar w:fldCharType="begin"/>
        </w:r>
        <w:r w:rsidR="00E53939">
          <w:rPr>
            <w:noProof/>
            <w:webHidden/>
          </w:rPr>
          <w:instrText xml:space="preserve"> PAGEREF _Toc195108973 \h </w:instrText>
        </w:r>
        <w:r w:rsidR="00E53939">
          <w:rPr>
            <w:noProof/>
            <w:webHidden/>
          </w:rPr>
        </w:r>
        <w:r w:rsidR="00E53939">
          <w:rPr>
            <w:noProof/>
            <w:webHidden/>
          </w:rPr>
          <w:fldChar w:fldCharType="separate"/>
        </w:r>
        <w:r w:rsidR="00E53939">
          <w:rPr>
            <w:noProof/>
            <w:webHidden/>
          </w:rPr>
          <w:t>7</w:t>
        </w:r>
        <w:r w:rsidR="00E53939">
          <w:rPr>
            <w:noProof/>
            <w:webHidden/>
          </w:rPr>
          <w:fldChar w:fldCharType="end"/>
        </w:r>
      </w:hyperlink>
    </w:p>
    <w:p w:rsidR="00E53939" w:rsidRDefault="00315C12">
      <w:pPr>
        <w:pStyle w:val="TM2"/>
        <w:tabs>
          <w:tab w:val="left" w:pos="660"/>
        </w:tabs>
        <w:rPr>
          <w:rFonts w:asciiTheme="minorHAnsi" w:eastAsiaTheme="minorEastAsia" w:hAnsiTheme="minorHAnsi" w:cstheme="minorBidi"/>
          <w:noProof/>
          <w:lang w:eastAsia="fr-FR"/>
        </w:rPr>
      </w:pPr>
      <w:hyperlink w:anchor="_Toc195108974" w:history="1">
        <w:r w:rsidR="00E53939" w:rsidRPr="00F85BC7">
          <w:rPr>
            <w:rStyle w:val="Lienhypertexte"/>
            <w:rFonts w:ascii="Arial Narrow" w:eastAsia="Times New Roman" w:hAnsi="Arial Narrow" w:cs="Times New Roman"/>
            <w:bCs/>
            <w:iCs/>
            <w:noProof/>
            <w:lang w:val="x-none" w:eastAsia="x-none"/>
          </w:rPr>
          <w:t>11.2.</w:t>
        </w:r>
        <w:r w:rsidR="00E53939">
          <w:rPr>
            <w:rFonts w:asciiTheme="minorHAnsi" w:eastAsiaTheme="minorEastAsia" w:hAnsiTheme="minorHAnsi" w:cstheme="minorBidi"/>
            <w:noProof/>
            <w:lang w:eastAsia="fr-FR"/>
          </w:rPr>
          <w:tab/>
        </w:r>
        <w:r w:rsidR="00E53939" w:rsidRPr="00F85BC7">
          <w:rPr>
            <w:rStyle w:val="Lienhypertexte"/>
            <w:rFonts w:ascii="Arial Narrow" w:eastAsia="Times New Roman" w:hAnsi="Arial Narrow" w:cs="Times New Roman"/>
            <w:bCs/>
            <w:iCs/>
            <w:noProof/>
            <w:lang w:val="x-none" w:eastAsia="x-none"/>
          </w:rPr>
          <w:t>ENGAGEMENT DU TITULAIRE</w:t>
        </w:r>
        <w:r w:rsidR="00E53939">
          <w:rPr>
            <w:noProof/>
            <w:webHidden/>
          </w:rPr>
          <w:tab/>
        </w:r>
        <w:r w:rsidR="00E53939">
          <w:rPr>
            <w:noProof/>
            <w:webHidden/>
          </w:rPr>
          <w:fldChar w:fldCharType="begin"/>
        </w:r>
        <w:r w:rsidR="00E53939">
          <w:rPr>
            <w:noProof/>
            <w:webHidden/>
          </w:rPr>
          <w:instrText xml:space="preserve"> PAGEREF _Toc195108974 \h </w:instrText>
        </w:r>
        <w:r w:rsidR="00E53939">
          <w:rPr>
            <w:noProof/>
            <w:webHidden/>
          </w:rPr>
        </w:r>
        <w:r w:rsidR="00E53939">
          <w:rPr>
            <w:noProof/>
            <w:webHidden/>
          </w:rPr>
          <w:fldChar w:fldCharType="separate"/>
        </w:r>
        <w:r w:rsidR="00E53939">
          <w:rPr>
            <w:noProof/>
            <w:webHidden/>
          </w:rPr>
          <w:t>8</w:t>
        </w:r>
        <w:r w:rsidR="00E53939">
          <w:rPr>
            <w:noProof/>
            <w:webHidden/>
          </w:rPr>
          <w:fldChar w:fldCharType="end"/>
        </w:r>
      </w:hyperlink>
    </w:p>
    <w:p w:rsidR="00E53939" w:rsidRDefault="00315C12">
      <w:pPr>
        <w:pStyle w:val="TM3"/>
        <w:tabs>
          <w:tab w:val="left" w:pos="1320"/>
          <w:tab w:val="right" w:leader="dot" w:pos="9054"/>
        </w:tabs>
        <w:rPr>
          <w:rFonts w:asciiTheme="minorHAnsi" w:eastAsiaTheme="minorEastAsia" w:hAnsiTheme="minorHAnsi"/>
          <w:noProof/>
          <w:lang w:eastAsia="fr-FR"/>
        </w:rPr>
      </w:pPr>
      <w:hyperlink w:anchor="_Toc195108975" w:history="1">
        <w:r w:rsidR="00E53939" w:rsidRPr="00F85BC7">
          <w:rPr>
            <w:rStyle w:val="Lienhypertexte"/>
            <w:rFonts w:ascii="Arial Narrow" w:eastAsia="Calibri" w:hAnsi="Arial Narrow" w:cs="Times-Roman"/>
            <w:noProof/>
          </w:rPr>
          <w:t>11.2.1.</w:t>
        </w:r>
        <w:r w:rsidR="00E53939">
          <w:rPr>
            <w:rFonts w:asciiTheme="minorHAnsi" w:eastAsiaTheme="minorEastAsia" w:hAnsiTheme="minorHAnsi"/>
            <w:noProof/>
            <w:lang w:eastAsia="fr-FR"/>
          </w:rPr>
          <w:tab/>
        </w:r>
        <w:r w:rsidR="00E53939" w:rsidRPr="00F85BC7">
          <w:rPr>
            <w:rStyle w:val="Lienhypertexte"/>
            <w:rFonts w:ascii="Arial Narrow" w:eastAsia="Calibri" w:hAnsi="Arial Narrow" w:cs="Times-Roman"/>
            <w:noProof/>
          </w:rPr>
          <w:t>Obligation de sécurisation des données</w:t>
        </w:r>
        <w:r w:rsidR="00E53939">
          <w:rPr>
            <w:noProof/>
            <w:webHidden/>
          </w:rPr>
          <w:tab/>
        </w:r>
        <w:r w:rsidR="00E53939">
          <w:rPr>
            <w:noProof/>
            <w:webHidden/>
          </w:rPr>
          <w:fldChar w:fldCharType="begin"/>
        </w:r>
        <w:r w:rsidR="00E53939">
          <w:rPr>
            <w:noProof/>
            <w:webHidden/>
          </w:rPr>
          <w:instrText xml:space="preserve"> PAGEREF _Toc195108975 \h </w:instrText>
        </w:r>
        <w:r w:rsidR="00E53939">
          <w:rPr>
            <w:noProof/>
            <w:webHidden/>
          </w:rPr>
        </w:r>
        <w:r w:rsidR="00E53939">
          <w:rPr>
            <w:noProof/>
            <w:webHidden/>
          </w:rPr>
          <w:fldChar w:fldCharType="separate"/>
        </w:r>
        <w:r w:rsidR="00E53939">
          <w:rPr>
            <w:noProof/>
            <w:webHidden/>
          </w:rPr>
          <w:t>8</w:t>
        </w:r>
        <w:r w:rsidR="00E53939">
          <w:rPr>
            <w:noProof/>
            <w:webHidden/>
          </w:rPr>
          <w:fldChar w:fldCharType="end"/>
        </w:r>
      </w:hyperlink>
    </w:p>
    <w:p w:rsidR="00E53939" w:rsidRDefault="00315C12">
      <w:pPr>
        <w:pStyle w:val="TM3"/>
        <w:tabs>
          <w:tab w:val="left" w:pos="1320"/>
          <w:tab w:val="right" w:leader="dot" w:pos="9054"/>
        </w:tabs>
        <w:rPr>
          <w:rFonts w:asciiTheme="minorHAnsi" w:eastAsiaTheme="minorEastAsia" w:hAnsiTheme="minorHAnsi"/>
          <w:noProof/>
          <w:lang w:eastAsia="fr-FR"/>
        </w:rPr>
      </w:pPr>
      <w:hyperlink w:anchor="_Toc195108976" w:history="1">
        <w:r w:rsidR="00E53939" w:rsidRPr="00F85BC7">
          <w:rPr>
            <w:rStyle w:val="Lienhypertexte"/>
            <w:rFonts w:ascii="Arial Narrow" w:eastAsia="Calibri" w:hAnsi="Arial Narrow" w:cs="Times-Roman"/>
            <w:noProof/>
          </w:rPr>
          <w:t>11.2.2.</w:t>
        </w:r>
        <w:r w:rsidR="00E53939">
          <w:rPr>
            <w:rFonts w:asciiTheme="minorHAnsi" w:eastAsiaTheme="minorEastAsia" w:hAnsiTheme="minorHAnsi"/>
            <w:noProof/>
            <w:lang w:eastAsia="fr-FR"/>
          </w:rPr>
          <w:tab/>
        </w:r>
        <w:r w:rsidR="00E53939" w:rsidRPr="00F85BC7">
          <w:rPr>
            <w:rStyle w:val="Lienhypertexte"/>
            <w:rFonts w:ascii="Arial Narrow" w:eastAsia="Calibri" w:hAnsi="Arial Narrow" w:cs="Times-Roman"/>
            <w:noProof/>
          </w:rPr>
          <w:t>Sécurisation des prestations et du Système d’Information</w:t>
        </w:r>
        <w:r w:rsidR="00E53939">
          <w:rPr>
            <w:noProof/>
            <w:webHidden/>
          </w:rPr>
          <w:tab/>
        </w:r>
        <w:r w:rsidR="00E53939">
          <w:rPr>
            <w:noProof/>
            <w:webHidden/>
          </w:rPr>
          <w:fldChar w:fldCharType="begin"/>
        </w:r>
        <w:r w:rsidR="00E53939">
          <w:rPr>
            <w:noProof/>
            <w:webHidden/>
          </w:rPr>
          <w:instrText xml:space="preserve"> PAGEREF _Toc195108976 \h </w:instrText>
        </w:r>
        <w:r w:rsidR="00E53939">
          <w:rPr>
            <w:noProof/>
            <w:webHidden/>
          </w:rPr>
        </w:r>
        <w:r w:rsidR="00E53939">
          <w:rPr>
            <w:noProof/>
            <w:webHidden/>
          </w:rPr>
          <w:fldChar w:fldCharType="separate"/>
        </w:r>
        <w:r w:rsidR="00E53939">
          <w:rPr>
            <w:noProof/>
            <w:webHidden/>
          </w:rPr>
          <w:t>9</w:t>
        </w:r>
        <w:r w:rsidR="00E53939">
          <w:rPr>
            <w:noProof/>
            <w:webHidden/>
          </w:rPr>
          <w:fldChar w:fldCharType="end"/>
        </w:r>
      </w:hyperlink>
    </w:p>
    <w:p w:rsidR="00E53939" w:rsidRDefault="00315C12">
      <w:pPr>
        <w:pStyle w:val="TM3"/>
        <w:tabs>
          <w:tab w:val="left" w:pos="1320"/>
          <w:tab w:val="right" w:leader="dot" w:pos="9054"/>
        </w:tabs>
        <w:rPr>
          <w:rFonts w:asciiTheme="minorHAnsi" w:eastAsiaTheme="minorEastAsia" w:hAnsiTheme="minorHAnsi"/>
          <w:noProof/>
          <w:lang w:eastAsia="fr-FR"/>
        </w:rPr>
      </w:pPr>
      <w:hyperlink w:anchor="_Toc195108977" w:history="1">
        <w:r w:rsidR="00E53939" w:rsidRPr="00F85BC7">
          <w:rPr>
            <w:rStyle w:val="Lienhypertexte"/>
            <w:rFonts w:ascii="Arial Narrow" w:eastAsia="Calibri" w:hAnsi="Arial Narrow" w:cs="Times-Roman"/>
            <w:noProof/>
          </w:rPr>
          <w:t>11.2.3.</w:t>
        </w:r>
        <w:r w:rsidR="00E53939">
          <w:rPr>
            <w:rFonts w:asciiTheme="minorHAnsi" w:eastAsiaTheme="minorEastAsia" w:hAnsiTheme="minorHAnsi"/>
            <w:noProof/>
            <w:lang w:eastAsia="fr-FR"/>
          </w:rPr>
          <w:tab/>
        </w:r>
        <w:r w:rsidR="00E53939" w:rsidRPr="00F85BC7">
          <w:rPr>
            <w:rStyle w:val="Lienhypertexte"/>
            <w:rFonts w:ascii="Arial Narrow" w:eastAsia="Calibri" w:hAnsi="Arial Narrow" w:cs="Times-Roman"/>
            <w:noProof/>
          </w:rPr>
          <w:t>Données personnelles dans le cadre de la gestion de la relation contractuelle</w:t>
        </w:r>
        <w:r w:rsidR="00E53939">
          <w:rPr>
            <w:noProof/>
            <w:webHidden/>
          </w:rPr>
          <w:tab/>
        </w:r>
        <w:r w:rsidR="00E53939">
          <w:rPr>
            <w:noProof/>
            <w:webHidden/>
          </w:rPr>
          <w:fldChar w:fldCharType="begin"/>
        </w:r>
        <w:r w:rsidR="00E53939">
          <w:rPr>
            <w:noProof/>
            <w:webHidden/>
          </w:rPr>
          <w:instrText xml:space="preserve"> PAGEREF _Toc195108977 \h </w:instrText>
        </w:r>
        <w:r w:rsidR="00E53939">
          <w:rPr>
            <w:noProof/>
            <w:webHidden/>
          </w:rPr>
        </w:r>
        <w:r w:rsidR="00E53939">
          <w:rPr>
            <w:noProof/>
            <w:webHidden/>
          </w:rPr>
          <w:fldChar w:fldCharType="separate"/>
        </w:r>
        <w:r w:rsidR="00E53939">
          <w:rPr>
            <w:noProof/>
            <w:webHidden/>
          </w:rPr>
          <w:t>9</w:t>
        </w:r>
        <w:r w:rsidR="00E53939">
          <w:rPr>
            <w:noProof/>
            <w:webHidden/>
          </w:rPr>
          <w:fldChar w:fldCharType="end"/>
        </w:r>
      </w:hyperlink>
    </w:p>
    <w:p w:rsidR="00E53939" w:rsidRDefault="00315C12">
      <w:pPr>
        <w:pStyle w:val="TM1"/>
        <w:tabs>
          <w:tab w:val="left" w:pos="660"/>
          <w:tab w:val="right" w:leader="dot" w:pos="9054"/>
        </w:tabs>
        <w:rPr>
          <w:rFonts w:asciiTheme="minorHAnsi" w:eastAsiaTheme="minorEastAsia" w:hAnsiTheme="minorHAnsi"/>
          <w:noProof/>
          <w:lang w:eastAsia="fr-FR"/>
        </w:rPr>
      </w:pPr>
      <w:hyperlink w:anchor="_Toc195108978" w:history="1">
        <w:r w:rsidR="00E53939" w:rsidRPr="00F85BC7">
          <w:rPr>
            <w:rStyle w:val="Lienhypertexte"/>
            <w:b/>
            <w:i/>
            <w:iCs/>
            <w:noProof/>
          </w:rPr>
          <w:t>12.</w:t>
        </w:r>
        <w:r w:rsidR="00E53939">
          <w:rPr>
            <w:rFonts w:asciiTheme="minorHAnsi" w:eastAsiaTheme="minorEastAsia" w:hAnsiTheme="minorHAnsi"/>
            <w:noProof/>
            <w:lang w:eastAsia="fr-FR"/>
          </w:rPr>
          <w:tab/>
        </w:r>
        <w:r w:rsidR="00E53939" w:rsidRPr="00F85BC7">
          <w:rPr>
            <w:rStyle w:val="Lienhypertexte"/>
            <w:noProof/>
          </w:rPr>
          <w:t>PROPRIÉTÉ INTELLECTUELLE</w:t>
        </w:r>
        <w:r w:rsidR="00E53939">
          <w:rPr>
            <w:noProof/>
            <w:webHidden/>
          </w:rPr>
          <w:tab/>
        </w:r>
        <w:r w:rsidR="00E53939">
          <w:rPr>
            <w:noProof/>
            <w:webHidden/>
          </w:rPr>
          <w:fldChar w:fldCharType="begin"/>
        </w:r>
        <w:r w:rsidR="00E53939">
          <w:rPr>
            <w:noProof/>
            <w:webHidden/>
          </w:rPr>
          <w:instrText xml:space="preserve"> PAGEREF _Toc195108978 \h </w:instrText>
        </w:r>
        <w:r w:rsidR="00E53939">
          <w:rPr>
            <w:noProof/>
            <w:webHidden/>
          </w:rPr>
        </w:r>
        <w:r w:rsidR="00E53939">
          <w:rPr>
            <w:noProof/>
            <w:webHidden/>
          </w:rPr>
          <w:fldChar w:fldCharType="separate"/>
        </w:r>
        <w:r w:rsidR="00E53939">
          <w:rPr>
            <w:noProof/>
            <w:webHidden/>
          </w:rPr>
          <w:t>9</w:t>
        </w:r>
        <w:r w:rsidR="00E53939">
          <w:rPr>
            <w:noProof/>
            <w:webHidden/>
          </w:rPr>
          <w:fldChar w:fldCharType="end"/>
        </w:r>
      </w:hyperlink>
    </w:p>
    <w:p w:rsidR="00E53939" w:rsidRDefault="00315C12">
      <w:pPr>
        <w:pStyle w:val="TM1"/>
        <w:tabs>
          <w:tab w:val="left" w:pos="660"/>
          <w:tab w:val="right" w:leader="dot" w:pos="9054"/>
        </w:tabs>
        <w:rPr>
          <w:rFonts w:asciiTheme="minorHAnsi" w:eastAsiaTheme="minorEastAsia" w:hAnsiTheme="minorHAnsi"/>
          <w:noProof/>
          <w:lang w:eastAsia="fr-FR"/>
        </w:rPr>
      </w:pPr>
      <w:hyperlink w:anchor="_Toc195108979" w:history="1">
        <w:r w:rsidR="00E53939" w:rsidRPr="00F85BC7">
          <w:rPr>
            <w:rStyle w:val="Lienhypertexte"/>
            <w:b/>
            <w:iCs/>
            <w:noProof/>
          </w:rPr>
          <w:t>13.</w:t>
        </w:r>
        <w:r w:rsidR="00E53939">
          <w:rPr>
            <w:rFonts w:asciiTheme="minorHAnsi" w:eastAsiaTheme="minorEastAsia" w:hAnsiTheme="minorHAnsi"/>
            <w:noProof/>
            <w:lang w:eastAsia="fr-FR"/>
          </w:rPr>
          <w:tab/>
        </w:r>
        <w:r w:rsidR="00E53939" w:rsidRPr="00F85BC7">
          <w:rPr>
            <w:rStyle w:val="Lienhypertexte"/>
            <w:noProof/>
          </w:rPr>
          <w:t>GARANTIE</w:t>
        </w:r>
        <w:r w:rsidR="00E53939">
          <w:rPr>
            <w:noProof/>
            <w:webHidden/>
          </w:rPr>
          <w:tab/>
        </w:r>
        <w:r w:rsidR="00E53939">
          <w:rPr>
            <w:noProof/>
            <w:webHidden/>
          </w:rPr>
          <w:fldChar w:fldCharType="begin"/>
        </w:r>
        <w:r w:rsidR="00E53939">
          <w:rPr>
            <w:noProof/>
            <w:webHidden/>
          </w:rPr>
          <w:instrText xml:space="preserve"> PAGEREF _Toc195108979 \h </w:instrText>
        </w:r>
        <w:r w:rsidR="00E53939">
          <w:rPr>
            <w:noProof/>
            <w:webHidden/>
          </w:rPr>
        </w:r>
        <w:r w:rsidR="00E53939">
          <w:rPr>
            <w:noProof/>
            <w:webHidden/>
          </w:rPr>
          <w:fldChar w:fldCharType="separate"/>
        </w:r>
        <w:r w:rsidR="00E53939">
          <w:rPr>
            <w:noProof/>
            <w:webHidden/>
          </w:rPr>
          <w:t>9</w:t>
        </w:r>
        <w:r w:rsidR="00E53939">
          <w:rPr>
            <w:noProof/>
            <w:webHidden/>
          </w:rPr>
          <w:fldChar w:fldCharType="end"/>
        </w:r>
      </w:hyperlink>
    </w:p>
    <w:p w:rsidR="00E53939" w:rsidRDefault="00315C12">
      <w:pPr>
        <w:pStyle w:val="TM1"/>
        <w:tabs>
          <w:tab w:val="left" w:pos="660"/>
          <w:tab w:val="right" w:leader="dot" w:pos="9054"/>
        </w:tabs>
        <w:rPr>
          <w:rFonts w:asciiTheme="minorHAnsi" w:eastAsiaTheme="minorEastAsia" w:hAnsiTheme="minorHAnsi"/>
          <w:noProof/>
          <w:lang w:eastAsia="fr-FR"/>
        </w:rPr>
      </w:pPr>
      <w:hyperlink w:anchor="_Toc195108980" w:history="1">
        <w:r w:rsidR="00E53939" w:rsidRPr="00F85BC7">
          <w:rPr>
            <w:rStyle w:val="Lienhypertexte"/>
            <w:b/>
            <w:noProof/>
          </w:rPr>
          <w:t>14.</w:t>
        </w:r>
        <w:r w:rsidR="00E53939">
          <w:rPr>
            <w:rFonts w:asciiTheme="minorHAnsi" w:eastAsiaTheme="minorEastAsia" w:hAnsiTheme="minorHAnsi"/>
            <w:noProof/>
            <w:lang w:eastAsia="fr-FR"/>
          </w:rPr>
          <w:tab/>
        </w:r>
        <w:r w:rsidR="00E53939" w:rsidRPr="00F85BC7">
          <w:rPr>
            <w:rStyle w:val="Lienhypertexte"/>
            <w:noProof/>
          </w:rPr>
          <w:t>LITIGES</w:t>
        </w:r>
        <w:r w:rsidR="00E53939">
          <w:rPr>
            <w:noProof/>
            <w:webHidden/>
          </w:rPr>
          <w:tab/>
        </w:r>
        <w:r w:rsidR="00E53939">
          <w:rPr>
            <w:noProof/>
            <w:webHidden/>
          </w:rPr>
          <w:fldChar w:fldCharType="begin"/>
        </w:r>
        <w:r w:rsidR="00E53939">
          <w:rPr>
            <w:noProof/>
            <w:webHidden/>
          </w:rPr>
          <w:instrText xml:space="preserve"> PAGEREF _Toc195108980 \h </w:instrText>
        </w:r>
        <w:r w:rsidR="00E53939">
          <w:rPr>
            <w:noProof/>
            <w:webHidden/>
          </w:rPr>
        </w:r>
        <w:r w:rsidR="00E53939">
          <w:rPr>
            <w:noProof/>
            <w:webHidden/>
          </w:rPr>
          <w:fldChar w:fldCharType="separate"/>
        </w:r>
        <w:r w:rsidR="00E53939">
          <w:rPr>
            <w:noProof/>
            <w:webHidden/>
          </w:rPr>
          <w:t>10</w:t>
        </w:r>
        <w:r w:rsidR="00E53939">
          <w:rPr>
            <w:noProof/>
            <w:webHidden/>
          </w:rPr>
          <w:fldChar w:fldCharType="end"/>
        </w:r>
      </w:hyperlink>
    </w:p>
    <w:p w:rsidR="00B3398C" w:rsidRPr="003C2E90" w:rsidRDefault="00B3398C" w:rsidP="00BE0EAA">
      <w:pPr>
        <w:widowControl w:val="0"/>
        <w:autoSpaceDE w:val="0"/>
        <w:autoSpaceDN w:val="0"/>
        <w:adjustRightInd w:val="0"/>
        <w:spacing w:before="14"/>
        <w:rPr>
          <w:rFonts w:ascii="Arial" w:hAnsi="Arial" w:cs="Arial"/>
          <w:b/>
          <w:bCs/>
        </w:rPr>
      </w:pPr>
      <w:r w:rsidRPr="00E37210">
        <w:rPr>
          <w:rFonts w:ascii="Arial" w:hAnsi="Arial" w:cs="Arial"/>
          <w:b/>
          <w:bCs/>
        </w:rPr>
        <w:fldChar w:fldCharType="end"/>
      </w:r>
    </w:p>
    <w:p w:rsidR="00B3398C" w:rsidRPr="003C2E90" w:rsidRDefault="000222BE" w:rsidP="000222BE">
      <w:pPr>
        <w:widowControl w:val="0"/>
        <w:tabs>
          <w:tab w:val="left" w:pos="5100"/>
        </w:tabs>
        <w:autoSpaceDE w:val="0"/>
        <w:autoSpaceDN w:val="0"/>
        <w:adjustRightInd w:val="0"/>
        <w:spacing w:before="14" w:line="240" w:lineRule="exact"/>
        <w:rPr>
          <w:rFonts w:ascii="Arial" w:hAnsi="Arial" w:cs="Arial"/>
          <w:b/>
          <w:bCs/>
        </w:rPr>
      </w:pPr>
      <w:r>
        <w:rPr>
          <w:rFonts w:ascii="Arial" w:hAnsi="Arial" w:cs="Arial"/>
          <w:b/>
          <w:bCs/>
        </w:rPr>
        <w:tab/>
      </w:r>
    </w:p>
    <w:p w:rsidR="00B3398C" w:rsidRPr="009A7C35" w:rsidRDefault="000222BE" w:rsidP="00F73FDA">
      <w:pPr>
        <w:widowControl w:val="0"/>
        <w:tabs>
          <w:tab w:val="left" w:pos="5100"/>
          <w:tab w:val="left" w:pos="6675"/>
        </w:tabs>
        <w:autoSpaceDE w:val="0"/>
        <w:autoSpaceDN w:val="0"/>
        <w:adjustRightInd w:val="0"/>
        <w:rPr>
          <w:rFonts w:ascii="Arial" w:hAnsi="Arial" w:cs="Arial"/>
          <w:sz w:val="20"/>
          <w:szCs w:val="20"/>
        </w:rPr>
        <w:sectPr w:rsidR="00B3398C" w:rsidRPr="009A7C35" w:rsidSect="000A7363">
          <w:footerReference w:type="even" r:id="rId8"/>
          <w:footerReference w:type="default" r:id="rId9"/>
          <w:pgSz w:w="11900" w:h="16840"/>
          <w:pgMar w:top="1418" w:right="1418" w:bottom="1418" w:left="1418" w:header="720" w:footer="720" w:gutter="0"/>
          <w:cols w:space="720"/>
          <w:noEndnote/>
          <w:titlePg/>
        </w:sectPr>
      </w:pPr>
      <w:r>
        <w:rPr>
          <w:rFonts w:ascii="Arial" w:hAnsi="Arial" w:cs="Arial"/>
          <w:sz w:val="20"/>
          <w:szCs w:val="20"/>
        </w:rPr>
        <w:tab/>
      </w:r>
      <w:r w:rsidR="00F73FDA">
        <w:rPr>
          <w:rFonts w:ascii="Arial" w:hAnsi="Arial" w:cs="Arial"/>
          <w:sz w:val="20"/>
          <w:szCs w:val="20"/>
        </w:rPr>
        <w:tab/>
      </w:r>
    </w:p>
    <w:p w:rsidR="00B3398C" w:rsidRPr="009A7C35" w:rsidRDefault="00B3398C" w:rsidP="008630D8">
      <w:pPr>
        <w:pStyle w:val="Titre1"/>
        <w:rPr>
          <w:i/>
          <w:iCs/>
        </w:rPr>
      </w:pPr>
      <w:bookmarkStart w:id="0" w:name="_Toc195108954"/>
      <w:r w:rsidRPr="009A7C35">
        <w:lastRenderedPageBreak/>
        <w:t>OBJET</w:t>
      </w:r>
      <w:bookmarkEnd w:id="0"/>
    </w:p>
    <w:p w:rsidR="00B3398C" w:rsidRPr="009A7C35" w:rsidRDefault="00B3398C">
      <w:pPr>
        <w:widowControl w:val="0"/>
        <w:autoSpaceDE w:val="0"/>
        <w:autoSpaceDN w:val="0"/>
        <w:adjustRightInd w:val="0"/>
        <w:spacing w:line="249" w:lineRule="exact"/>
        <w:rPr>
          <w:rFonts w:ascii="Arial" w:hAnsi="Arial" w:cs="Arial"/>
          <w:sz w:val="20"/>
          <w:szCs w:val="20"/>
        </w:rPr>
      </w:pPr>
    </w:p>
    <w:p w:rsidR="00B3398C" w:rsidRPr="009A7C35" w:rsidRDefault="00B3398C" w:rsidP="008630D8">
      <w:pPr>
        <w:rPr>
          <w:color w:val="0000FF"/>
        </w:rPr>
      </w:pPr>
      <w:r w:rsidRPr="00315C12">
        <w:rPr>
          <w:spacing w:val="-2"/>
        </w:rPr>
        <w:t>Le</w:t>
      </w:r>
      <w:r w:rsidRPr="00315C12">
        <w:t xml:space="preserve"> présent </w:t>
      </w:r>
      <w:r w:rsidRPr="00315C12">
        <w:rPr>
          <w:spacing w:val="-2"/>
        </w:rPr>
        <w:t>marché</w:t>
      </w:r>
      <w:r w:rsidRPr="00315C12">
        <w:t xml:space="preserve"> </w:t>
      </w:r>
      <w:r w:rsidRPr="00315C12">
        <w:rPr>
          <w:spacing w:val="-2"/>
        </w:rPr>
        <w:t>a</w:t>
      </w:r>
      <w:r w:rsidRPr="00315C12">
        <w:t xml:space="preserve"> </w:t>
      </w:r>
      <w:r w:rsidRPr="00315C12">
        <w:rPr>
          <w:spacing w:val="-2"/>
        </w:rPr>
        <w:t>pour</w:t>
      </w:r>
      <w:r w:rsidRPr="00315C12">
        <w:t xml:space="preserve"> </w:t>
      </w:r>
      <w:r w:rsidRPr="00315C12">
        <w:rPr>
          <w:spacing w:val="-2"/>
        </w:rPr>
        <w:t>objet</w:t>
      </w:r>
      <w:r w:rsidR="0011179F" w:rsidRPr="00315C12">
        <w:t xml:space="preserve"> </w:t>
      </w:r>
      <w:r w:rsidR="0011179F" w:rsidRPr="00315C12">
        <w:rPr>
          <w:spacing w:val="-2"/>
        </w:rPr>
        <w:t>l’étude de surélévation de 5 mâts haubanés existants et implantation de 2 mâts haubanés</w:t>
      </w:r>
    </w:p>
    <w:p w:rsidR="00CB348C" w:rsidRPr="009A7C35" w:rsidRDefault="00CB348C" w:rsidP="00BE0EAA">
      <w:pPr>
        <w:widowControl w:val="0"/>
        <w:autoSpaceDE w:val="0"/>
        <w:autoSpaceDN w:val="0"/>
        <w:adjustRightInd w:val="0"/>
        <w:spacing w:line="240" w:lineRule="exact"/>
        <w:rPr>
          <w:rFonts w:ascii="Arial" w:hAnsi="Arial" w:cs="Arial"/>
          <w:color w:val="0000FF"/>
          <w:sz w:val="20"/>
          <w:szCs w:val="20"/>
        </w:rPr>
      </w:pPr>
    </w:p>
    <w:p w:rsidR="00B3398C" w:rsidRPr="009A7C35" w:rsidRDefault="00B3398C" w:rsidP="008630D8">
      <w:pPr>
        <w:pStyle w:val="Titre1"/>
        <w:rPr>
          <w:i/>
          <w:iCs/>
        </w:rPr>
      </w:pPr>
      <w:bookmarkStart w:id="1" w:name="_Toc195108955"/>
      <w:r w:rsidRPr="009A7C35">
        <w:t>PIÈCES CONTRACTUELLES DU MARCHÉ</w:t>
      </w:r>
      <w:bookmarkEnd w:id="1"/>
    </w:p>
    <w:p w:rsidR="00B3398C" w:rsidRPr="009A7C35" w:rsidRDefault="00B3398C">
      <w:pPr>
        <w:widowControl w:val="0"/>
        <w:autoSpaceDE w:val="0"/>
        <w:autoSpaceDN w:val="0"/>
        <w:adjustRightInd w:val="0"/>
        <w:spacing w:line="249" w:lineRule="exact"/>
        <w:rPr>
          <w:rFonts w:ascii="Arial" w:hAnsi="Arial" w:cs="Arial"/>
          <w:sz w:val="20"/>
          <w:szCs w:val="20"/>
        </w:rPr>
      </w:pPr>
    </w:p>
    <w:p w:rsidR="004C2431" w:rsidRDefault="00B3398C" w:rsidP="008630D8">
      <w:r w:rsidRPr="009A7C35">
        <w:t xml:space="preserve">La procédure est passée selon des modalités librement </w:t>
      </w:r>
      <w:r w:rsidR="001D73E9">
        <w:t>fixées</w:t>
      </w:r>
      <w:r w:rsidRPr="009A7C35">
        <w:t xml:space="preserve"> par le pouvoir</w:t>
      </w:r>
      <w:r w:rsidR="001D73E9">
        <w:t xml:space="preserve"> adjudicateur en application </w:t>
      </w:r>
      <w:r w:rsidR="008013EA" w:rsidRPr="008013EA">
        <w:t>de l’article</w:t>
      </w:r>
      <w:r w:rsidR="002B5C0D">
        <w:t xml:space="preserve"> L2123-1</w:t>
      </w:r>
      <w:r w:rsidR="008013EA" w:rsidRPr="008013EA">
        <w:t xml:space="preserve"> </w:t>
      </w:r>
      <w:r w:rsidR="002B5C0D">
        <w:t>du Code de la Commande Publique</w:t>
      </w:r>
      <w:r w:rsidR="00616187">
        <w:t xml:space="preserve"> </w:t>
      </w:r>
      <w:r w:rsidR="008013EA" w:rsidRPr="008013EA">
        <w:t>et de</w:t>
      </w:r>
      <w:r w:rsidR="002B5C0D">
        <w:t>s</w:t>
      </w:r>
      <w:r w:rsidR="008013EA" w:rsidRPr="008013EA">
        <w:t xml:space="preserve"> </w:t>
      </w:r>
      <w:r w:rsidR="002B5C0D" w:rsidRPr="008013EA">
        <w:t>article</w:t>
      </w:r>
      <w:r w:rsidR="002B5C0D">
        <w:t>s</w:t>
      </w:r>
      <w:r w:rsidR="002B5C0D" w:rsidRPr="008013EA">
        <w:t xml:space="preserve"> </w:t>
      </w:r>
      <w:r w:rsidR="002B5C0D">
        <w:t>R2123-1</w:t>
      </w:r>
      <w:r w:rsidR="008013EA" w:rsidRPr="008013EA">
        <w:t xml:space="preserve"> </w:t>
      </w:r>
      <w:r w:rsidR="00D3645B">
        <w:t>à</w:t>
      </w:r>
      <w:r w:rsidR="002B5C0D">
        <w:t xml:space="preserve"> R2123-</w:t>
      </w:r>
      <w:r w:rsidR="00D3645B">
        <w:t>8</w:t>
      </w:r>
      <w:r w:rsidR="002B5C0D">
        <w:t xml:space="preserve"> </w:t>
      </w:r>
      <w:r w:rsidR="000B7E1A">
        <w:t>du</w:t>
      </w:r>
      <w:r w:rsidR="002B5C0D">
        <w:t xml:space="preserve"> Code de la Commande Publique.</w:t>
      </w:r>
    </w:p>
    <w:p w:rsidR="001E21C7" w:rsidRDefault="001E21C7" w:rsidP="008630D8"/>
    <w:p w:rsidR="00B3398C" w:rsidRDefault="00B3398C" w:rsidP="008630D8">
      <w:r w:rsidRPr="0011179F">
        <w:t>Les pièces constitutives du Marché sont, par ordre décroissant de priorité</w:t>
      </w:r>
      <w:r w:rsidR="00CB348C" w:rsidRPr="0011179F">
        <w:t xml:space="preserve"> </w:t>
      </w:r>
      <w:r w:rsidRPr="0011179F">
        <w:t>:</w:t>
      </w:r>
    </w:p>
    <w:p w:rsidR="0011179F" w:rsidRPr="0011179F" w:rsidRDefault="0011179F" w:rsidP="008630D8"/>
    <w:p w:rsidR="0011179F" w:rsidRPr="00CC0030" w:rsidRDefault="0011179F" w:rsidP="0011179F">
      <w:pPr>
        <w:pStyle w:val="Paragraphedeliste"/>
        <w:numPr>
          <w:ilvl w:val="0"/>
          <w:numId w:val="1"/>
        </w:numPr>
      </w:pPr>
      <w:proofErr w:type="gramStart"/>
      <w:r w:rsidRPr="00CC0030">
        <w:t>le</w:t>
      </w:r>
      <w:proofErr w:type="gramEnd"/>
      <w:r w:rsidRPr="00CC0030">
        <w:t xml:space="preserve"> présent Acte d’Engagement valant Cahier des Clauses Particulières du marché;</w:t>
      </w:r>
    </w:p>
    <w:p w:rsidR="00CC0030" w:rsidRPr="00CC0030" w:rsidRDefault="00CC0030" w:rsidP="0011179F">
      <w:pPr>
        <w:pStyle w:val="Paragraphedeliste"/>
        <w:numPr>
          <w:ilvl w:val="0"/>
          <w:numId w:val="1"/>
        </w:numPr>
      </w:pPr>
      <w:proofErr w:type="gramStart"/>
      <w:r w:rsidRPr="00CC0030">
        <w:t>le</w:t>
      </w:r>
      <w:proofErr w:type="gramEnd"/>
      <w:r w:rsidRPr="00CC0030">
        <w:t xml:space="preserve"> devis détaillé</w:t>
      </w:r>
    </w:p>
    <w:p w:rsidR="0011179F" w:rsidRDefault="0011179F" w:rsidP="0011179F">
      <w:pPr>
        <w:pStyle w:val="Paragraphedeliste"/>
        <w:numPr>
          <w:ilvl w:val="0"/>
          <w:numId w:val="1"/>
        </w:numPr>
      </w:pPr>
      <w:r w:rsidRPr="00CC0030">
        <w:t xml:space="preserve">Le Cahier des Clauses Administratives Générales applicable aux marchés publics de </w:t>
      </w:r>
      <w:r w:rsidR="004B4750">
        <w:t>Prestations Intellectuelles</w:t>
      </w:r>
      <w:r w:rsidRPr="00CC0030">
        <w:t xml:space="preserve"> (approuvé par l’arrêté du 30 mars 2021, ci-après désigné le CCAG-</w:t>
      </w:r>
      <w:r w:rsidR="00CC0030">
        <w:t>PI</w:t>
      </w:r>
      <w:r w:rsidRPr="00CC0030">
        <w:t xml:space="preserve">), </w:t>
      </w:r>
      <w:hyperlink r:id="rId10" w:history="1">
        <w:r w:rsidR="00CC0030" w:rsidRPr="00C45022">
          <w:rPr>
            <w:rStyle w:val="Lienhypertexte"/>
          </w:rPr>
          <w:t>https://www.legifrance.gouv.fr/jorf/id/JORFTEXT000043310613</w:t>
        </w:r>
      </w:hyperlink>
    </w:p>
    <w:p w:rsidR="00CC0030" w:rsidRPr="00CC0030" w:rsidRDefault="00CC0030" w:rsidP="00CC0030">
      <w:pPr>
        <w:pStyle w:val="Paragraphedeliste"/>
        <w:ind w:left="720"/>
      </w:pPr>
    </w:p>
    <w:p w:rsidR="00CB348C" w:rsidRPr="00CC0030" w:rsidRDefault="00CB348C" w:rsidP="00CC0030">
      <w:pPr>
        <w:pStyle w:val="Paragraphedeliste"/>
        <w:ind w:left="720"/>
        <w:rPr>
          <w:rFonts w:ascii="Arial" w:hAnsi="Arial" w:cs="Arial"/>
          <w:sz w:val="20"/>
          <w:szCs w:val="20"/>
        </w:rPr>
      </w:pPr>
    </w:p>
    <w:p w:rsidR="00B3398C" w:rsidRPr="00707B79" w:rsidRDefault="00B3398C" w:rsidP="008630D8">
      <w:pPr>
        <w:pStyle w:val="Titre1"/>
        <w:rPr>
          <w:i/>
          <w:iCs/>
          <w:color w:val="C00000"/>
        </w:rPr>
      </w:pPr>
      <w:bookmarkStart w:id="2" w:name="_Toc195108956"/>
      <w:r w:rsidRPr="009A7C35">
        <w:t>CONTENU DES PRESTATIONS</w:t>
      </w:r>
      <w:bookmarkEnd w:id="2"/>
      <w:r w:rsidRPr="009A7C35">
        <w:t xml:space="preserve"> </w:t>
      </w:r>
    </w:p>
    <w:p w:rsidR="00B3398C" w:rsidRPr="009A7C35" w:rsidRDefault="00B3398C">
      <w:pPr>
        <w:widowControl w:val="0"/>
        <w:autoSpaceDE w:val="0"/>
        <w:autoSpaceDN w:val="0"/>
        <w:adjustRightInd w:val="0"/>
        <w:spacing w:line="200" w:lineRule="exact"/>
        <w:rPr>
          <w:rFonts w:ascii="Arial" w:hAnsi="Arial" w:cs="Arial"/>
          <w:sz w:val="20"/>
          <w:szCs w:val="20"/>
        </w:rPr>
      </w:pPr>
    </w:p>
    <w:p w:rsidR="00CC0030" w:rsidRPr="00707B79" w:rsidRDefault="0011179F" w:rsidP="00CC0030">
      <w:pPr>
        <w:rPr>
          <w:b/>
          <w:bCs/>
          <w:color w:val="C00000"/>
        </w:rPr>
      </w:pPr>
      <w:r>
        <w:t>Les prestations objet du marché sont détaillées dans le CCTP joint.</w:t>
      </w:r>
      <w:r w:rsidR="008A6B95">
        <w:t xml:space="preserve"> </w:t>
      </w:r>
    </w:p>
    <w:p w:rsidR="00B3398C" w:rsidRPr="009A7C35" w:rsidRDefault="00B3398C">
      <w:pPr>
        <w:widowControl w:val="0"/>
        <w:autoSpaceDE w:val="0"/>
        <w:autoSpaceDN w:val="0"/>
        <w:adjustRightInd w:val="0"/>
        <w:spacing w:line="200" w:lineRule="exact"/>
        <w:rPr>
          <w:rFonts w:ascii="Arial" w:hAnsi="Arial" w:cs="Arial"/>
          <w:sz w:val="20"/>
          <w:szCs w:val="20"/>
        </w:rPr>
      </w:pPr>
    </w:p>
    <w:p w:rsidR="00B3398C" w:rsidRPr="009A7C35" w:rsidRDefault="00B3398C" w:rsidP="008630D8">
      <w:pPr>
        <w:pStyle w:val="Titre1"/>
        <w:rPr>
          <w:i/>
          <w:iCs/>
        </w:rPr>
      </w:pPr>
      <w:bookmarkStart w:id="3" w:name="_Toc195108957"/>
      <w:r w:rsidRPr="009A7C35">
        <w:t>DURÉE DU MARCHÉ (OU DÉLAI(S) D’EXÉCUTION DU MARCHÉ)</w:t>
      </w:r>
      <w:bookmarkEnd w:id="3"/>
      <w:r w:rsidRPr="009A7C35">
        <w:t xml:space="preserve"> </w:t>
      </w:r>
    </w:p>
    <w:p w:rsidR="00CB348C" w:rsidRPr="009A7C35" w:rsidRDefault="00CB348C" w:rsidP="008630D8"/>
    <w:p w:rsidR="00B3398C" w:rsidRPr="0011179F" w:rsidRDefault="00B3398C" w:rsidP="008630D8">
      <w:r w:rsidRPr="009A7C35">
        <w:t xml:space="preserve">Le délai d’exécution du marché est </w:t>
      </w:r>
      <w:r w:rsidRPr="00315C12">
        <w:t xml:space="preserve">de </w:t>
      </w:r>
      <w:r w:rsidR="0011179F" w:rsidRPr="00315C12">
        <w:t>1 mois</w:t>
      </w:r>
      <w:r w:rsidR="008A6B95" w:rsidRPr="00315C12">
        <w:t>.</w:t>
      </w:r>
    </w:p>
    <w:p w:rsidR="00B3398C" w:rsidRPr="009A7C35" w:rsidRDefault="00B3398C" w:rsidP="008630D8">
      <w:pPr>
        <w:rPr>
          <w:rFonts w:ascii="Arial" w:hAnsi="Arial" w:cs="Arial"/>
          <w:sz w:val="20"/>
          <w:szCs w:val="20"/>
        </w:rPr>
      </w:pPr>
    </w:p>
    <w:p w:rsidR="00B3398C" w:rsidRPr="009A7C35" w:rsidRDefault="00B3398C" w:rsidP="008630D8">
      <w:pPr>
        <w:pStyle w:val="Titre1"/>
        <w:rPr>
          <w:i/>
          <w:iCs/>
          <w:color w:val="FF0000"/>
        </w:rPr>
      </w:pPr>
      <w:bookmarkStart w:id="4" w:name="_Toc195108958"/>
      <w:r w:rsidRPr="009A7C35">
        <w:t xml:space="preserve">VÉRIFICATION ET ADMISSION DES </w:t>
      </w:r>
      <w:r w:rsidR="004B4750">
        <w:t>ÉTUDES</w:t>
      </w:r>
      <w:bookmarkEnd w:id="4"/>
    </w:p>
    <w:p w:rsidR="00B3398C" w:rsidRPr="009A7C35" w:rsidRDefault="00B3398C">
      <w:pPr>
        <w:widowControl w:val="0"/>
        <w:autoSpaceDE w:val="0"/>
        <w:autoSpaceDN w:val="0"/>
        <w:adjustRightInd w:val="0"/>
        <w:spacing w:line="200" w:lineRule="exact"/>
        <w:rPr>
          <w:rFonts w:ascii="Arial" w:hAnsi="Arial" w:cs="Arial"/>
          <w:i/>
          <w:color w:val="FF0000"/>
          <w:sz w:val="20"/>
          <w:szCs w:val="20"/>
        </w:rPr>
      </w:pPr>
    </w:p>
    <w:p w:rsidR="00CC0030" w:rsidRDefault="004B4750" w:rsidP="0011179F">
      <w:r>
        <w:t>Les études seront transmises à INRAE qui vérifiera leur pertinence. Elles seront ainsi validées par mail pour acceptation.</w:t>
      </w:r>
    </w:p>
    <w:p w:rsidR="00707B79" w:rsidRPr="009A7C35" w:rsidRDefault="00707B79" w:rsidP="00C27CC1">
      <w:pPr>
        <w:widowControl w:val="0"/>
        <w:autoSpaceDE w:val="0"/>
        <w:autoSpaceDN w:val="0"/>
        <w:adjustRightInd w:val="0"/>
        <w:spacing w:line="200" w:lineRule="exact"/>
        <w:rPr>
          <w:rFonts w:ascii="Arial" w:hAnsi="Arial" w:cs="Arial"/>
          <w:i/>
          <w:color w:val="FF0000"/>
          <w:sz w:val="20"/>
          <w:szCs w:val="20"/>
        </w:rPr>
      </w:pPr>
    </w:p>
    <w:p w:rsidR="001E21C7" w:rsidRPr="001E21C7" w:rsidRDefault="001E21C7" w:rsidP="008630D8">
      <w:pPr>
        <w:pStyle w:val="Titre1"/>
      </w:pPr>
      <w:bookmarkStart w:id="5" w:name="_Toc195108959"/>
      <w:r>
        <w:t>ZONES A REGIME RESTRICTIF (ZRR)</w:t>
      </w:r>
      <w:bookmarkEnd w:id="5"/>
    </w:p>
    <w:p w:rsidR="001E21C7" w:rsidRDefault="004B4750" w:rsidP="008630D8">
      <w:r>
        <w:t>Sans objet</w:t>
      </w:r>
    </w:p>
    <w:p w:rsidR="00D25A0C" w:rsidRDefault="00D25A0C" w:rsidP="008630D8"/>
    <w:p w:rsidR="00B3398C" w:rsidRPr="009A7C35" w:rsidRDefault="00B3398C" w:rsidP="008630D8">
      <w:pPr>
        <w:pStyle w:val="Titre1"/>
        <w:rPr>
          <w:i/>
          <w:iCs/>
        </w:rPr>
      </w:pPr>
      <w:bookmarkStart w:id="6" w:name="_Toc195108960"/>
      <w:r w:rsidRPr="009A7C35">
        <w:lastRenderedPageBreak/>
        <w:t>PRIX ET MODALITÉS DE PAIEMENTS</w:t>
      </w:r>
      <w:bookmarkEnd w:id="6"/>
    </w:p>
    <w:p w:rsidR="00B3398C" w:rsidRPr="009A7C35" w:rsidRDefault="00B3398C" w:rsidP="008630D8">
      <w:pPr>
        <w:pStyle w:val="Titre2"/>
      </w:pPr>
      <w:bookmarkStart w:id="7" w:name="_Toc195108961"/>
      <w:r w:rsidRPr="009A7C35">
        <w:t>Prix du marché</w:t>
      </w:r>
      <w:bookmarkEnd w:id="7"/>
    </w:p>
    <w:p w:rsidR="00B3398C" w:rsidRPr="009A7C35" w:rsidRDefault="00B3398C" w:rsidP="008630D8">
      <w:pPr>
        <w:rPr>
          <w:sz w:val="20"/>
          <w:szCs w:val="20"/>
        </w:rPr>
      </w:pPr>
      <w:r w:rsidRPr="009A7C35">
        <w:rPr>
          <w:sz w:val="20"/>
          <w:szCs w:val="20"/>
        </w:rPr>
        <w:t>Le prix forfaitaire de</w:t>
      </w:r>
      <w:r w:rsidR="004B4750">
        <w:rPr>
          <w:sz w:val="20"/>
          <w:szCs w:val="20"/>
        </w:rPr>
        <w:t xml:space="preserve">s prestations </w:t>
      </w:r>
      <w:r w:rsidRPr="009A7C35">
        <w:rPr>
          <w:sz w:val="20"/>
          <w:szCs w:val="20"/>
        </w:rPr>
        <w:t xml:space="preserve">est de </w:t>
      </w:r>
      <w:r w:rsidR="0009322A" w:rsidRPr="009A7C35">
        <w:rPr>
          <w:b/>
          <w:bCs/>
          <w:color w:val="FF0000"/>
          <w:sz w:val="20"/>
          <w:szCs w:val="20"/>
        </w:rPr>
        <w:t>………</w:t>
      </w:r>
      <w:r w:rsidR="004B4750">
        <w:rPr>
          <w:b/>
          <w:bCs/>
          <w:color w:val="FF0000"/>
          <w:sz w:val="20"/>
          <w:szCs w:val="20"/>
        </w:rPr>
        <w:t>…</w:t>
      </w:r>
      <w:r w:rsidR="0009322A" w:rsidRPr="009A7C35">
        <w:rPr>
          <w:b/>
          <w:bCs/>
          <w:color w:val="FF0000"/>
          <w:sz w:val="20"/>
          <w:szCs w:val="20"/>
        </w:rPr>
        <w:t>…</w:t>
      </w:r>
      <w:r w:rsidRPr="009A7C35">
        <w:rPr>
          <w:sz w:val="20"/>
          <w:szCs w:val="20"/>
        </w:rPr>
        <w:t xml:space="preserve"> € hor</w:t>
      </w:r>
      <w:r w:rsidR="00AA3FDE">
        <w:rPr>
          <w:sz w:val="20"/>
          <w:szCs w:val="20"/>
        </w:rPr>
        <w:t xml:space="preserve">s taxes, soit avec une TVA de </w:t>
      </w:r>
      <w:proofErr w:type="gramStart"/>
      <w:r w:rsidR="00AA3FDE" w:rsidRPr="00707B79">
        <w:rPr>
          <w:b/>
          <w:color w:val="C00000"/>
          <w:sz w:val="20"/>
          <w:szCs w:val="20"/>
        </w:rPr>
        <w:t>…</w:t>
      </w:r>
      <w:r w:rsidR="004B4750">
        <w:rPr>
          <w:b/>
          <w:color w:val="C00000"/>
          <w:sz w:val="20"/>
          <w:szCs w:val="20"/>
        </w:rPr>
        <w:t>….</w:t>
      </w:r>
      <w:proofErr w:type="gramEnd"/>
      <w:r w:rsidR="00AA3FDE" w:rsidRPr="00707B79">
        <w:rPr>
          <w:b/>
          <w:color w:val="C00000"/>
          <w:sz w:val="20"/>
          <w:szCs w:val="20"/>
        </w:rPr>
        <w:t>….</w:t>
      </w:r>
      <w:r w:rsidR="00AA3FDE">
        <w:rPr>
          <w:sz w:val="20"/>
          <w:szCs w:val="20"/>
        </w:rPr>
        <w:t>%</w:t>
      </w:r>
      <w:r w:rsidRPr="009A7C35">
        <w:rPr>
          <w:sz w:val="20"/>
          <w:szCs w:val="20"/>
        </w:rPr>
        <w:t xml:space="preserve"> un prix de </w:t>
      </w:r>
      <w:r w:rsidR="0009322A" w:rsidRPr="00707B79">
        <w:rPr>
          <w:b/>
          <w:bCs/>
          <w:color w:val="C00000"/>
          <w:sz w:val="20"/>
          <w:szCs w:val="20"/>
        </w:rPr>
        <w:t>…</w:t>
      </w:r>
      <w:r w:rsidR="004B4750">
        <w:rPr>
          <w:b/>
          <w:bCs/>
          <w:color w:val="C00000"/>
          <w:sz w:val="20"/>
          <w:szCs w:val="20"/>
        </w:rPr>
        <w:t>….</w:t>
      </w:r>
      <w:r w:rsidR="0009322A" w:rsidRPr="00707B79">
        <w:rPr>
          <w:b/>
          <w:bCs/>
          <w:color w:val="C00000"/>
          <w:sz w:val="20"/>
          <w:szCs w:val="20"/>
        </w:rPr>
        <w:t>……...</w:t>
      </w:r>
      <w:r w:rsidR="00177F31" w:rsidRPr="00707B79">
        <w:rPr>
          <w:color w:val="C00000"/>
          <w:sz w:val="20"/>
          <w:szCs w:val="20"/>
        </w:rPr>
        <w:t xml:space="preserve"> </w:t>
      </w:r>
      <w:r w:rsidRPr="009A7C35">
        <w:rPr>
          <w:sz w:val="20"/>
          <w:szCs w:val="20"/>
        </w:rPr>
        <w:t>€ TTC</w:t>
      </w:r>
      <w:r w:rsidR="0009322A" w:rsidRPr="009A7C35">
        <w:rPr>
          <w:sz w:val="20"/>
          <w:szCs w:val="20"/>
        </w:rPr>
        <w:t>.</w:t>
      </w:r>
    </w:p>
    <w:p w:rsidR="00C27CC1" w:rsidRPr="00992133" w:rsidRDefault="00C27CC1" w:rsidP="008630D8">
      <w:pPr>
        <w:rPr>
          <w:color w:val="FF0000"/>
          <w:sz w:val="20"/>
          <w:szCs w:val="20"/>
        </w:rPr>
      </w:pPr>
    </w:p>
    <w:p w:rsidR="00E37210" w:rsidRDefault="00B3398C" w:rsidP="008630D8">
      <w:pPr>
        <w:rPr>
          <w:sz w:val="20"/>
          <w:szCs w:val="20"/>
        </w:rPr>
      </w:pPr>
      <w:r w:rsidRPr="009A7C35">
        <w:rPr>
          <w:sz w:val="20"/>
          <w:szCs w:val="20"/>
        </w:rPr>
        <w:t xml:space="preserve">Ce </w:t>
      </w:r>
      <w:r w:rsidR="00C27CC1" w:rsidRPr="009A7C35">
        <w:rPr>
          <w:sz w:val="20"/>
          <w:szCs w:val="20"/>
        </w:rPr>
        <w:t>marché</w:t>
      </w:r>
      <w:r w:rsidRPr="009A7C35">
        <w:rPr>
          <w:sz w:val="20"/>
          <w:szCs w:val="20"/>
        </w:rPr>
        <w:t xml:space="preserve"> est conclu à prix</w:t>
      </w:r>
      <w:r w:rsidR="0011179F">
        <w:rPr>
          <w:sz w:val="20"/>
          <w:szCs w:val="20"/>
        </w:rPr>
        <w:t xml:space="preserve"> ferme et définitif.</w:t>
      </w:r>
      <w:r w:rsidR="00C27CC1" w:rsidRPr="009A7C35">
        <w:rPr>
          <w:sz w:val="20"/>
          <w:szCs w:val="20"/>
        </w:rPr>
        <w:t xml:space="preserve"> </w:t>
      </w:r>
    </w:p>
    <w:p w:rsidR="00F23885" w:rsidRPr="009A7C35" w:rsidRDefault="00F23885" w:rsidP="008630D8">
      <w:pPr>
        <w:rPr>
          <w:sz w:val="20"/>
          <w:szCs w:val="20"/>
        </w:rPr>
      </w:pPr>
    </w:p>
    <w:p w:rsidR="00B3398C" w:rsidRPr="009A7C35" w:rsidRDefault="00911DB8" w:rsidP="008630D8">
      <w:pPr>
        <w:pStyle w:val="Titre2"/>
      </w:pPr>
      <w:bookmarkStart w:id="8" w:name="_Toc195108962"/>
      <w:r>
        <w:t>Echéancier</w:t>
      </w:r>
      <w:r w:rsidR="00B3398C" w:rsidRPr="009A7C35">
        <w:t xml:space="preserve"> de paiement</w:t>
      </w:r>
      <w:bookmarkEnd w:id="8"/>
    </w:p>
    <w:p w:rsidR="00B3398C" w:rsidRPr="009A7C35" w:rsidRDefault="00B3398C" w:rsidP="008630D8">
      <w:r w:rsidRPr="009A7C35">
        <w:t>Le paiement des prestations se fait par virement administratif</w:t>
      </w:r>
      <w:r w:rsidR="004B4750">
        <w:t xml:space="preserve"> après validation des études par INRAE.</w:t>
      </w:r>
    </w:p>
    <w:p w:rsidR="005D4468" w:rsidRPr="009A7C35" w:rsidRDefault="005D4468" w:rsidP="005D4468">
      <w:pPr>
        <w:rPr>
          <w:rFonts w:ascii="Arial" w:hAnsi="Arial" w:cs="Arial"/>
          <w:i/>
          <w:color w:val="FF0000"/>
          <w:sz w:val="20"/>
          <w:szCs w:val="20"/>
        </w:rPr>
      </w:pPr>
    </w:p>
    <w:p w:rsidR="00B3398C" w:rsidRPr="009A7C35" w:rsidRDefault="00B3398C" w:rsidP="008630D8">
      <w:pPr>
        <w:pStyle w:val="Titre2"/>
      </w:pPr>
      <w:r w:rsidRPr="009A7C35">
        <w:t xml:space="preserve"> </w:t>
      </w:r>
      <w:bookmarkStart w:id="9" w:name="_Toc195108963"/>
      <w:r w:rsidR="00526614" w:rsidRPr="009A7C35">
        <w:t>M</w:t>
      </w:r>
      <w:r w:rsidRPr="009A7C35">
        <w:t>odalités de paiement</w:t>
      </w:r>
      <w:bookmarkEnd w:id="9"/>
    </w:p>
    <w:p w:rsidR="00B3398C" w:rsidRPr="009A7C35" w:rsidRDefault="00B3398C">
      <w:pPr>
        <w:widowControl w:val="0"/>
        <w:autoSpaceDE w:val="0"/>
        <w:autoSpaceDN w:val="0"/>
        <w:adjustRightInd w:val="0"/>
        <w:spacing w:line="200" w:lineRule="exact"/>
        <w:rPr>
          <w:rFonts w:ascii="Arial" w:hAnsi="Arial" w:cs="Arial"/>
          <w:sz w:val="20"/>
          <w:szCs w:val="20"/>
        </w:rPr>
      </w:pPr>
    </w:p>
    <w:p w:rsidR="00B3398C" w:rsidRDefault="00B3398C" w:rsidP="008630D8">
      <w:r w:rsidRPr="009A7C35">
        <w:t xml:space="preserve">Le règlement du titulaire interviendra selon </w:t>
      </w:r>
      <w:r w:rsidR="00911DB8">
        <w:t>l’échéancier prévu</w:t>
      </w:r>
      <w:r w:rsidR="00AA1ADB">
        <w:t xml:space="preserve"> à l’article 7</w:t>
      </w:r>
      <w:r w:rsidR="00526614" w:rsidRPr="009A7C35">
        <w:t>.</w:t>
      </w:r>
      <w:r w:rsidRPr="009A7C35">
        <w:t xml:space="preserve">2 du présent document. </w:t>
      </w:r>
    </w:p>
    <w:p w:rsidR="00AA1ADB" w:rsidRDefault="00AA1ADB" w:rsidP="008630D8"/>
    <w:p w:rsidR="00CC6995" w:rsidRPr="00CC6995" w:rsidRDefault="00CC6995" w:rsidP="00A0496B">
      <w:r w:rsidRPr="00CC6995">
        <w:t>Conformément à la loi n°2014-1 du 3 janvier 2014 sur la simplification de la vie des entreprises et l’ordonnance n°2014-697 du 26 juin 2014 relative au développement de la facturation électronique, le titulaire ainsi que, le cas échéant, ses cotraitants et ses sous-traitants concernés, doivent transmettre leurs demandes de paiement sur le portail mutualisé de l’Etat Chorus Pro dès lors que cette obligation leur incombe en application des textes précités</w:t>
      </w:r>
      <w:r w:rsidR="00A0496B">
        <w:t>.</w:t>
      </w:r>
    </w:p>
    <w:p w:rsidR="00CC6995" w:rsidRPr="00CC6995" w:rsidRDefault="00CC6995" w:rsidP="00CC6995">
      <w:pPr>
        <w:rPr>
          <w:rFonts w:ascii="Arial" w:hAnsi="Arial" w:cs="Arial"/>
          <w:spacing w:val="4"/>
          <w:sz w:val="20"/>
          <w:szCs w:val="20"/>
        </w:rPr>
      </w:pPr>
    </w:p>
    <w:p w:rsidR="00CC6995" w:rsidRPr="00CC6995" w:rsidRDefault="00CC6995" w:rsidP="008630D8">
      <w:r w:rsidRPr="00CC6995">
        <w:t>A l’heure actuelle, la transmission par le créancier de sa demande de paiement ne peut être prise en compte par l’</w:t>
      </w:r>
      <w:r w:rsidR="00E4467E">
        <w:t>INRAE</w:t>
      </w:r>
      <w:r w:rsidRPr="00CC6995">
        <w:t xml:space="preserve"> que par dépôt au format </w:t>
      </w:r>
      <w:r w:rsidR="00E4467E">
        <w:t>PDF</w:t>
      </w:r>
      <w:r w:rsidR="00AB580E">
        <w:t xml:space="preserve"> </w:t>
      </w:r>
      <w:r w:rsidR="00BC6C36">
        <w:t xml:space="preserve">sur le site </w:t>
      </w:r>
      <w:hyperlink r:id="rId11" w:history="1">
        <w:r w:rsidR="00BC6C36" w:rsidRPr="00BC6C36">
          <w:rPr>
            <w:rStyle w:val="Lienhypertexte"/>
            <w:rFonts w:ascii="Arial" w:hAnsi="Arial" w:cs="Arial"/>
            <w:spacing w:val="4"/>
            <w:sz w:val="20"/>
            <w:szCs w:val="20"/>
          </w:rPr>
          <w:t>https://chorus-pro.gouv.fr</w:t>
        </w:r>
      </w:hyperlink>
      <w:r w:rsidRPr="00CC6995">
        <w:t>.</w:t>
      </w:r>
    </w:p>
    <w:p w:rsidR="00B3398C" w:rsidRPr="009A7C35" w:rsidRDefault="00B3398C" w:rsidP="008630D8">
      <w:r w:rsidRPr="009A7C35">
        <w:t xml:space="preserve">Les factures seront établies en un original selon les règles prévues par la comptabilité publique. Elles comprendront outre les mentions légales, les renseignements suivants : </w:t>
      </w:r>
    </w:p>
    <w:p w:rsidR="00CC6995" w:rsidRDefault="00CC6995" w:rsidP="007632CF">
      <w:pPr>
        <w:pStyle w:val="Paragraphedeliste"/>
        <w:numPr>
          <w:ilvl w:val="0"/>
          <w:numId w:val="2"/>
        </w:numPr>
      </w:pPr>
      <w:r>
        <w:t xml:space="preserve">Le numéro SIRET du centre </w:t>
      </w:r>
      <w:r w:rsidR="00E4467E">
        <w:t>INRAE</w:t>
      </w:r>
      <w:r>
        <w:t xml:space="preserve"> </w:t>
      </w:r>
      <w:r w:rsidR="00BC6C36">
        <w:t>bénéficiaire</w:t>
      </w:r>
    </w:p>
    <w:p w:rsidR="00CC6995" w:rsidRDefault="005D4468" w:rsidP="007632CF">
      <w:pPr>
        <w:pStyle w:val="Paragraphedeliste"/>
        <w:numPr>
          <w:ilvl w:val="0"/>
          <w:numId w:val="2"/>
        </w:numPr>
      </w:pPr>
      <w:r w:rsidRPr="009A7C35">
        <w:t>Le numéro du marché</w:t>
      </w:r>
    </w:p>
    <w:p w:rsidR="00CC6995" w:rsidRDefault="00B3398C" w:rsidP="007632CF">
      <w:pPr>
        <w:pStyle w:val="Paragraphedeliste"/>
        <w:numPr>
          <w:ilvl w:val="0"/>
          <w:numId w:val="2"/>
        </w:numPr>
      </w:pPr>
      <w:r w:rsidRPr="00CC6995">
        <w:t>Les prestations réalisées ou fournitures livrées</w:t>
      </w:r>
    </w:p>
    <w:p w:rsidR="00CC6995" w:rsidRPr="00D93310" w:rsidRDefault="00D93310" w:rsidP="007632CF">
      <w:pPr>
        <w:pStyle w:val="Paragraphedeliste"/>
        <w:numPr>
          <w:ilvl w:val="0"/>
          <w:numId w:val="2"/>
        </w:numPr>
      </w:pPr>
      <w:r w:rsidRPr="00D93310">
        <w:t>Le</w:t>
      </w:r>
      <w:r w:rsidR="00911DB8" w:rsidRPr="00D93310">
        <w:t xml:space="preserve"> numéro du bon de commande</w:t>
      </w:r>
    </w:p>
    <w:p w:rsidR="00CC6995" w:rsidRDefault="00B3398C" w:rsidP="007632CF">
      <w:pPr>
        <w:pStyle w:val="Paragraphedeliste"/>
        <w:numPr>
          <w:ilvl w:val="0"/>
          <w:numId w:val="2"/>
        </w:numPr>
      </w:pPr>
      <w:r w:rsidRPr="00CC6995">
        <w:t>Le montant HT des prestations ou fournitures</w:t>
      </w:r>
    </w:p>
    <w:p w:rsidR="00CC6995" w:rsidRDefault="00B3398C" w:rsidP="007632CF">
      <w:pPr>
        <w:pStyle w:val="Paragraphedeliste"/>
        <w:numPr>
          <w:ilvl w:val="0"/>
          <w:numId w:val="2"/>
        </w:numPr>
      </w:pPr>
      <w:r w:rsidRPr="00CC6995">
        <w:t>Le taux et le montant de la TVA</w:t>
      </w:r>
    </w:p>
    <w:p w:rsidR="00B3398C" w:rsidRPr="00CC6995" w:rsidRDefault="00B3398C" w:rsidP="007632CF">
      <w:pPr>
        <w:pStyle w:val="Paragraphedeliste"/>
        <w:numPr>
          <w:ilvl w:val="0"/>
          <w:numId w:val="2"/>
        </w:numPr>
      </w:pPr>
      <w:r w:rsidRPr="00CC6995">
        <w:t>Le montant total TTC</w:t>
      </w:r>
    </w:p>
    <w:p w:rsidR="00B3398C" w:rsidRPr="009A7C35" w:rsidRDefault="00B3398C">
      <w:pPr>
        <w:rPr>
          <w:rFonts w:ascii="Arial" w:hAnsi="Arial" w:cs="Arial"/>
          <w:spacing w:val="4"/>
          <w:sz w:val="20"/>
          <w:szCs w:val="20"/>
        </w:rPr>
      </w:pPr>
    </w:p>
    <w:p w:rsidR="0011179F" w:rsidRPr="00CC6995" w:rsidRDefault="0011179F" w:rsidP="0011179F">
      <w:r w:rsidRPr="00CC6995">
        <w:t>Conformément aux dispositions de l’article 4.1 du décret n°2016-1478 du 2 novembre 2016 relatif au développement de la facturation électronique, l’utilisation du portail de facturation est exclusive de tout autre mode de transmission.</w:t>
      </w:r>
    </w:p>
    <w:p w:rsidR="0011179F" w:rsidRPr="006A466F" w:rsidRDefault="0011179F" w:rsidP="0011179F">
      <w:pPr>
        <w:rPr>
          <w:color w:val="C00000"/>
        </w:rPr>
      </w:pPr>
      <w:r w:rsidRPr="009A7C35">
        <w:t xml:space="preserve">L’ordonnateur chargé d’émettre le titre de paiement est </w:t>
      </w:r>
      <w:r>
        <w:t>le Président du C</w:t>
      </w:r>
      <w:r w:rsidRPr="009A7C35">
        <w:t>entre</w:t>
      </w:r>
      <w:r>
        <w:t xml:space="preserve"> ou l’Administrateur du Centre-Siège INRAE </w:t>
      </w:r>
      <w:r w:rsidRPr="009A7C35">
        <w:t>de</w:t>
      </w:r>
      <w:r>
        <w:t xml:space="preserve"> Nouvelle Aquitaine-Bordeaux</w:t>
      </w:r>
      <w:r w:rsidRPr="006A466F">
        <w:rPr>
          <w:color w:val="C00000"/>
        </w:rPr>
        <w:t xml:space="preserve"> </w:t>
      </w:r>
    </w:p>
    <w:p w:rsidR="000A175F" w:rsidRDefault="00B3398C" w:rsidP="008630D8">
      <w:r w:rsidRPr="009A7C35">
        <w:t>Le paiement sera effectué par virement administratif au compte indiqué par le titulaire ci-dessous</w:t>
      </w:r>
      <w:r w:rsidR="0011179F">
        <w:t xml:space="preserve"> : </w:t>
      </w:r>
      <w:r w:rsidR="0011179F" w:rsidRPr="002D4D50">
        <w:rPr>
          <w:b/>
          <w:bCs/>
          <w:u w:val="single"/>
        </w:rPr>
        <w:t>joindre un RIB.</w:t>
      </w:r>
    </w:p>
    <w:p w:rsidR="00B3398C" w:rsidRDefault="005D4468" w:rsidP="008630D8">
      <w:r w:rsidRPr="009A7C35">
        <w:t xml:space="preserve">Le délai global de paiement est de </w:t>
      </w:r>
      <w:r w:rsidR="00AA3FDE">
        <w:t>30</w:t>
      </w:r>
      <w:r w:rsidRPr="009A7C35">
        <w:t xml:space="preserve"> jours maximum à compter de la réception de la facture dans les formes prescrites.</w:t>
      </w:r>
    </w:p>
    <w:p w:rsidR="00B3398C" w:rsidRPr="009A7C35" w:rsidRDefault="00B3398C" w:rsidP="008630D8">
      <w:r w:rsidRPr="009A7C35">
        <w:t xml:space="preserve">Le taux des intérêts moratoires est égal au taux d'intérêt de la principale facilité de refinancement appliquée par la Banque centrale européenne à son opération de refinancement principal la plus récente effectuée avant le premier jour </w:t>
      </w:r>
      <w:r w:rsidRPr="009A7C35">
        <w:lastRenderedPageBreak/>
        <w:t xml:space="preserve">de calendrier du semestre de l'année civile au cours duquel les intérêts moratoires ont commencé à </w:t>
      </w:r>
      <w:r w:rsidR="004968F7" w:rsidRPr="009A7C35">
        <w:t xml:space="preserve">courir, majoré de </w:t>
      </w:r>
      <w:r w:rsidR="00AA3FDE">
        <w:t>hui</w:t>
      </w:r>
      <w:r w:rsidR="004968F7" w:rsidRPr="009A7C35">
        <w:t>t points</w:t>
      </w:r>
      <w:r w:rsidRPr="009A7C35">
        <w:t>.</w:t>
      </w:r>
      <w:r w:rsidR="0026288D">
        <w:t xml:space="preserve"> Une indemnité forfaitaire de 40 € correspondant aux frais de recouvrement sera versée.</w:t>
      </w:r>
    </w:p>
    <w:p w:rsidR="00B3398C" w:rsidRPr="009A7C35" w:rsidRDefault="00B3398C" w:rsidP="008630D8">
      <w:r w:rsidRPr="009A7C35">
        <w:t>Le règlement sera effectué au compte ban</w:t>
      </w:r>
      <w:r w:rsidR="005144E6">
        <w:t>caire ou postal indiqué par le t</w:t>
      </w:r>
      <w:r w:rsidRPr="009A7C35">
        <w:t xml:space="preserve">itulaire </w:t>
      </w:r>
      <w:r w:rsidR="00911DB8">
        <w:t>ci-dessus.</w:t>
      </w:r>
    </w:p>
    <w:p w:rsidR="00B3398C" w:rsidRPr="009A7C35" w:rsidRDefault="00B3398C">
      <w:pPr>
        <w:pStyle w:val="Corpsdetexte3"/>
        <w:spacing w:after="0"/>
        <w:rPr>
          <w:rFonts w:ascii="Arial" w:hAnsi="Arial" w:cs="Arial"/>
          <w:spacing w:val="4"/>
          <w:sz w:val="20"/>
          <w:szCs w:val="20"/>
        </w:rPr>
      </w:pPr>
    </w:p>
    <w:p w:rsidR="00B3398C" w:rsidRDefault="00B3398C" w:rsidP="008630D8">
      <w:pPr>
        <w:pStyle w:val="Titre1"/>
      </w:pPr>
      <w:bookmarkStart w:id="10" w:name="_Toc195108964"/>
      <w:r w:rsidRPr="009A7C35">
        <w:t>AVANCE</w:t>
      </w:r>
      <w:bookmarkEnd w:id="10"/>
      <w:r w:rsidRPr="009A7C35">
        <w:t xml:space="preserve"> </w:t>
      </w:r>
    </w:p>
    <w:p w:rsidR="0011179F" w:rsidRPr="008630D8" w:rsidRDefault="004B4750" w:rsidP="0011179F">
      <w:r>
        <w:t>Sans objet</w:t>
      </w:r>
    </w:p>
    <w:p w:rsidR="006D028A" w:rsidRDefault="006D028A" w:rsidP="008630D8"/>
    <w:p w:rsidR="006D028A" w:rsidRDefault="006D028A" w:rsidP="006D028A">
      <w:pPr>
        <w:pStyle w:val="Titre1"/>
      </w:pPr>
      <w:r>
        <w:t xml:space="preserve">     </w:t>
      </w:r>
      <w:bookmarkStart w:id="11" w:name="_Toc195108965"/>
      <w:r>
        <w:t>PENALITES DE RETARD</w:t>
      </w:r>
      <w:bookmarkEnd w:id="11"/>
    </w:p>
    <w:p w:rsidR="00A44887" w:rsidRDefault="00A44887" w:rsidP="00A44887">
      <w:r w:rsidRPr="00036553">
        <w:t>Toute infraction aux clauses et conditions du présent marché donnera lieu à l’application de pénalités telles que prévues à l’article 14.1 du CCAG/</w:t>
      </w:r>
      <w:r w:rsidR="004B4750">
        <w:t>PI</w:t>
      </w:r>
      <w:r w:rsidRPr="00036553">
        <w:t xml:space="preserve">. </w:t>
      </w:r>
    </w:p>
    <w:p w:rsidR="00A44887" w:rsidRDefault="00A44887" w:rsidP="00A44887">
      <w:r>
        <w:t>En cas de retard réitéré, le marché pourra être résilié sans indemnité par le Représentant du Pouvoir Adjudicateur.</w:t>
      </w:r>
    </w:p>
    <w:p w:rsidR="000222BE" w:rsidRPr="006D028A" w:rsidRDefault="000222BE" w:rsidP="006D028A"/>
    <w:p w:rsidR="00303880" w:rsidRDefault="000222BE" w:rsidP="000222BE">
      <w:pPr>
        <w:pStyle w:val="Titre1"/>
      </w:pPr>
      <w:bookmarkStart w:id="12" w:name="_Toc195108966"/>
      <w:r>
        <w:t xml:space="preserve">CLAUSES ENVIRONNEMENTALE ET D’INSERTION       </w:t>
      </w:r>
      <w:r w:rsidRPr="000222BE">
        <w:t>SOCIALE</w:t>
      </w:r>
      <w:bookmarkEnd w:id="12"/>
      <w:r>
        <w:t xml:space="preserve">     </w:t>
      </w:r>
    </w:p>
    <w:p w:rsidR="00770F2B" w:rsidRPr="00E41D8F" w:rsidRDefault="00E41D8F" w:rsidP="000222BE">
      <w:r w:rsidRPr="00E41D8F">
        <w:t>Sans objet</w:t>
      </w:r>
    </w:p>
    <w:p w:rsidR="00D25A0C" w:rsidRPr="00D25A0C" w:rsidRDefault="00D25A0C" w:rsidP="000222BE">
      <w:pPr>
        <w:rPr>
          <w:color w:val="FF0000"/>
          <w:sz w:val="32"/>
          <w:szCs w:val="32"/>
        </w:rPr>
      </w:pPr>
    </w:p>
    <w:p w:rsidR="00D25A0C" w:rsidRDefault="00D25A0C" w:rsidP="00D25A0C">
      <w:pPr>
        <w:pStyle w:val="Titre1"/>
      </w:pPr>
      <w:bookmarkStart w:id="13" w:name="_Toc195108967"/>
      <w:r w:rsidRPr="00D25A0C">
        <w:t>PROTECTION DES DONNES A CARACTERE PERSONNEL</w:t>
      </w:r>
      <w:bookmarkEnd w:id="13"/>
      <w:r w:rsidRPr="00D25A0C">
        <w:t xml:space="preserve"> </w:t>
      </w:r>
    </w:p>
    <w:p w:rsidR="0086249B" w:rsidRPr="009A7C35" w:rsidRDefault="0086249B" w:rsidP="0086249B">
      <w:pPr>
        <w:widowControl w:val="0"/>
        <w:autoSpaceDE w:val="0"/>
        <w:autoSpaceDN w:val="0"/>
        <w:adjustRightInd w:val="0"/>
        <w:spacing w:line="200" w:lineRule="exact"/>
        <w:rPr>
          <w:rFonts w:ascii="Arial" w:hAnsi="Arial" w:cs="Arial"/>
          <w:sz w:val="20"/>
          <w:szCs w:val="20"/>
        </w:rPr>
      </w:pPr>
    </w:p>
    <w:p w:rsidR="0086249B" w:rsidRPr="00853264" w:rsidRDefault="0086249B" w:rsidP="007632CF">
      <w:pPr>
        <w:keepNext/>
        <w:numPr>
          <w:ilvl w:val="1"/>
          <w:numId w:val="3"/>
        </w:numPr>
        <w:tabs>
          <w:tab w:val="num" w:pos="360"/>
          <w:tab w:val="num" w:pos="576"/>
        </w:tabs>
        <w:spacing w:before="240" w:after="60"/>
        <w:ind w:left="576" w:hanging="576"/>
        <w:jc w:val="left"/>
        <w:outlineLvl w:val="1"/>
        <w:rPr>
          <w:rFonts w:ascii="Arial Narrow" w:eastAsia="Times New Roman" w:hAnsi="Arial Narrow" w:cs="Times New Roman"/>
          <w:bCs/>
          <w:iCs/>
          <w:color w:val="33CCCC"/>
          <w:sz w:val="24"/>
          <w:szCs w:val="28"/>
          <w:lang w:val="x-none" w:eastAsia="x-none"/>
        </w:rPr>
      </w:pPr>
      <w:bookmarkStart w:id="14" w:name="_Toc31886504"/>
      <w:bookmarkStart w:id="15" w:name="_Toc195108968"/>
      <w:r w:rsidRPr="00853264">
        <w:rPr>
          <w:rFonts w:ascii="Arial Narrow" w:eastAsia="Times New Roman" w:hAnsi="Arial Narrow" w:cs="Times New Roman"/>
          <w:bCs/>
          <w:iCs/>
          <w:color w:val="33CCCC"/>
          <w:sz w:val="24"/>
          <w:szCs w:val="28"/>
          <w:lang w:val="x-none" w:eastAsia="x-none"/>
        </w:rPr>
        <w:t>EXIGENCES REGLEMENTAIRES DE CONFIDENTIALITE ET SECURISATION DES DONNEES APPLICABLES AU TITULAIRE ET SES SOUS-TRAITANTS</w:t>
      </w:r>
      <w:bookmarkEnd w:id="14"/>
      <w:bookmarkEnd w:id="15"/>
    </w:p>
    <w:p w:rsidR="0086249B" w:rsidRPr="00853264" w:rsidRDefault="0086249B" w:rsidP="0086249B">
      <w:pPr>
        <w:spacing w:before="0" w:after="0"/>
        <w:rPr>
          <w:rFonts w:ascii="Calibri" w:eastAsia="Times New Roman" w:hAnsi="Calibri" w:cs="Calibri"/>
          <w:sz w:val="20"/>
          <w:lang w:eastAsia="fr-FR"/>
        </w:rPr>
      </w:pPr>
    </w:p>
    <w:p w:rsidR="0086249B" w:rsidRPr="00853264" w:rsidRDefault="0086249B" w:rsidP="0086249B">
      <w:pPr>
        <w:spacing w:before="0" w:after="0"/>
      </w:pPr>
      <w:r w:rsidRPr="00853264">
        <w:t xml:space="preserve">L’offre du titulaire respecte les obligations posées par le CCAP. De plus, la gestion des données doit répondre aux exigences posées par le règlement européen sur les données personnelles, l'ANSSI et la DINUM. </w:t>
      </w:r>
    </w:p>
    <w:p w:rsidR="0086249B" w:rsidRPr="00853264" w:rsidRDefault="0086249B" w:rsidP="0086249B">
      <w:pPr>
        <w:spacing w:before="0" w:after="0"/>
      </w:pPr>
    </w:p>
    <w:p w:rsidR="0086249B" w:rsidRPr="00853264" w:rsidRDefault="0086249B" w:rsidP="0086249B">
      <w:pPr>
        <w:spacing w:before="0" w:after="0"/>
      </w:pPr>
      <w:r w:rsidRPr="00853264">
        <w:t>La prestation doit être conforme aux référentiels ainsi qu'au règlement et doit évoluer conformément à leurs éventuelles révisions :</w:t>
      </w:r>
    </w:p>
    <w:p w:rsidR="0086249B" w:rsidRPr="00853264" w:rsidRDefault="0086249B" w:rsidP="0086249B">
      <w:pPr>
        <w:spacing w:before="0" w:after="0"/>
        <w:rPr>
          <w:rFonts w:ascii="Calibri" w:eastAsia="Times New Roman" w:hAnsi="Calibri" w:cs="Times New Roman"/>
          <w:sz w:val="20"/>
          <w:szCs w:val="20"/>
          <w:lang w:eastAsia="fr-FR"/>
        </w:rPr>
      </w:pPr>
      <w:r w:rsidRPr="00853264">
        <w:rPr>
          <w:rFonts w:ascii="Calibri" w:eastAsia="Times New Roman" w:hAnsi="Calibri" w:cs="Times New Roman"/>
          <w:sz w:val="20"/>
          <w:szCs w:val="20"/>
          <w:lang w:eastAsia="fr-FR"/>
        </w:rPr>
        <w:t> </w:t>
      </w:r>
    </w:p>
    <w:p w:rsidR="0086249B" w:rsidRPr="00853264" w:rsidRDefault="0086249B" w:rsidP="007632CF">
      <w:pPr>
        <w:numPr>
          <w:ilvl w:val="2"/>
          <w:numId w:val="3"/>
        </w:numPr>
        <w:tabs>
          <w:tab w:val="num" w:pos="360"/>
        </w:tabs>
        <w:autoSpaceDE w:val="0"/>
        <w:autoSpaceDN w:val="0"/>
        <w:adjustRightInd w:val="0"/>
        <w:spacing w:before="0" w:after="0"/>
        <w:ind w:left="720" w:firstLine="0"/>
        <w:contextualSpacing/>
        <w:jc w:val="left"/>
        <w:outlineLvl w:val="2"/>
        <w:rPr>
          <w:rFonts w:ascii="Arial Narrow" w:eastAsia="Calibri" w:hAnsi="Arial Narrow" w:cs="Times-Roman"/>
          <w:color w:val="33CCCC"/>
          <w:sz w:val="20"/>
          <w:szCs w:val="18"/>
        </w:rPr>
      </w:pPr>
      <w:bookmarkStart w:id="16" w:name="_Toc31886505"/>
      <w:bookmarkStart w:id="17" w:name="_Toc195108969"/>
      <w:r w:rsidRPr="00853264">
        <w:rPr>
          <w:rFonts w:ascii="Arial Narrow" w:eastAsia="Calibri" w:hAnsi="Arial Narrow" w:cs="Times-Roman"/>
          <w:color w:val="33CCCC"/>
          <w:sz w:val="20"/>
          <w:szCs w:val="18"/>
        </w:rPr>
        <w:t>Conformité au RGI</w:t>
      </w:r>
      <w:bookmarkEnd w:id="16"/>
      <w:bookmarkEnd w:id="17"/>
    </w:p>
    <w:p w:rsidR="0086249B" w:rsidRPr="00853264" w:rsidRDefault="0086249B" w:rsidP="0086249B">
      <w:pPr>
        <w:spacing w:before="0" w:after="0"/>
        <w:rPr>
          <w:rFonts w:ascii="Calibri" w:eastAsia="Times New Roman" w:hAnsi="Calibri" w:cs="Calibri"/>
          <w:color w:val="33CCCC"/>
          <w:sz w:val="20"/>
          <w:lang w:eastAsia="fr-FR"/>
        </w:rPr>
      </w:pPr>
      <w:r w:rsidRPr="00853264">
        <w:rPr>
          <w:rFonts w:ascii="Calibri" w:eastAsia="Times New Roman" w:hAnsi="Calibri" w:cs="Calibri"/>
          <w:color w:val="33CCCC"/>
          <w:sz w:val="20"/>
          <w:lang w:eastAsia="fr-FR"/>
        </w:rPr>
        <w:t xml:space="preserve"> </w:t>
      </w:r>
    </w:p>
    <w:p w:rsidR="0086249B" w:rsidRPr="00853264" w:rsidRDefault="0086249B" w:rsidP="0086249B">
      <w:pPr>
        <w:spacing w:before="0" w:after="0"/>
      </w:pPr>
      <w:r w:rsidRPr="00853264">
        <w:t xml:space="preserve">Le référentiel général d'interopérabilité fixe les règles techniques permettant d’assurer l’interopérabilité des systèmes d’information. Il détermine notamment les répertoires de données, les normes et les standards qui doivent être utilisés par les autorités administratives. </w:t>
      </w:r>
    </w:p>
    <w:p w:rsidR="0086249B" w:rsidRPr="00853264" w:rsidRDefault="0086249B" w:rsidP="0086249B">
      <w:pPr>
        <w:spacing w:before="0" w:after="0"/>
      </w:pPr>
    </w:p>
    <w:p w:rsidR="0086249B" w:rsidRPr="00853264" w:rsidRDefault="0086249B" w:rsidP="0086249B">
      <w:pPr>
        <w:spacing w:before="0" w:after="0"/>
      </w:pPr>
      <w:r w:rsidRPr="00853264">
        <w:t>La dernière version du RGI figure dans l'arrêté en date du 20 avril 2016. (JORF n°0095 du 22 avril 2016 texte n° 1)</w:t>
      </w:r>
    </w:p>
    <w:p w:rsidR="0086249B" w:rsidRPr="00853264" w:rsidRDefault="0086249B" w:rsidP="0086249B">
      <w:pPr>
        <w:spacing w:before="0" w:after="0"/>
      </w:pPr>
    </w:p>
    <w:p w:rsidR="0086249B" w:rsidRPr="00853264" w:rsidRDefault="0086249B" w:rsidP="0086249B">
      <w:pPr>
        <w:spacing w:before="0" w:after="0"/>
      </w:pPr>
      <w:r w:rsidRPr="00853264">
        <w:t>Informations concernant le RGI :</w:t>
      </w:r>
    </w:p>
    <w:p w:rsidR="0086249B" w:rsidRPr="00853264" w:rsidRDefault="00315C12" w:rsidP="0086249B">
      <w:pPr>
        <w:spacing w:before="0" w:after="0"/>
        <w:jc w:val="left"/>
        <w:rPr>
          <w:rFonts w:ascii="Calibri" w:eastAsia="Times New Roman" w:hAnsi="Calibri" w:cs="Calibri"/>
          <w:sz w:val="20"/>
          <w:lang w:eastAsia="fr-FR"/>
        </w:rPr>
      </w:pPr>
      <w:hyperlink r:id="rId12" w:history="1">
        <w:r w:rsidR="0086249B" w:rsidRPr="00853264">
          <w:rPr>
            <w:rFonts w:ascii="Calibri" w:eastAsia="Times New Roman" w:hAnsi="Calibri" w:cs="Calibri"/>
            <w:color w:val="0563C1"/>
            <w:sz w:val="20"/>
            <w:u w:val="single"/>
            <w:lang w:eastAsia="fr-FR"/>
          </w:rPr>
          <w:t>http://references.modernisation.gouv.fr/interoperabilite</w:t>
        </w:r>
      </w:hyperlink>
    </w:p>
    <w:p w:rsidR="0086249B" w:rsidRPr="00853264" w:rsidRDefault="0086249B" w:rsidP="0086249B">
      <w:pPr>
        <w:spacing w:before="0" w:after="0"/>
        <w:rPr>
          <w:rFonts w:ascii="Calibri" w:eastAsia="Times New Roman" w:hAnsi="Calibri" w:cs="Times New Roman"/>
          <w:sz w:val="20"/>
          <w:szCs w:val="20"/>
          <w:lang w:eastAsia="fr-FR"/>
        </w:rPr>
      </w:pPr>
      <w:r w:rsidRPr="00853264">
        <w:rPr>
          <w:rFonts w:ascii="Calibri" w:eastAsia="Times New Roman" w:hAnsi="Calibri" w:cs="Times New Roman"/>
          <w:sz w:val="20"/>
          <w:szCs w:val="20"/>
          <w:lang w:eastAsia="fr-FR"/>
        </w:rPr>
        <w:t> </w:t>
      </w:r>
    </w:p>
    <w:p w:rsidR="0086249B" w:rsidRPr="00853264" w:rsidRDefault="0086249B" w:rsidP="007632CF">
      <w:pPr>
        <w:numPr>
          <w:ilvl w:val="2"/>
          <w:numId w:val="3"/>
        </w:numPr>
        <w:tabs>
          <w:tab w:val="num" w:pos="360"/>
        </w:tabs>
        <w:autoSpaceDE w:val="0"/>
        <w:autoSpaceDN w:val="0"/>
        <w:adjustRightInd w:val="0"/>
        <w:spacing w:before="0" w:after="0"/>
        <w:ind w:left="720" w:firstLine="0"/>
        <w:contextualSpacing/>
        <w:jc w:val="left"/>
        <w:outlineLvl w:val="2"/>
        <w:rPr>
          <w:rFonts w:ascii="Arial Narrow" w:eastAsia="Calibri" w:hAnsi="Arial Narrow" w:cs="Times-Roman"/>
          <w:color w:val="33CCCC"/>
          <w:sz w:val="20"/>
          <w:szCs w:val="18"/>
        </w:rPr>
      </w:pPr>
      <w:bookmarkStart w:id="18" w:name="_Toc195108970"/>
      <w:bookmarkStart w:id="19" w:name="_Toc31886506"/>
      <w:r w:rsidRPr="00853264">
        <w:rPr>
          <w:rFonts w:ascii="Arial Narrow" w:eastAsia="Calibri" w:hAnsi="Arial Narrow" w:cs="Times-Roman"/>
          <w:color w:val="33CCCC"/>
          <w:sz w:val="20"/>
          <w:szCs w:val="18"/>
        </w:rPr>
        <w:t>Conformité au RGAA</w:t>
      </w:r>
      <w:bookmarkEnd w:id="18"/>
      <w:r w:rsidRPr="00853264">
        <w:rPr>
          <w:rFonts w:ascii="Arial Narrow" w:eastAsia="Calibri" w:hAnsi="Arial Narrow" w:cs="Times-Roman"/>
          <w:color w:val="33CCCC"/>
          <w:sz w:val="20"/>
          <w:szCs w:val="18"/>
        </w:rPr>
        <w:t xml:space="preserve"> </w:t>
      </w:r>
      <w:bookmarkEnd w:id="19"/>
    </w:p>
    <w:p w:rsidR="0086249B" w:rsidRPr="00853264" w:rsidRDefault="0086249B" w:rsidP="0086249B">
      <w:pPr>
        <w:spacing w:before="0" w:after="0"/>
        <w:rPr>
          <w:rFonts w:ascii="Calibri" w:eastAsia="Times New Roman" w:hAnsi="Calibri" w:cs="Calibri"/>
          <w:sz w:val="20"/>
          <w:lang w:eastAsia="fr-FR"/>
        </w:rPr>
      </w:pPr>
    </w:p>
    <w:p w:rsidR="0086249B" w:rsidRPr="00853264" w:rsidRDefault="0086249B" w:rsidP="0086249B">
      <w:pPr>
        <w:spacing w:before="0" w:after="0"/>
      </w:pPr>
      <w:r w:rsidRPr="00853264">
        <w:lastRenderedPageBreak/>
        <w:t xml:space="preserve">L’article 47 de la loi n° 2005-102 du 11 février 2005 pour l’égalité des droits et des chances, la participation et la citoyenneté des personnes handicapées fait de l’accessibilité une exigence pour tous les services de communication publique en ligne de l’État, les collectivités territoriales et les établissements publics qui en dépendent. Il stipule que les informations diffusées par ces services doivent être accessibles à tous. </w:t>
      </w:r>
    </w:p>
    <w:p w:rsidR="0086249B" w:rsidRPr="00853264" w:rsidRDefault="0086249B" w:rsidP="0086249B">
      <w:pPr>
        <w:spacing w:before="0" w:after="0"/>
      </w:pPr>
      <w:r w:rsidRPr="00853264">
        <w:t xml:space="preserve">Le RGAA, à forte dimension technique, propose une traduction opérationnelle des critères d’accessibilité issus des règles internationales ainsi qu’une méthodologie pour vérifier la conformité à ces critères. </w:t>
      </w:r>
    </w:p>
    <w:p w:rsidR="0086249B" w:rsidRPr="00853264" w:rsidRDefault="0086249B" w:rsidP="0086249B">
      <w:pPr>
        <w:spacing w:before="0" w:after="0"/>
      </w:pPr>
    </w:p>
    <w:p w:rsidR="0086249B" w:rsidRPr="00853264" w:rsidRDefault="0086249B" w:rsidP="0086249B">
      <w:pPr>
        <w:spacing w:before="0" w:after="0"/>
      </w:pPr>
      <w:r w:rsidRPr="00853264">
        <w:t xml:space="preserve">La version 3.0 du RGAA a été approuvée par l’arrêté du 29 avril 2015. </w:t>
      </w:r>
    </w:p>
    <w:p w:rsidR="0086249B" w:rsidRPr="00853264" w:rsidRDefault="0086249B" w:rsidP="0086249B">
      <w:pPr>
        <w:spacing w:before="0" w:after="0"/>
      </w:pPr>
    </w:p>
    <w:p w:rsidR="0086249B" w:rsidRPr="00853264" w:rsidRDefault="0086249B" w:rsidP="0086249B">
      <w:pPr>
        <w:spacing w:before="0" w:after="0"/>
      </w:pPr>
      <w:r w:rsidRPr="00853264">
        <w:t xml:space="preserve">Informations concernant le RGAA : </w:t>
      </w:r>
    </w:p>
    <w:p w:rsidR="0086249B" w:rsidRPr="00853264" w:rsidRDefault="00315C12" w:rsidP="0086249B">
      <w:pPr>
        <w:spacing w:before="0" w:after="0"/>
        <w:jc w:val="left"/>
        <w:rPr>
          <w:rFonts w:ascii="Calibri" w:eastAsia="Times New Roman" w:hAnsi="Calibri" w:cs="Calibri"/>
          <w:color w:val="0563C1"/>
          <w:sz w:val="20"/>
          <w:u w:val="single"/>
          <w:lang w:eastAsia="fr-FR"/>
        </w:rPr>
      </w:pPr>
      <w:hyperlink r:id="rId13" w:history="1">
        <w:r w:rsidR="0086249B" w:rsidRPr="00853264">
          <w:rPr>
            <w:rFonts w:ascii="Calibri" w:eastAsia="Times New Roman" w:hAnsi="Calibri" w:cs="Calibri"/>
            <w:color w:val="0563C1"/>
            <w:sz w:val="20"/>
            <w:u w:val="single"/>
            <w:lang w:eastAsia="fr-FR"/>
          </w:rPr>
          <w:t>http://references.modernisation.gouv.fr/referentiel/</w:t>
        </w:r>
      </w:hyperlink>
    </w:p>
    <w:p w:rsidR="0086249B" w:rsidRPr="00853264" w:rsidRDefault="0086249B" w:rsidP="0086249B">
      <w:pPr>
        <w:spacing w:before="0" w:after="0"/>
        <w:jc w:val="left"/>
        <w:rPr>
          <w:rFonts w:ascii="Calibri" w:eastAsia="Times New Roman" w:hAnsi="Calibri" w:cs="Calibri"/>
          <w:sz w:val="20"/>
          <w:lang w:eastAsia="fr-FR"/>
        </w:rPr>
      </w:pPr>
    </w:p>
    <w:p w:rsidR="0086249B" w:rsidRPr="00853264" w:rsidRDefault="0086249B" w:rsidP="0086249B">
      <w:pPr>
        <w:spacing w:before="0" w:after="0"/>
        <w:rPr>
          <w:rFonts w:ascii="Calibri" w:eastAsia="Times New Roman" w:hAnsi="Calibri" w:cs="Times New Roman"/>
          <w:sz w:val="20"/>
          <w:szCs w:val="20"/>
          <w:lang w:eastAsia="fr-FR"/>
        </w:rPr>
      </w:pPr>
      <w:r w:rsidRPr="00853264">
        <w:rPr>
          <w:rFonts w:ascii="Calibri" w:eastAsia="Times New Roman" w:hAnsi="Calibri" w:cs="Times New Roman"/>
          <w:sz w:val="20"/>
          <w:szCs w:val="20"/>
          <w:lang w:eastAsia="fr-FR"/>
        </w:rPr>
        <w:t> </w:t>
      </w:r>
    </w:p>
    <w:p w:rsidR="0086249B" w:rsidRPr="00853264" w:rsidRDefault="0086249B" w:rsidP="007632CF">
      <w:pPr>
        <w:numPr>
          <w:ilvl w:val="2"/>
          <w:numId w:val="3"/>
        </w:numPr>
        <w:tabs>
          <w:tab w:val="num" w:pos="360"/>
        </w:tabs>
        <w:autoSpaceDE w:val="0"/>
        <w:autoSpaceDN w:val="0"/>
        <w:adjustRightInd w:val="0"/>
        <w:spacing w:before="0" w:after="0"/>
        <w:ind w:left="720" w:firstLine="0"/>
        <w:contextualSpacing/>
        <w:jc w:val="left"/>
        <w:outlineLvl w:val="2"/>
        <w:rPr>
          <w:rFonts w:ascii="Arial Narrow" w:eastAsia="Calibri" w:hAnsi="Arial Narrow" w:cs="Times-Roman"/>
          <w:color w:val="33CCCC"/>
          <w:sz w:val="20"/>
          <w:szCs w:val="18"/>
        </w:rPr>
      </w:pPr>
      <w:bookmarkStart w:id="20" w:name="_Toc31886507"/>
      <w:bookmarkStart w:id="21" w:name="_Toc195108971"/>
      <w:r w:rsidRPr="00853264">
        <w:rPr>
          <w:rFonts w:ascii="Arial Narrow" w:eastAsia="Calibri" w:hAnsi="Arial Narrow" w:cs="Times-Roman"/>
          <w:color w:val="33CCCC"/>
          <w:sz w:val="20"/>
          <w:szCs w:val="18"/>
        </w:rPr>
        <w:t>Conformité au RGS</w:t>
      </w:r>
      <w:bookmarkEnd w:id="20"/>
      <w:bookmarkEnd w:id="21"/>
    </w:p>
    <w:p w:rsidR="0086249B" w:rsidRPr="00853264" w:rsidRDefault="0086249B" w:rsidP="0086249B">
      <w:pPr>
        <w:spacing w:before="0" w:after="0"/>
        <w:rPr>
          <w:rFonts w:ascii="Calibri" w:eastAsia="Times New Roman" w:hAnsi="Calibri" w:cs="Calibri"/>
          <w:sz w:val="20"/>
          <w:lang w:eastAsia="fr-FR"/>
        </w:rPr>
      </w:pPr>
    </w:p>
    <w:p w:rsidR="0086249B" w:rsidRPr="00853264" w:rsidRDefault="0086249B" w:rsidP="0086249B">
      <w:pPr>
        <w:spacing w:before="0" w:after="0"/>
      </w:pPr>
      <w:r w:rsidRPr="00853264">
        <w:t xml:space="preserve">Le référentiel général de sécurité est pris en application du décret n° 2010-112 du 2 février 2010 pris pour l’application des articles 9, 10 et 12 de l’ordonnance n° 2005-1516 du 8 décembre 2005 relative aux échanges électroniques entre les usagers et les autorités administratives. </w:t>
      </w:r>
    </w:p>
    <w:p w:rsidR="0086249B" w:rsidRPr="00853264" w:rsidRDefault="0086249B" w:rsidP="0086249B">
      <w:pPr>
        <w:spacing w:before="0" w:after="0"/>
      </w:pPr>
      <w:r w:rsidRPr="00853264">
        <w:t xml:space="preserve">La solution doit respecter les recommandations du RGS et particulièrement parmi celles-ci : </w:t>
      </w:r>
    </w:p>
    <w:p w:rsidR="0086249B" w:rsidRPr="00853264" w:rsidRDefault="0086249B" w:rsidP="0086249B">
      <w:pPr>
        <w:spacing w:before="0" w:after="0"/>
      </w:pPr>
      <w:r w:rsidRPr="00853264">
        <w:t>Une obligation de chiffrement des flux de données entre l’INRAE et le prestataire ainsi que ses sous-traitants éventuels,</w:t>
      </w:r>
    </w:p>
    <w:p w:rsidR="0086249B" w:rsidRPr="00853264" w:rsidRDefault="0086249B" w:rsidP="0086249B">
      <w:pPr>
        <w:spacing w:before="0" w:after="0"/>
      </w:pPr>
      <w:r w:rsidRPr="00853264">
        <w:t xml:space="preserve">Une recommandation de chiffrement du serveur qui stockera les données INRAE chez le prestataire. Cette fonctionnalité non-obligatoire est chiffrée le cas échéant dans le bordereau des prix du titulaire dans l'hypothèse où elle n'est pas prévue en standard dans la solution. </w:t>
      </w:r>
    </w:p>
    <w:p w:rsidR="0086249B" w:rsidRPr="00853264" w:rsidRDefault="0086249B" w:rsidP="0086249B">
      <w:pPr>
        <w:spacing w:before="0" w:after="0"/>
      </w:pPr>
    </w:p>
    <w:p w:rsidR="0086249B" w:rsidRPr="00853264" w:rsidRDefault="0086249B" w:rsidP="0086249B">
      <w:pPr>
        <w:spacing w:before="0" w:after="0"/>
      </w:pPr>
      <w:r w:rsidRPr="00853264">
        <w:t>Informations concernant le RGS :</w:t>
      </w:r>
    </w:p>
    <w:p w:rsidR="0086249B" w:rsidRPr="00853264" w:rsidRDefault="00315C12" w:rsidP="0086249B">
      <w:pPr>
        <w:spacing w:before="0" w:after="0"/>
        <w:rPr>
          <w:rFonts w:ascii="Calibri" w:eastAsia="Times New Roman" w:hAnsi="Calibri" w:cs="Calibri"/>
          <w:color w:val="0563C1"/>
          <w:sz w:val="20"/>
          <w:u w:val="single"/>
          <w:lang w:eastAsia="fr-FR"/>
        </w:rPr>
      </w:pPr>
      <w:hyperlink r:id="rId14" w:history="1">
        <w:r w:rsidR="0086249B" w:rsidRPr="00853264">
          <w:rPr>
            <w:rFonts w:ascii="Calibri" w:eastAsia="Times New Roman" w:hAnsi="Calibri" w:cs="Calibri"/>
            <w:color w:val="0563C1"/>
            <w:sz w:val="20"/>
            <w:u w:val="single"/>
            <w:lang w:eastAsia="fr-FR"/>
          </w:rPr>
          <w:t>http://www.ssi.gouv.fr/administration/reglementation/confiance-numerique/le-referentiel-general-de-securite-rgs/</w:t>
        </w:r>
      </w:hyperlink>
    </w:p>
    <w:p w:rsidR="0086249B" w:rsidRPr="00853264" w:rsidRDefault="0086249B" w:rsidP="0086249B">
      <w:pPr>
        <w:spacing w:before="0" w:after="0"/>
        <w:rPr>
          <w:rFonts w:ascii="Calibri" w:eastAsia="Times New Roman" w:hAnsi="Calibri" w:cs="Calibri"/>
          <w:sz w:val="20"/>
          <w:lang w:eastAsia="fr-FR"/>
        </w:rPr>
      </w:pPr>
    </w:p>
    <w:p w:rsidR="0086249B" w:rsidRPr="00853264" w:rsidRDefault="0086249B" w:rsidP="0086249B">
      <w:pPr>
        <w:spacing w:before="0" w:after="0"/>
        <w:rPr>
          <w:rFonts w:ascii="Calibri" w:eastAsia="Times New Roman" w:hAnsi="Calibri" w:cs="Calibri"/>
          <w:sz w:val="20"/>
          <w:lang w:eastAsia="fr-FR"/>
        </w:rPr>
      </w:pPr>
    </w:p>
    <w:p w:rsidR="0086249B" w:rsidRPr="00853264" w:rsidRDefault="0086249B" w:rsidP="0086249B">
      <w:pPr>
        <w:spacing w:before="0" w:after="0"/>
        <w:rPr>
          <w:rFonts w:ascii="Calibri" w:eastAsia="Times New Roman" w:hAnsi="Calibri" w:cs="Calibri"/>
          <w:sz w:val="20"/>
          <w:lang w:eastAsia="fr-FR"/>
        </w:rPr>
      </w:pPr>
    </w:p>
    <w:p w:rsidR="0086249B" w:rsidRPr="00853264" w:rsidRDefault="0086249B" w:rsidP="007632CF">
      <w:pPr>
        <w:numPr>
          <w:ilvl w:val="2"/>
          <w:numId w:val="3"/>
        </w:numPr>
        <w:tabs>
          <w:tab w:val="num" w:pos="360"/>
        </w:tabs>
        <w:autoSpaceDE w:val="0"/>
        <w:autoSpaceDN w:val="0"/>
        <w:adjustRightInd w:val="0"/>
        <w:spacing w:before="0" w:after="0"/>
        <w:ind w:left="720" w:firstLine="0"/>
        <w:contextualSpacing/>
        <w:jc w:val="left"/>
        <w:outlineLvl w:val="2"/>
        <w:rPr>
          <w:rFonts w:ascii="Arial Narrow" w:eastAsia="Calibri" w:hAnsi="Arial Narrow" w:cs="Times-Roman"/>
          <w:color w:val="33CCCC"/>
          <w:sz w:val="20"/>
          <w:szCs w:val="18"/>
        </w:rPr>
      </w:pPr>
      <w:bookmarkStart w:id="22" w:name="_Toc31886508"/>
      <w:bookmarkStart w:id="23" w:name="_Toc195108972"/>
      <w:r w:rsidRPr="00853264">
        <w:rPr>
          <w:rFonts w:ascii="Arial Narrow" w:eastAsia="Calibri" w:hAnsi="Arial Narrow" w:cs="Times-Roman"/>
          <w:color w:val="33CCCC"/>
          <w:sz w:val="20"/>
          <w:szCs w:val="18"/>
        </w:rPr>
        <w:t>Conformité à la PSSIE</w:t>
      </w:r>
      <w:bookmarkEnd w:id="22"/>
      <w:bookmarkEnd w:id="23"/>
    </w:p>
    <w:p w:rsidR="0086249B" w:rsidRPr="00853264" w:rsidRDefault="0086249B" w:rsidP="0086249B">
      <w:pPr>
        <w:spacing w:before="0" w:after="0"/>
        <w:ind w:left="792"/>
        <w:jc w:val="left"/>
        <w:rPr>
          <w:rFonts w:ascii="Arial" w:eastAsia="Times New Roman" w:hAnsi="Arial" w:cs="Times New Roman"/>
          <w:sz w:val="24"/>
          <w:szCs w:val="20"/>
          <w:lang w:eastAsia="fr-FR"/>
        </w:rPr>
      </w:pPr>
    </w:p>
    <w:p w:rsidR="0086249B" w:rsidRPr="00853264" w:rsidRDefault="0086249B" w:rsidP="0086249B">
      <w:pPr>
        <w:spacing w:before="0" w:after="0"/>
      </w:pPr>
      <w:r w:rsidRPr="00853264">
        <w:t>La Politique de Sécurité des Systèmes d’information de l’Etat est entrée en vigueur le 19/08/2014, qui fixe les règles de protection applicables aux systèmes d’information de l’Etat.</w:t>
      </w:r>
    </w:p>
    <w:p w:rsidR="0086249B" w:rsidRPr="00853264" w:rsidRDefault="0086249B" w:rsidP="0086249B">
      <w:pPr>
        <w:spacing w:before="0" w:after="0"/>
      </w:pPr>
    </w:p>
    <w:p w:rsidR="0086249B" w:rsidRPr="00853264" w:rsidRDefault="0086249B" w:rsidP="0086249B">
      <w:pPr>
        <w:spacing w:before="0" w:after="0"/>
      </w:pPr>
      <w:r w:rsidRPr="00853264">
        <w:t>Informations concernant la PSSIE :</w:t>
      </w:r>
    </w:p>
    <w:p w:rsidR="0086249B" w:rsidRPr="00853264" w:rsidRDefault="00315C12" w:rsidP="0086249B">
      <w:pPr>
        <w:spacing w:before="0" w:after="0"/>
        <w:rPr>
          <w:rFonts w:ascii="Calibri" w:eastAsia="Times New Roman" w:hAnsi="Calibri" w:cs="Calibri"/>
          <w:sz w:val="20"/>
          <w:lang w:eastAsia="fr-FR"/>
        </w:rPr>
      </w:pPr>
      <w:hyperlink r:id="rId15" w:history="1">
        <w:r w:rsidR="0086249B" w:rsidRPr="00853264">
          <w:rPr>
            <w:rFonts w:ascii="Calibri" w:eastAsia="Times New Roman" w:hAnsi="Calibri" w:cs="Calibri"/>
            <w:color w:val="0563C1"/>
            <w:sz w:val="20"/>
            <w:u w:val="single"/>
            <w:lang w:eastAsia="fr-FR"/>
          </w:rPr>
          <w:t>https://www.ssi.gouv.fr/entreprise/reglementation/protection-des-systemes-dinformations/la-politique-de-securite-des-systemes-dinformation-de-letat-pssie/</w:t>
        </w:r>
      </w:hyperlink>
    </w:p>
    <w:p w:rsidR="0086249B" w:rsidRPr="00853264" w:rsidRDefault="0086249B" w:rsidP="0086249B">
      <w:pPr>
        <w:spacing w:before="0" w:after="0"/>
        <w:rPr>
          <w:rFonts w:ascii="Calibri" w:eastAsia="Times New Roman" w:hAnsi="Calibri" w:cs="Calibri"/>
          <w:sz w:val="20"/>
          <w:lang w:eastAsia="fr-FR"/>
        </w:rPr>
      </w:pPr>
    </w:p>
    <w:p w:rsidR="0086249B" w:rsidRPr="00853264" w:rsidRDefault="0086249B" w:rsidP="0086249B">
      <w:pPr>
        <w:spacing w:before="0" w:after="0"/>
        <w:rPr>
          <w:rFonts w:ascii="Calibri" w:eastAsia="Times New Roman" w:hAnsi="Calibri" w:cs="Calibri"/>
          <w:sz w:val="20"/>
          <w:lang w:eastAsia="fr-FR"/>
        </w:rPr>
      </w:pPr>
    </w:p>
    <w:p w:rsidR="0086249B" w:rsidRPr="00853264" w:rsidRDefault="0086249B" w:rsidP="007632CF">
      <w:pPr>
        <w:numPr>
          <w:ilvl w:val="2"/>
          <w:numId w:val="3"/>
        </w:numPr>
        <w:tabs>
          <w:tab w:val="num" w:pos="360"/>
        </w:tabs>
        <w:autoSpaceDE w:val="0"/>
        <w:autoSpaceDN w:val="0"/>
        <w:adjustRightInd w:val="0"/>
        <w:spacing w:before="0" w:after="0"/>
        <w:ind w:left="720" w:firstLine="0"/>
        <w:contextualSpacing/>
        <w:jc w:val="left"/>
        <w:outlineLvl w:val="2"/>
        <w:rPr>
          <w:rFonts w:ascii="Arial Narrow" w:eastAsia="Calibri" w:hAnsi="Arial Narrow" w:cs="Times-Roman"/>
          <w:color w:val="33CCCC"/>
          <w:sz w:val="20"/>
          <w:szCs w:val="18"/>
        </w:rPr>
      </w:pPr>
      <w:bookmarkStart w:id="24" w:name="_Toc195108973"/>
      <w:bookmarkStart w:id="25" w:name="_Toc31886509"/>
      <w:r w:rsidRPr="00853264">
        <w:rPr>
          <w:rFonts w:ascii="Arial Narrow" w:eastAsia="Calibri" w:hAnsi="Arial Narrow" w:cs="Times-Roman"/>
          <w:color w:val="33CCCC"/>
          <w:sz w:val="20"/>
          <w:szCs w:val="18"/>
        </w:rPr>
        <w:t>Conformité au règlement européen 2016/679 - RGPD</w:t>
      </w:r>
      <w:bookmarkEnd w:id="24"/>
      <w:r w:rsidRPr="00853264">
        <w:rPr>
          <w:rFonts w:ascii="Arial Narrow" w:eastAsia="Calibri" w:hAnsi="Arial Narrow" w:cs="Times-Roman"/>
          <w:color w:val="33CCCC"/>
          <w:sz w:val="20"/>
          <w:szCs w:val="18"/>
        </w:rPr>
        <w:t xml:space="preserve"> </w:t>
      </w:r>
      <w:bookmarkEnd w:id="25"/>
    </w:p>
    <w:p w:rsidR="0086249B" w:rsidRPr="00853264" w:rsidRDefault="0086249B" w:rsidP="0086249B">
      <w:pPr>
        <w:spacing w:before="0" w:after="0"/>
        <w:rPr>
          <w:rFonts w:ascii="Calibri" w:eastAsia="Times New Roman" w:hAnsi="Calibri" w:cs="Calibri"/>
          <w:sz w:val="20"/>
          <w:lang w:eastAsia="fr-FR"/>
        </w:rPr>
      </w:pPr>
    </w:p>
    <w:p w:rsidR="0086249B" w:rsidRPr="00853264" w:rsidRDefault="0086249B" w:rsidP="0086249B">
      <w:pPr>
        <w:spacing w:before="0" w:after="0"/>
      </w:pPr>
      <w:r w:rsidRPr="00853264">
        <w:t>Il est relatif à la protection des personnes physiques à l'égard du traitement des données à caractère personnel et à la libre circulation de ces données</w:t>
      </w:r>
      <w:r w:rsidRPr="00853264">
        <w:rPr>
          <w:rFonts w:ascii="Calibri" w:eastAsia="Times New Roman" w:hAnsi="Calibri" w:cs="Times New Roman"/>
          <w:sz w:val="20"/>
          <w:szCs w:val="20"/>
          <w:lang w:eastAsia="fr-FR"/>
        </w:rPr>
        <w:t xml:space="preserve"> (</w:t>
      </w:r>
      <w:hyperlink r:id="rId16">
        <w:r w:rsidRPr="00853264">
          <w:rPr>
            <w:rFonts w:ascii="Calibri" w:eastAsia="Times New Roman" w:hAnsi="Calibri" w:cs="Times New Roman"/>
            <w:color w:val="0563C1"/>
            <w:sz w:val="20"/>
            <w:szCs w:val="20"/>
            <w:u w:val="single"/>
            <w:lang w:eastAsia="fr-FR"/>
          </w:rPr>
          <w:t>https://www.cnil.fr/fr/reglement-europeen-protection-donnees.),</w:t>
        </w:r>
      </w:hyperlink>
      <w:r w:rsidRPr="00853264">
        <w:rPr>
          <w:rFonts w:ascii="Calibri" w:eastAsia="Times New Roman" w:hAnsi="Calibri" w:cs="Times New Roman"/>
          <w:sz w:val="20"/>
          <w:szCs w:val="20"/>
          <w:lang w:eastAsia="fr-FR"/>
        </w:rPr>
        <w:t xml:space="preserve"> et plus </w:t>
      </w:r>
      <w:r w:rsidRPr="00853264">
        <w:t>largement :</w:t>
      </w:r>
    </w:p>
    <w:p w:rsidR="0086249B" w:rsidRPr="00853264" w:rsidRDefault="0086249B" w:rsidP="007632CF">
      <w:pPr>
        <w:numPr>
          <w:ilvl w:val="0"/>
          <w:numId w:val="5"/>
        </w:numPr>
        <w:spacing w:before="0" w:after="0"/>
        <w:contextualSpacing/>
        <w:jc w:val="left"/>
      </w:pPr>
      <w:r w:rsidRPr="00853264">
        <w:t xml:space="preserve">Le titulaire garantit la conformité de la solution proposée aux exigences de </w:t>
      </w:r>
      <w:proofErr w:type="spellStart"/>
      <w:r w:rsidRPr="00853264">
        <w:t>privacy</w:t>
      </w:r>
      <w:proofErr w:type="spellEnd"/>
      <w:r w:rsidRPr="00853264">
        <w:t xml:space="preserve"> by design prévues</w:t>
      </w:r>
      <w:r w:rsidRPr="00853264">
        <w:rPr>
          <w:rFonts w:ascii="Calibri" w:eastAsia="Times New Roman" w:hAnsi="Calibri" w:cs="Times New Roman"/>
          <w:sz w:val="20"/>
          <w:szCs w:val="20"/>
          <w:lang w:eastAsia="fr-FR"/>
        </w:rPr>
        <w:t xml:space="preserve"> </w:t>
      </w:r>
      <w:r w:rsidRPr="00853264">
        <w:t>par le règlement européen,</w:t>
      </w:r>
    </w:p>
    <w:p w:rsidR="0086249B" w:rsidRPr="00853264" w:rsidRDefault="0086249B" w:rsidP="0086249B">
      <w:pPr>
        <w:spacing w:before="0" w:after="0"/>
        <w:ind w:left="720"/>
        <w:contextualSpacing/>
      </w:pPr>
    </w:p>
    <w:p w:rsidR="0086249B" w:rsidRPr="00853264" w:rsidRDefault="0086249B" w:rsidP="007632CF">
      <w:pPr>
        <w:numPr>
          <w:ilvl w:val="0"/>
          <w:numId w:val="5"/>
        </w:numPr>
        <w:spacing w:before="0" w:after="0"/>
        <w:contextualSpacing/>
        <w:jc w:val="left"/>
      </w:pPr>
      <w:r w:rsidRPr="00853264">
        <w:t>L'offre technique du titulaire présente sa politique de protection des données, sa politique de sécurité des données et le cas échéant, l’analyse de risque et l’étude d’impact sur la vie privée de la solution proposée. Si l'étude ne peut être réalisée au stade de l'offre, le titulaire s'engage à la fournir lors de l'exécution du marché et avant mise en production de la solution.</w:t>
      </w:r>
    </w:p>
    <w:p w:rsidR="0086249B" w:rsidRPr="00853264" w:rsidRDefault="0086249B" w:rsidP="0086249B">
      <w:pPr>
        <w:spacing w:before="0" w:after="0"/>
        <w:ind w:left="720"/>
        <w:contextualSpacing/>
        <w:jc w:val="left"/>
        <w:rPr>
          <w:rFonts w:ascii="Calibri" w:eastAsia="Times New Roman" w:hAnsi="Calibri" w:cs="Calibri"/>
          <w:sz w:val="20"/>
          <w:lang w:eastAsia="fr-FR"/>
        </w:rPr>
      </w:pPr>
    </w:p>
    <w:p w:rsidR="0086249B" w:rsidRPr="00853264" w:rsidRDefault="0086249B" w:rsidP="0086249B">
      <w:pPr>
        <w:spacing w:before="0" w:after="0"/>
        <w:rPr>
          <w:rFonts w:ascii="Calibri" w:eastAsia="Times New Roman" w:hAnsi="Calibri" w:cs="Times New Roman"/>
          <w:sz w:val="20"/>
          <w:szCs w:val="20"/>
          <w:lang w:eastAsia="fr-FR"/>
        </w:rPr>
      </w:pPr>
      <w:r w:rsidRPr="00853264">
        <w:lastRenderedPageBreak/>
        <w:t>L’étude d’impact est nécessaire dans les cas visés par la CNIL sur son site :</w:t>
      </w:r>
      <w:r w:rsidRPr="00853264">
        <w:rPr>
          <w:rFonts w:ascii="Calibri" w:eastAsia="Times New Roman" w:hAnsi="Calibri" w:cs="Times New Roman"/>
          <w:sz w:val="20"/>
          <w:szCs w:val="20"/>
          <w:lang w:eastAsia="fr-FR"/>
        </w:rPr>
        <w:t xml:space="preserve"> </w:t>
      </w:r>
      <w:hyperlink r:id="rId17">
        <w:r w:rsidRPr="00853264">
          <w:rPr>
            <w:rFonts w:ascii="Segoe UI" w:eastAsia="Segoe UI" w:hAnsi="Segoe UI" w:cs="Segoe UI"/>
            <w:color w:val="0563C1"/>
            <w:sz w:val="20"/>
            <w:szCs w:val="20"/>
            <w:u w:val="single"/>
            <w:lang w:eastAsia="fr-FR"/>
          </w:rPr>
          <w:t>https://www.cnil.fr/fr/ce-quil-faut-savoir-sur-lanalyse-dimpact-relative-la-protection-des-donnees-aipd</w:t>
        </w:r>
      </w:hyperlink>
      <w:r w:rsidRPr="00853264">
        <w:rPr>
          <w:rFonts w:ascii="Segoe UI" w:eastAsia="Segoe UI" w:hAnsi="Segoe UI" w:cs="Segoe UI"/>
          <w:sz w:val="20"/>
          <w:szCs w:val="20"/>
          <w:lang w:eastAsia="fr-FR"/>
        </w:rPr>
        <w:t xml:space="preserve"> </w:t>
      </w:r>
    </w:p>
    <w:p w:rsidR="0086249B" w:rsidRPr="00853264" w:rsidRDefault="0086249B" w:rsidP="0086249B">
      <w:pPr>
        <w:spacing w:before="0" w:after="0"/>
      </w:pPr>
    </w:p>
    <w:p w:rsidR="0086249B" w:rsidRPr="00853264" w:rsidRDefault="0086249B" w:rsidP="0086249B">
      <w:pPr>
        <w:spacing w:before="0" w:after="0"/>
      </w:pPr>
    </w:p>
    <w:p w:rsidR="0086249B" w:rsidRPr="00853264" w:rsidRDefault="0086249B" w:rsidP="0086249B">
      <w:pPr>
        <w:spacing w:before="0" w:after="0"/>
        <w:ind w:left="708"/>
      </w:pPr>
    </w:p>
    <w:p w:rsidR="0086249B" w:rsidRPr="00853264" w:rsidRDefault="0086249B" w:rsidP="007632CF">
      <w:pPr>
        <w:numPr>
          <w:ilvl w:val="0"/>
          <w:numId w:val="5"/>
        </w:numPr>
        <w:spacing w:before="0" w:after="0"/>
        <w:contextualSpacing/>
        <w:jc w:val="left"/>
      </w:pPr>
      <w:r w:rsidRPr="00853264">
        <w:t>En complément de la clause de confidentialité prévue par le CCAG-TIC et des exigences du règlement européen quant au traitement des données à caractère personnel dont le titulaire est conjointement responsable, le titulaire garantit la stricte confidentialité de l'ensemble des données INRAE obtenues dans le cadre de l'exécution du présent marché. La signature d’accords de confidentialité spécifiques, par les salariés intervenant dans le cadre du traitement des données INRAE, pourra être exigée par l'Institut auprès du titulaire.</w:t>
      </w:r>
    </w:p>
    <w:p w:rsidR="0086249B" w:rsidRPr="00853264" w:rsidRDefault="0086249B" w:rsidP="0086249B">
      <w:pPr>
        <w:spacing w:before="0" w:after="0"/>
      </w:pPr>
    </w:p>
    <w:p w:rsidR="0086249B" w:rsidRPr="00853264" w:rsidRDefault="0086249B" w:rsidP="007632CF">
      <w:pPr>
        <w:numPr>
          <w:ilvl w:val="0"/>
          <w:numId w:val="5"/>
        </w:numPr>
        <w:spacing w:before="0" w:after="0"/>
        <w:contextualSpacing/>
        <w:jc w:val="left"/>
      </w:pPr>
      <w:r w:rsidRPr="00853264">
        <w:t>Le titulaire s'engage, le cas échéant, après notification et avant mise en production de la solution, à contractualiser avec INRAE le contrat de sous-traitance RGPD annexé au marché.</w:t>
      </w:r>
    </w:p>
    <w:p w:rsidR="0086249B" w:rsidRPr="00853264" w:rsidRDefault="0086249B" w:rsidP="0086249B">
      <w:pPr>
        <w:spacing w:before="0" w:after="0"/>
        <w:ind w:left="360"/>
      </w:pPr>
    </w:p>
    <w:p w:rsidR="0086249B" w:rsidRPr="00853264" w:rsidRDefault="0086249B" w:rsidP="0086249B">
      <w:pPr>
        <w:spacing w:before="0" w:after="0"/>
        <w:ind w:left="360"/>
      </w:pPr>
      <w:r w:rsidRPr="00853264">
        <w:t>Selon le montant du marché, le contrat RGPD choisi par INRAE sera au choix :</w:t>
      </w:r>
    </w:p>
    <w:p w:rsidR="0086249B" w:rsidRPr="00853264" w:rsidRDefault="0086249B" w:rsidP="007632CF">
      <w:pPr>
        <w:numPr>
          <w:ilvl w:val="0"/>
          <w:numId w:val="4"/>
        </w:numPr>
        <w:spacing w:before="0" w:after="0"/>
        <w:contextualSpacing/>
        <w:jc w:val="left"/>
        <w:rPr>
          <w:rFonts w:ascii="Times New Roman" w:eastAsia="Times New Roman" w:hAnsi="Times New Roman" w:cs="Times New Roman"/>
          <w:sz w:val="20"/>
          <w:szCs w:val="20"/>
          <w:lang w:eastAsia="fr-FR"/>
        </w:rPr>
      </w:pPr>
      <w:r w:rsidRPr="00853264">
        <w:t>Le contrat type de sous-traitance RGPD issu de la DÉCISION D’EXÉCUTION (UE) 2021/915 DE LA COMMISSION du 4 juin 2021</w:t>
      </w:r>
      <w:r w:rsidRPr="00853264">
        <w:rPr>
          <w:rFonts w:ascii="Calibri" w:eastAsia="Times New Roman" w:hAnsi="Calibri" w:cs="Times New Roman"/>
          <w:sz w:val="20"/>
          <w:szCs w:val="20"/>
          <w:lang w:eastAsia="fr-FR"/>
        </w:rPr>
        <w:t xml:space="preserve"> </w:t>
      </w:r>
      <w:hyperlink r:id="rId18">
        <w:r w:rsidRPr="00853264">
          <w:rPr>
            <w:rFonts w:ascii="Segoe UI" w:eastAsia="Segoe UI" w:hAnsi="Segoe UI" w:cs="Segoe UI"/>
            <w:color w:val="0563C1"/>
            <w:sz w:val="20"/>
            <w:szCs w:val="20"/>
            <w:u w:val="single"/>
            <w:lang w:eastAsia="fr-FR"/>
          </w:rPr>
          <w:t>https://www.cnil.fr/fr/commande-publique-quel-acteur-est-responsable-au-regard-du-rgpd</w:t>
        </w:r>
      </w:hyperlink>
      <w:r w:rsidRPr="00853264">
        <w:rPr>
          <w:rFonts w:ascii="Segoe UI" w:eastAsia="Segoe UI" w:hAnsi="Segoe UI" w:cs="Segoe UI"/>
          <w:sz w:val="20"/>
          <w:szCs w:val="20"/>
          <w:lang w:eastAsia="fr-FR"/>
        </w:rPr>
        <w:t xml:space="preserve"> </w:t>
      </w:r>
    </w:p>
    <w:p w:rsidR="0086249B" w:rsidRPr="00853264" w:rsidRDefault="0086249B" w:rsidP="007632CF">
      <w:pPr>
        <w:numPr>
          <w:ilvl w:val="0"/>
          <w:numId w:val="4"/>
        </w:numPr>
        <w:spacing w:before="0" w:after="0"/>
        <w:contextualSpacing/>
        <w:jc w:val="left"/>
        <w:rPr>
          <w:rFonts w:ascii="Times New Roman" w:eastAsia="Times New Roman" w:hAnsi="Times New Roman" w:cs="Times New Roman"/>
          <w:sz w:val="20"/>
          <w:szCs w:val="20"/>
          <w:lang w:eastAsia="fr-FR"/>
        </w:rPr>
      </w:pPr>
      <w:r w:rsidRPr="00853264">
        <w:t>Le contrat type de sous-traitance RGPD publié par la CNIL</w:t>
      </w:r>
      <w:r w:rsidRPr="00853264">
        <w:rPr>
          <w:rFonts w:ascii="Calibri" w:eastAsia="Times New Roman" w:hAnsi="Calibri" w:cs="Times New Roman"/>
          <w:sz w:val="20"/>
          <w:szCs w:val="20"/>
          <w:lang w:eastAsia="fr-FR"/>
        </w:rPr>
        <w:t xml:space="preserve"> </w:t>
      </w:r>
      <w:hyperlink r:id="rId19">
        <w:r w:rsidRPr="00853264">
          <w:rPr>
            <w:rFonts w:ascii="Segoe UI" w:eastAsia="Segoe UI" w:hAnsi="Segoe UI" w:cs="Segoe UI"/>
            <w:color w:val="0563C1"/>
            <w:sz w:val="20"/>
            <w:szCs w:val="20"/>
            <w:u w:val="single"/>
            <w:lang w:eastAsia="fr-FR"/>
          </w:rPr>
          <w:t>https://www.cnil.fr/fr/sous-traitance-exemple-de-clauses</w:t>
        </w:r>
      </w:hyperlink>
    </w:p>
    <w:p w:rsidR="0086249B" w:rsidRPr="00853264" w:rsidRDefault="0086249B" w:rsidP="0086249B">
      <w:pPr>
        <w:spacing w:before="0" w:after="0"/>
        <w:contextualSpacing/>
        <w:rPr>
          <w:rFonts w:ascii="Calibri" w:eastAsia="Times New Roman" w:hAnsi="Calibri" w:cs="Calibri"/>
          <w:sz w:val="20"/>
          <w:lang w:eastAsia="fr-FR"/>
        </w:rPr>
      </w:pPr>
    </w:p>
    <w:p w:rsidR="0086249B" w:rsidRPr="00853264" w:rsidRDefault="0086249B" w:rsidP="007632CF">
      <w:pPr>
        <w:keepNext/>
        <w:numPr>
          <w:ilvl w:val="1"/>
          <w:numId w:val="3"/>
        </w:numPr>
        <w:tabs>
          <w:tab w:val="num" w:pos="360"/>
          <w:tab w:val="num" w:pos="576"/>
        </w:tabs>
        <w:spacing w:before="240" w:after="60"/>
        <w:ind w:left="576" w:hanging="576"/>
        <w:jc w:val="left"/>
        <w:outlineLvl w:val="1"/>
        <w:rPr>
          <w:rFonts w:ascii="Arial Narrow" w:eastAsia="Times New Roman" w:hAnsi="Arial Narrow" w:cs="Times New Roman"/>
          <w:bCs/>
          <w:iCs/>
          <w:color w:val="33CCCC"/>
          <w:sz w:val="24"/>
          <w:szCs w:val="28"/>
          <w:lang w:val="x-none" w:eastAsia="x-none"/>
        </w:rPr>
      </w:pPr>
      <w:bookmarkStart w:id="26" w:name="_Toc31886510"/>
      <w:bookmarkStart w:id="27" w:name="_Toc195108974"/>
      <w:r w:rsidRPr="00853264">
        <w:rPr>
          <w:rFonts w:ascii="Arial Narrow" w:eastAsia="Times New Roman" w:hAnsi="Arial Narrow" w:cs="Times New Roman"/>
          <w:bCs/>
          <w:iCs/>
          <w:color w:val="33CCCC"/>
          <w:sz w:val="24"/>
          <w:szCs w:val="28"/>
          <w:lang w:val="x-none" w:eastAsia="x-none"/>
        </w:rPr>
        <w:t>ENGAGEMENT DU TITULAIRE</w:t>
      </w:r>
      <w:bookmarkEnd w:id="26"/>
      <w:bookmarkEnd w:id="27"/>
    </w:p>
    <w:p w:rsidR="0086249B" w:rsidRPr="00853264" w:rsidRDefault="0086249B" w:rsidP="0086249B">
      <w:pPr>
        <w:spacing w:before="0" w:after="0"/>
        <w:jc w:val="left"/>
        <w:rPr>
          <w:rFonts w:ascii="Arial" w:eastAsia="Times New Roman" w:hAnsi="Arial" w:cs="Times New Roman"/>
          <w:color w:val="2EBBB8"/>
          <w:sz w:val="24"/>
          <w:szCs w:val="20"/>
          <w:lang w:eastAsia="fr-FR"/>
        </w:rPr>
      </w:pPr>
    </w:p>
    <w:p w:rsidR="0086249B" w:rsidRPr="00853264" w:rsidRDefault="0086249B" w:rsidP="007632CF">
      <w:pPr>
        <w:numPr>
          <w:ilvl w:val="2"/>
          <w:numId w:val="3"/>
        </w:numPr>
        <w:tabs>
          <w:tab w:val="num" w:pos="360"/>
        </w:tabs>
        <w:autoSpaceDE w:val="0"/>
        <w:autoSpaceDN w:val="0"/>
        <w:adjustRightInd w:val="0"/>
        <w:spacing w:before="0" w:after="0"/>
        <w:ind w:left="720" w:firstLine="0"/>
        <w:contextualSpacing/>
        <w:jc w:val="left"/>
        <w:outlineLvl w:val="2"/>
        <w:rPr>
          <w:rFonts w:ascii="Arial Narrow" w:eastAsia="Calibri" w:hAnsi="Arial Narrow" w:cs="Times-Roman"/>
          <w:color w:val="33CCCC"/>
          <w:sz w:val="20"/>
          <w:szCs w:val="18"/>
        </w:rPr>
      </w:pPr>
      <w:bookmarkStart w:id="28" w:name="_Toc195108975"/>
      <w:bookmarkStart w:id="29" w:name="_Toc31886511"/>
      <w:r w:rsidRPr="00853264">
        <w:rPr>
          <w:rFonts w:ascii="Arial Narrow" w:eastAsia="Calibri" w:hAnsi="Arial Narrow" w:cs="Times-Roman"/>
          <w:color w:val="33CCCC"/>
          <w:sz w:val="20"/>
          <w:szCs w:val="18"/>
        </w:rPr>
        <w:t>Obligation de sécurisation des données</w:t>
      </w:r>
      <w:bookmarkEnd w:id="28"/>
      <w:r w:rsidRPr="00853264">
        <w:rPr>
          <w:rFonts w:ascii="Arial Narrow" w:eastAsia="Calibri" w:hAnsi="Arial Narrow" w:cs="Times-Roman"/>
          <w:color w:val="33CCCC"/>
          <w:sz w:val="20"/>
          <w:szCs w:val="18"/>
        </w:rPr>
        <w:t xml:space="preserve"> </w:t>
      </w:r>
      <w:bookmarkEnd w:id="29"/>
    </w:p>
    <w:p w:rsidR="0086249B" w:rsidRPr="00853264" w:rsidRDefault="0086249B" w:rsidP="0086249B">
      <w:pPr>
        <w:spacing w:before="0" w:after="0"/>
        <w:rPr>
          <w:rFonts w:ascii="Calibri" w:eastAsia="Times New Roman" w:hAnsi="Calibri" w:cs="Calibri"/>
          <w:sz w:val="20"/>
          <w:lang w:eastAsia="fr-FR"/>
        </w:rPr>
      </w:pPr>
    </w:p>
    <w:p w:rsidR="0086249B" w:rsidRPr="00853264" w:rsidRDefault="0086249B" w:rsidP="0086249B">
      <w:pPr>
        <w:spacing w:before="0" w:after="0"/>
      </w:pPr>
      <w:r w:rsidRPr="00853264">
        <w:t>Au titre de son obligation de sécurisation des données, le titulaire s'engage donc notamment à :</w:t>
      </w:r>
    </w:p>
    <w:p w:rsidR="0086249B" w:rsidRPr="00853264" w:rsidRDefault="0086249B" w:rsidP="007632CF">
      <w:pPr>
        <w:pStyle w:val="Paragraphedeliste"/>
        <w:numPr>
          <w:ilvl w:val="0"/>
          <w:numId w:val="8"/>
        </w:numPr>
        <w:spacing w:before="0" w:after="0"/>
      </w:pPr>
      <w:r w:rsidRPr="00853264">
        <w:t xml:space="preserve">Ne pas utiliser ou copier les données traitées à des fins autres que celles spécifiées au présent marché, </w:t>
      </w:r>
    </w:p>
    <w:p w:rsidR="0086249B" w:rsidRPr="00853264" w:rsidRDefault="0086249B" w:rsidP="007632CF">
      <w:pPr>
        <w:pStyle w:val="Paragraphedeliste"/>
        <w:numPr>
          <w:ilvl w:val="0"/>
          <w:numId w:val="8"/>
        </w:numPr>
        <w:spacing w:before="0" w:after="0"/>
      </w:pPr>
      <w:r w:rsidRPr="00853264">
        <w:t xml:space="preserve">Ne pas divulguer les données à d'autres personnes privées ou publiques, physiques ou morales, </w:t>
      </w:r>
    </w:p>
    <w:p w:rsidR="0086249B" w:rsidRPr="00853264" w:rsidRDefault="0086249B" w:rsidP="007632CF">
      <w:pPr>
        <w:pStyle w:val="Paragraphedeliste"/>
        <w:numPr>
          <w:ilvl w:val="0"/>
          <w:numId w:val="8"/>
        </w:numPr>
        <w:spacing w:before="0" w:after="0"/>
      </w:pPr>
      <w:r w:rsidRPr="00853264">
        <w:t xml:space="preserve">Prendre toutes les mesures permettant d'éviter toute utilisation détournée ou frauduleuse des données, </w:t>
      </w:r>
    </w:p>
    <w:p w:rsidR="0086249B" w:rsidRPr="00853264" w:rsidRDefault="0086249B" w:rsidP="007632CF">
      <w:pPr>
        <w:pStyle w:val="Paragraphedeliste"/>
        <w:numPr>
          <w:ilvl w:val="0"/>
          <w:numId w:val="8"/>
        </w:numPr>
        <w:spacing w:before="0" w:after="0"/>
      </w:pPr>
      <w:r w:rsidRPr="00853264">
        <w:t xml:space="preserve">Prendre toutes les mesures, notamment de sécurité matérielle, pour assurer la conservation des données traitées dans le cadre du présent marché, </w:t>
      </w:r>
    </w:p>
    <w:p w:rsidR="0086249B" w:rsidRPr="00853264" w:rsidRDefault="0086249B" w:rsidP="007632CF">
      <w:pPr>
        <w:pStyle w:val="Paragraphedeliste"/>
        <w:numPr>
          <w:ilvl w:val="0"/>
          <w:numId w:val="8"/>
        </w:numPr>
        <w:spacing w:before="0" w:after="0"/>
      </w:pPr>
      <w:r w:rsidRPr="00853264">
        <w:t xml:space="preserve">Mettre en œuvre des moyens permettant de garantir la confidentialité, l'intégrité, la disponibilité et la résilience constantes des systèmes, services de traitement et des données, </w:t>
      </w:r>
    </w:p>
    <w:p w:rsidR="0086249B" w:rsidRPr="00853264" w:rsidRDefault="0086249B" w:rsidP="007632CF">
      <w:pPr>
        <w:pStyle w:val="Paragraphedeliste"/>
        <w:numPr>
          <w:ilvl w:val="0"/>
          <w:numId w:val="8"/>
        </w:numPr>
        <w:spacing w:before="0" w:after="0"/>
      </w:pPr>
      <w:r w:rsidRPr="00853264">
        <w:t>Pour les prestations nécessitant le traitement de données personnelles et autres données sensibles, présenter à l’Institut la clause de confidentialité intégrée aux contrats de travail de ses salariés ou aux engagements de confidentialité spécifiques signés par ces derniers, ainsi que celles des contrats de sous-traitance établis pour l’exécution du présent accord-cadre,</w:t>
      </w:r>
    </w:p>
    <w:p w:rsidR="0086249B" w:rsidRPr="00853264" w:rsidRDefault="0086249B" w:rsidP="007632CF">
      <w:pPr>
        <w:pStyle w:val="Paragraphedeliste"/>
        <w:numPr>
          <w:ilvl w:val="0"/>
          <w:numId w:val="8"/>
        </w:numPr>
        <w:spacing w:before="0" w:after="0"/>
      </w:pPr>
      <w:r w:rsidRPr="00853264">
        <w:t xml:space="preserve">Mettre en œuvre des moyens permettant de rétablir la disponibilité des données et leur accès en cas d'incident physique ou technique dans des délais appropriés, </w:t>
      </w:r>
    </w:p>
    <w:p w:rsidR="0086249B" w:rsidRPr="00853264" w:rsidRDefault="0086249B" w:rsidP="007632CF">
      <w:pPr>
        <w:pStyle w:val="Paragraphedeliste"/>
        <w:numPr>
          <w:ilvl w:val="0"/>
          <w:numId w:val="8"/>
        </w:numPr>
        <w:spacing w:before="0" w:after="0"/>
      </w:pPr>
      <w:r w:rsidRPr="00853264">
        <w:t xml:space="preserve">Mettre en œuvre une procédure de test, analyse et évaluation régulière de l'efficacité des mesures techniques et organisationnelles assurant la sécurité des données, </w:t>
      </w:r>
    </w:p>
    <w:p w:rsidR="0086249B" w:rsidRPr="00853264" w:rsidRDefault="0086249B" w:rsidP="007632CF">
      <w:pPr>
        <w:pStyle w:val="Paragraphedeliste"/>
        <w:numPr>
          <w:ilvl w:val="0"/>
          <w:numId w:val="8"/>
        </w:numPr>
        <w:spacing w:before="0" w:after="0"/>
      </w:pPr>
      <w:r w:rsidRPr="00853264">
        <w:t xml:space="preserve">Restituer l'intégralité des données exigées par INRAE puis détruire l'ensemble des données INRAE détenues par le titulaire ou ses sous-traitants en fin de marché. Un mode de preuve de cette destruction est proposé par le titulaire dans son offre, </w:t>
      </w:r>
    </w:p>
    <w:p w:rsidR="0086249B" w:rsidRPr="00853264" w:rsidRDefault="0086249B" w:rsidP="007632CF">
      <w:pPr>
        <w:pStyle w:val="Paragraphedeliste"/>
        <w:numPr>
          <w:ilvl w:val="0"/>
          <w:numId w:val="8"/>
        </w:numPr>
        <w:spacing w:before="0" w:after="0"/>
      </w:pPr>
      <w:r w:rsidRPr="00853264">
        <w:t>Lors des phases de développement, test et recette, ne pas utiliser les données personnelles réelles contenues dans les bases,</w:t>
      </w:r>
    </w:p>
    <w:p w:rsidR="0086249B" w:rsidRPr="00853264" w:rsidRDefault="0086249B" w:rsidP="007632CF">
      <w:pPr>
        <w:pStyle w:val="Paragraphedeliste"/>
        <w:numPr>
          <w:ilvl w:val="0"/>
          <w:numId w:val="8"/>
        </w:numPr>
        <w:spacing w:before="0" w:after="0"/>
      </w:pPr>
      <w:r w:rsidRPr="00853264">
        <w:lastRenderedPageBreak/>
        <w:t xml:space="preserve">Mettre à la disposition d'INRAE les informations nécessaires afin de démontrer le respect de ces obligations et, à cette même fin, permettre la réalisation d'audits par INRAE. </w:t>
      </w:r>
    </w:p>
    <w:p w:rsidR="0086249B" w:rsidRPr="00853264" w:rsidRDefault="0086249B" w:rsidP="0086249B">
      <w:pPr>
        <w:spacing w:before="0" w:after="0"/>
        <w:ind w:left="708"/>
      </w:pPr>
    </w:p>
    <w:p w:rsidR="0086249B" w:rsidRPr="00853264" w:rsidRDefault="0086249B" w:rsidP="0086249B">
      <w:pPr>
        <w:spacing w:before="0" w:after="0"/>
        <w:ind w:left="708"/>
      </w:pPr>
    </w:p>
    <w:p w:rsidR="0086249B" w:rsidRPr="00853264" w:rsidRDefault="0086249B" w:rsidP="0086249B">
      <w:pPr>
        <w:spacing w:before="0" w:after="0"/>
        <w:rPr>
          <w:rFonts w:ascii="Calibri" w:eastAsia="Times New Roman" w:hAnsi="Calibri" w:cs="Calibri"/>
          <w:sz w:val="20"/>
          <w:lang w:eastAsia="fr-FR"/>
        </w:rPr>
      </w:pPr>
    </w:p>
    <w:p w:rsidR="0086249B" w:rsidRPr="00853264" w:rsidRDefault="0086249B" w:rsidP="007632CF">
      <w:pPr>
        <w:numPr>
          <w:ilvl w:val="2"/>
          <w:numId w:val="3"/>
        </w:numPr>
        <w:tabs>
          <w:tab w:val="num" w:pos="360"/>
        </w:tabs>
        <w:autoSpaceDE w:val="0"/>
        <w:autoSpaceDN w:val="0"/>
        <w:adjustRightInd w:val="0"/>
        <w:spacing w:before="0" w:after="0"/>
        <w:ind w:left="720" w:firstLine="0"/>
        <w:contextualSpacing/>
        <w:jc w:val="left"/>
        <w:outlineLvl w:val="2"/>
        <w:rPr>
          <w:rFonts w:ascii="Arial Narrow" w:eastAsia="Calibri" w:hAnsi="Arial Narrow" w:cs="Times-Roman"/>
          <w:color w:val="33CCCC"/>
          <w:sz w:val="20"/>
          <w:szCs w:val="18"/>
        </w:rPr>
      </w:pPr>
      <w:bookmarkStart w:id="30" w:name="_Toc31886512"/>
      <w:bookmarkStart w:id="31" w:name="_Toc195108976"/>
      <w:r w:rsidRPr="00853264">
        <w:rPr>
          <w:rFonts w:ascii="Arial Narrow" w:eastAsia="Calibri" w:hAnsi="Arial Narrow" w:cs="Times-Roman"/>
          <w:color w:val="33CCCC"/>
          <w:sz w:val="20"/>
          <w:szCs w:val="18"/>
        </w:rPr>
        <w:t>Sécurisation des prestations et du Système d’Information</w:t>
      </w:r>
      <w:bookmarkEnd w:id="30"/>
      <w:bookmarkEnd w:id="31"/>
    </w:p>
    <w:p w:rsidR="0086249B" w:rsidRPr="00853264" w:rsidRDefault="0086249B" w:rsidP="0086249B">
      <w:pPr>
        <w:spacing w:before="0" w:after="0"/>
        <w:rPr>
          <w:rFonts w:ascii="Calibri" w:eastAsia="Times New Roman" w:hAnsi="Calibri" w:cs="Calibri"/>
          <w:sz w:val="20"/>
          <w:lang w:eastAsia="fr-FR"/>
        </w:rPr>
      </w:pPr>
    </w:p>
    <w:p w:rsidR="0086249B" w:rsidRPr="00853264" w:rsidRDefault="0086249B" w:rsidP="0086249B">
      <w:pPr>
        <w:spacing w:before="0" w:after="0"/>
      </w:pPr>
      <w:r w:rsidRPr="00853264">
        <w:t xml:space="preserve">Au titre de la sécurisation des prestations et du SI, le titulaire s’engage notamment à : </w:t>
      </w:r>
    </w:p>
    <w:p w:rsidR="0086249B" w:rsidRPr="00853264" w:rsidRDefault="0086249B" w:rsidP="007632CF">
      <w:pPr>
        <w:numPr>
          <w:ilvl w:val="0"/>
          <w:numId w:val="6"/>
        </w:numPr>
        <w:spacing w:before="0" w:after="0"/>
        <w:contextualSpacing/>
        <w:jc w:val="left"/>
      </w:pPr>
      <w:r w:rsidRPr="00853264">
        <w:t xml:space="preserve">Remettre à INRAE, dans le cadre de son offre technique, le Plan d’Assurance Sécurité (PAS) lié aux prestations du marché ainsi que chacune de ses mises à jour ayant eu lieu pendant la durée du celui-ci. </w:t>
      </w:r>
    </w:p>
    <w:p w:rsidR="0086249B" w:rsidRPr="00853264" w:rsidRDefault="0086249B" w:rsidP="0086249B">
      <w:pPr>
        <w:spacing w:before="0" w:after="0"/>
        <w:ind w:left="720"/>
        <w:contextualSpacing/>
      </w:pPr>
      <w:r w:rsidRPr="00853264">
        <w:t>Lorsqu’elle est disponible, le titulaire fournit sa politique de sécurité des systèmes d’information (PSSI).</w:t>
      </w:r>
    </w:p>
    <w:p w:rsidR="0086249B" w:rsidRPr="00853264" w:rsidRDefault="0086249B" w:rsidP="007632CF">
      <w:pPr>
        <w:numPr>
          <w:ilvl w:val="0"/>
          <w:numId w:val="6"/>
        </w:numPr>
        <w:spacing w:before="0" w:after="0"/>
        <w:contextualSpacing/>
        <w:jc w:val="left"/>
      </w:pPr>
      <w:r w:rsidRPr="00853264">
        <w:t xml:space="preserve">Le PAS pourra évoluer pendant la durée du marché afin de présenter </w:t>
      </w:r>
      <w:proofErr w:type="gramStart"/>
      <w:r w:rsidRPr="00853264">
        <w:t>a</w:t>
      </w:r>
      <w:proofErr w:type="gramEnd"/>
      <w:r w:rsidRPr="00853264">
        <w:t xml:space="preserve"> minima les mesures de sécurisation concernant : </w:t>
      </w:r>
    </w:p>
    <w:p w:rsidR="0086249B" w:rsidRPr="00853264" w:rsidRDefault="0086249B" w:rsidP="007632CF">
      <w:pPr>
        <w:numPr>
          <w:ilvl w:val="1"/>
          <w:numId w:val="7"/>
        </w:numPr>
        <w:spacing w:before="0" w:after="0"/>
        <w:contextualSpacing/>
        <w:jc w:val="left"/>
      </w:pPr>
      <w:r w:rsidRPr="00853264">
        <w:t>La sensibilisation et la formation des personnels et autres mesures de sécurité organisationnelles,</w:t>
      </w:r>
    </w:p>
    <w:p w:rsidR="0086249B" w:rsidRPr="00853264" w:rsidRDefault="0086249B" w:rsidP="007632CF">
      <w:pPr>
        <w:numPr>
          <w:ilvl w:val="1"/>
          <w:numId w:val="7"/>
        </w:numPr>
        <w:spacing w:before="0" w:after="0"/>
        <w:contextualSpacing/>
        <w:jc w:val="left"/>
      </w:pPr>
      <w:r w:rsidRPr="00853264">
        <w:t xml:space="preserve">Les développements spécifiques, </w:t>
      </w:r>
    </w:p>
    <w:p w:rsidR="0086249B" w:rsidRPr="00853264" w:rsidRDefault="0086249B" w:rsidP="007632CF">
      <w:pPr>
        <w:numPr>
          <w:ilvl w:val="1"/>
          <w:numId w:val="7"/>
        </w:numPr>
        <w:spacing w:before="0" w:after="0"/>
        <w:contextualSpacing/>
        <w:jc w:val="left"/>
      </w:pPr>
      <w:r w:rsidRPr="00853264">
        <w:t xml:space="preserve">L’hébergement des données et des services, </w:t>
      </w:r>
    </w:p>
    <w:p w:rsidR="0086249B" w:rsidRPr="00853264" w:rsidRDefault="0086249B" w:rsidP="007632CF">
      <w:pPr>
        <w:numPr>
          <w:ilvl w:val="1"/>
          <w:numId w:val="7"/>
        </w:numPr>
        <w:spacing w:before="0" w:after="0"/>
        <w:contextualSpacing/>
        <w:jc w:val="left"/>
        <w:rPr>
          <w:rFonts w:ascii="Calibri" w:eastAsia="Times New Roman" w:hAnsi="Calibri" w:cs="Times New Roman"/>
          <w:sz w:val="20"/>
          <w:szCs w:val="20"/>
          <w:lang w:eastAsia="fr-FR"/>
        </w:rPr>
      </w:pPr>
      <w:r w:rsidRPr="00853264">
        <w:rPr>
          <w:rFonts w:ascii="Calibri" w:eastAsia="Times New Roman" w:hAnsi="Calibri" w:cs="Times New Roman"/>
          <w:sz w:val="20"/>
          <w:szCs w:val="20"/>
          <w:lang w:eastAsia="fr-FR"/>
        </w:rPr>
        <w:t>La gestion des incidents de sécurité du titulaire,</w:t>
      </w:r>
    </w:p>
    <w:p w:rsidR="0086249B" w:rsidRPr="00853264" w:rsidRDefault="0086249B" w:rsidP="007632CF">
      <w:pPr>
        <w:numPr>
          <w:ilvl w:val="1"/>
          <w:numId w:val="7"/>
        </w:numPr>
        <w:spacing w:before="0" w:after="0"/>
        <w:contextualSpacing/>
        <w:jc w:val="left"/>
      </w:pPr>
      <w:r w:rsidRPr="00853264">
        <w:t>Le maintien en condition de sécurité,</w:t>
      </w:r>
    </w:p>
    <w:p w:rsidR="0086249B" w:rsidRPr="00853264" w:rsidRDefault="0086249B" w:rsidP="007632CF">
      <w:pPr>
        <w:numPr>
          <w:ilvl w:val="1"/>
          <w:numId w:val="7"/>
        </w:numPr>
        <w:spacing w:before="0" w:after="0"/>
        <w:contextualSpacing/>
        <w:jc w:val="left"/>
      </w:pPr>
      <w:r w:rsidRPr="00853264">
        <w:t>La politique de gestion des postes de travail des intervenants de la prestation objet du marché,</w:t>
      </w:r>
    </w:p>
    <w:p w:rsidR="0086249B" w:rsidRPr="00853264" w:rsidRDefault="0086249B" w:rsidP="007632CF">
      <w:pPr>
        <w:numPr>
          <w:ilvl w:val="1"/>
          <w:numId w:val="7"/>
        </w:numPr>
        <w:spacing w:before="0" w:after="0"/>
        <w:contextualSpacing/>
        <w:jc w:val="left"/>
      </w:pPr>
      <w:r w:rsidRPr="00853264">
        <w:t>La conformité et les démarches de contrôle interne.</w:t>
      </w:r>
    </w:p>
    <w:p w:rsidR="0086249B" w:rsidRPr="00853264" w:rsidRDefault="0086249B" w:rsidP="0086249B">
      <w:pPr>
        <w:spacing w:before="0" w:after="0"/>
        <w:jc w:val="left"/>
      </w:pPr>
    </w:p>
    <w:p w:rsidR="0086249B" w:rsidRPr="00853264" w:rsidRDefault="0086249B" w:rsidP="0086249B">
      <w:pPr>
        <w:spacing w:before="0" w:after="0"/>
      </w:pPr>
      <w:r w:rsidRPr="00853264">
        <w:t>Dans le cadre de l’exécution du marché, l’ensemble des sous-traitants doit respecter l’ensemble des obligations auxquelles s’engage le titulaire et notamment fournir sa PAS au même titre que le titulaire.</w:t>
      </w:r>
    </w:p>
    <w:p w:rsidR="0086249B" w:rsidRPr="00853264" w:rsidRDefault="0086249B" w:rsidP="0086249B">
      <w:pPr>
        <w:spacing w:before="0" w:after="0"/>
        <w:jc w:val="left"/>
        <w:rPr>
          <w:rFonts w:ascii="Times New Roman" w:eastAsia="Times New Roman" w:hAnsi="Times New Roman" w:cs="Times New Roman"/>
          <w:szCs w:val="24"/>
          <w:lang w:eastAsia="fr-FR"/>
        </w:rPr>
      </w:pPr>
    </w:p>
    <w:p w:rsidR="0086249B" w:rsidRPr="00853264" w:rsidRDefault="0086249B" w:rsidP="0086249B">
      <w:pPr>
        <w:spacing w:before="0" w:after="0"/>
        <w:jc w:val="left"/>
        <w:rPr>
          <w:rFonts w:ascii="Times New Roman" w:eastAsia="Times New Roman" w:hAnsi="Times New Roman" w:cs="Times New Roman"/>
          <w:szCs w:val="24"/>
          <w:lang w:eastAsia="fr-FR"/>
        </w:rPr>
      </w:pPr>
    </w:p>
    <w:p w:rsidR="0086249B" w:rsidRPr="00853264" w:rsidRDefault="0086249B" w:rsidP="007632CF">
      <w:pPr>
        <w:numPr>
          <w:ilvl w:val="2"/>
          <w:numId w:val="3"/>
        </w:numPr>
        <w:tabs>
          <w:tab w:val="num" w:pos="360"/>
        </w:tabs>
        <w:autoSpaceDE w:val="0"/>
        <w:autoSpaceDN w:val="0"/>
        <w:adjustRightInd w:val="0"/>
        <w:spacing w:before="0" w:after="0"/>
        <w:ind w:left="720" w:firstLine="0"/>
        <w:contextualSpacing/>
        <w:jc w:val="left"/>
        <w:outlineLvl w:val="2"/>
        <w:rPr>
          <w:rFonts w:ascii="Arial Narrow" w:eastAsia="Calibri" w:hAnsi="Arial Narrow" w:cs="Times-Roman"/>
          <w:color w:val="33CCCC"/>
          <w:sz w:val="20"/>
          <w:szCs w:val="18"/>
        </w:rPr>
      </w:pPr>
      <w:bookmarkStart w:id="32" w:name="_Toc195108977"/>
      <w:r w:rsidRPr="00853264">
        <w:rPr>
          <w:rFonts w:ascii="Arial Narrow" w:eastAsia="Calibri" w:hAnsi="Arial Narrow" w:cs="Times-Roman"/>
          <w:color w:val="33CCCC"/>
          <w:sz w:val="20"/>
          <w:szCs w:val="18"/>
        </w:rPr>
        <w:t>Données personnelles dans le cadre de la gestion de la relation contractuelle</w:t>
      </w:r>
      <w:bookmarkEnd w:id="32"/>
    </w:p>
    <w:p w:rsidR="0086249B" w:rsidRPr="00853264" w:rsidRDefault="0086249B" w:rsidP="0086249B">
      <w:pPr>
        <w:spacing w:before="0" w:after="0"/>
        <w:rPr>
          <w:rFonts w:ascii="Calibri" w:eastAsia="Times New Roman" w:hAnsi="Calibri" w:cs="Calibri"/>
          <w:sz w:val="20"/>
          <w:lang w:eastAsia="fr-FR"/>
        </w:rPr>
      </w:pPr>
    </w:p>
    <w:p w:rsidR="0086249B" w:rsidRPr="00853264" w:rsidRDefault="0086249B" w:rsidP="0086249B">
      <w:pPr>
        <w:spacing w:before="0" w:after="0"/>
      </w:pPr>
      <w:r w:rsidRPr="00853264">
        <w:t>Dans tous les cas, les parties s'engagent, dans le cadre de traitement de données à caractère personnel à des fins de gestion de la relation contractuelle et de l’exécution du présent contrat, à respecter le règlement européen EU 2016/679 (GDPR) du 27 avril 2016 relatif à la protection des personnes physiques à l'égard du traitement des données à caractère personnel et à la libre circulation de ces données ainsi que les lois nationales applicables relatives à la protection des données à caractère personnel.</w:t>
      </w:r>
    </w:p>
    <w:p w:rsidR="0086249B" w:rsidRPr="00853264" w:rsidRDefault="0086249B" w:rsidP="0086249B">
      <w:pPr>
        <w:spacing w:before="0" w:after="0"/>
      </w:pPr>
    </w:p>
    <w:p w:rsidR="0086249B" w:rsidRPr="00853264" w:rsidRDefault="0086249B" w:rsidP="0086249B">
      <w:pPr>
        <w:spacing w:before="0" w:after="0"/>
      </w:pPr>
      <w:r w:rsidRPr="00853264">
        <w:t xml:space="preserve">A des fins exclusives de gestion de la relation contractuelle et d’exécution du présent marché, les parties peuvent collecter, stocker, partager et traiter les données personnelles des personnes impliquées dans la gestion et l’exécution du présent marché telles que : nom, téléphone professionnel, adresse professionnelle, fonction, identifiants de connexion. </w:t>
      </w:r>
    </w:p>
    <w:p w:rsidR="0086249B" w:rsidRPr="00853264" w:rsidRDefault="0086249B" w:rsidP="0086249B">
      <w:pPr>
        <w:spacing w:before="0" w:after="0"/>
      </w:pPr>
      <w:r w:rsidRPr="00853264">
        <w:t xml:space="preserve">Les parties prendront toutes les mesures techniques et organisationnelles appropriées pour protéger et sécuriser ces données. Les parties mettront tout en œuvre pour empêcher tout traitement non autorisé ou illégal de ces données. </w:t>
      </w:r>
    </w:p>
    <w:p w:rsidR="0086249B" w:rsidRPr="00853264" w:rsidRDefault="0086249B" w:rsidP="0086249B">
      <w:pPr>
        <w:spacing w:before="0" w:after="0"/>
        <w:jc w:val="left"/>
      </w:pPr>
    </w:p>
    <w:p w:rsidR="00B3398C" w:rsidRPr="009A7C35" w:rsidRDefault="00B3398C" w:rsidP="008630D8">
      <w:pPr>
        <w:pStyle w:val="Titre1"/>
        <w:rPr>
          <w:i/>
          <w:iCs/>
        </w:rPr>
      </w:pPr>
      <w:bookmarkStart w:id="33" w:name="_Toc195108978"/>
      <w:r w:rsidRPr="009A7C35">
        <w:t>PROPRIÉTÉ INTELLECTUELLE</w:t>
      </w:r>
      <w:bookmarkEnd w:id="33"/>
      <w:r w:rsidRPr="009A7C35">
        <w:t xml:space="preserve"> </w:t>
      </w:r>
    </w:p>
    <w:p w:rsidR="00B3398C" w:rsidRPr="009A7C35" w:rsidRDefault="00FA13E4">
      <w:pPr>
        <w:widowControl w:val="0"/>
        <w:autoSpaceDE w:val="0"/>
        <w:autoSpaceDN w:val="0"/>
        <w:adjustRightInd w:val="0"/>
        <w:spacing w:line="200" w:lineRule="exact"/>
        <w:rPr>
          <w:rFonts w:ascii="Arial" w:hAnsi="Arial" w:cs="Arial"/>
          <w:sz w:val="20"/>
          <w:szCs w:val="20"/>
        </w:rPr>
      </w:pPr>
      <w:r w:rsidRPr="00FA13E4">
        <w:t xml:space="preserve">Les conditions relatives à la propriété intellectuelle sont définies </w:t>
      </w:r>
      <w:r>
        <w:t xml:space="preserve">au chapitre 6 </w:t>
      </w:r>
      <w:r w:rsidRPr="00036553">
        <w:t>du CCAG/</w:t>
      </w:r>
      <w:r>
        <w:t>PI</w:t>
      </w:r>
      <w:r w:rsidRPr="00036553">
        <w:t>.</w:t>
      </w:r>
      <w:r>
        <w:t xml:space="preserve"> (</w:t>
      </w:r>
      <w:proofErr w:type="gramStart"/>
      <w:r>
        <w:t>articl</w:t>
      </w:r>
      <w:bookmarkStart w:id="34" w:name="_GoBack"/>
      <w:bookmarkEnd w:id="34"/>
      <w:r>
        <w:t>es</w:t>
      </w:r>
      <w:proofErr w:type="gramEnd"/>
      <w:r>
        <w:t xml:space="preserve"> 34 à 37)</w:t>
      </w:r>
    </w:p>
    <w:p w:rsidR="00A56ED2" w:rsidRPr="00E41D8F" w:rsidRDefault="00A56ED2" w:rsidP="008630D8"/>
    <w:p w:rsidR="006A5B59" w:rsidRPr="006A466F" w:rsidRDefault="006A5B59">
      <w:pPr>
        <w:widowControl w:val="0"/>
        <w:autoSpaceDE w:val="0"/>
        <w:autoSpaceDN w:val="0"/>
        <w:adjustRightInd w:val="0"/>
        <w:spacing w:line="200" w:lineRule="exact"/>
        <w:rPr>
          <w:rFonts w:ascii="Arial" w:hAnsi="Arial" w:cs="Arial"/>
          <w:iCs/>
          <w:color w:val="C00000"/>
          <w:sz w:val="20"/>
          <w:szCs w:val="20"/>
        </w:rPr>
      </w:pPr>
    </w:p>
    <w:p w:rsidR="00B3398C" w:rsidRPr="006A466F" w:rsidRDefault="00B3398C" w:rsidP="008630D8">
      <w:pPr>
        <w:pStyle w:val="Titre1"/>
        <w:rPr>
          <w:iCs/>
        </w:rPr>
      </w:pPr>
      <w:bookmarkStart w:id="35" w:name="_Toc195108979"/>
      <w:r w:rsidRPr="009A7C35">
        <w:t>GARANTIE</w:t>
      </w:r>
      <w:bookmarkEnd w:id="35"/>
      <w:r w:rsidR="005144E6">
        <w:t xml:space="preserve"> </w:t>
      </w:r>
    </w:p>
    <w:p w:rsidR="00B3398C" w:rsidRPr="009A7C35" w:rsidRDefault="00B3398C">
      <w:pPr>
        <w:widowControl w:val="0"/>
        <w:autoSpaceDE w:val="0"/>
        <w:autoSpaceDN w:val="0"/>
        <w:adjustRightInd w:val="0"/>
        <w:spacing w:line="200" w:lineRule="exact"/>
        <w:rPr>
          <w:rFonts w:ascii="Arial" w:hAnsi="Arial" w:cs="Arial"/>
          <w:sz w:val="20"/>
          <w:szCs w:val="20"/>
        </w:rPr>
      </w:pPr>
    </w:p>
    <w:p w:rsidR="002217A4" w:rsidRPr="00F73FDA" w:rsidRDefault="00E41D8F" w:rsidP="008630D8">
      <w:pPr>
        <w:rPr>
          <w:rFonts w:cs="Arial"/>
          <w:color w:val="FF0000"/>
        </w:rPr>
      </w:pPr>
      <w:r>
        <w:t>Sans objet.</w:t>
      </w:r>
    </w:p>
    <w:p w:rsidR="002217A4" w:rsidRPr="006A466F" w:rsidRDefault="002217A4" w:rsidP="002217A4">
      <w:pPr>
        <w:widowControl w:val="0"/>
        <w:autoSpaceDE w:val="0"/>
        <w:autoSpaceDN w:val="0"/>
        <w:adjustRightInd w:val="0"/>
        <w:rPr>
          <w:rFonts w:ascii="Arial" w:hAnsi="Arial" w:cs="Arial"/>
          <w:color w:val="C00000"/>
          <w:sz w:val="20"/>
          <w:szCs w:val="20"/>
        </w:rPr>
      </w:pPr>
    </w:p>
    <w:p w:rsidR="00B3398C" w:rsidRDefault="00B3398C" w:rsidP="008630D8">
      <w:pPr>
        <w:pStyle w:val="Titre1"/>
      </w:pPr>
      <w:bookmarkStart w:id="36" w:name="_Toc195108980"/>
      <w:r w:rsidRPr="009A7C35">
        <w:lastRenderedPageBreak/>
        <w:t>LITIGES</w:t>
      </w:r>
      <w:bookmarkEnd w:id="36"/>
    </w:p>
    <w:p w:rsidR="003A3540" w:rsidRPr="003A3540" w:rsidRDefault="003A3540" w:rsidP="003A3540"/>
    <w:p w:rsidR="00B3398C" w:rsidRPr="00E41D8F" w:rsidRDefault="006D028A" w:rsidP="00E41D8F">
      <w:r w:rsidRPr="00E41D8F">
        <w:t>En cas de désaccord, le représentant du pouvoir adjudicateur apportera une réponse par écrit à la sollicitation du titulaire</w:t>
      </w:r>
    </w:p>
    <w:p w:rsidR="00B3398C" w:rsidRPr="009A7C35" w:rsidRDefault="006D028A" w:rsidP="00E41D8F">
      <w:r>
        <w:t>Si le</w:t>
      </w:r>
      <w:r w:rsidR="00B3398C" w:rsidRPr="009A7C35">
        <w:t xml:space="preserve"> de différend né à l’occasion de l’exécution du présent marché</w:t>
      </w:r>
      <w:r>
        <w:t xml:space="preserve"> persiste</w:t>
      </w:r>
      <w:r w:rsidR="00B3398C" w:rsidRPr="009A7C35">
        <w:t>, les parties s’efforceront de trouver un accord amiable à leur litige.</w:t>
      </w:r>
    </w:p>
    <w:p w:rsidR="00B3398C" w:rsidRPr="009A7C35" w:rsidRDefault="00B3398C" w:rsidP="00E41D8F"/>
    <w:p w:rsidR="00E41D8F" w:rsidRPr="001F4842" w:rsidRDefault="00E41D8F" w:rsidP="00E41D8F">
      <w:pPr>
        <w:spacing w:before="0" w:after="0"/>
      </w:pPr>
      <w:r w:rsidRPr="009A7C35">
        <w:t>A défaut d’accord</w:t>
      </w:r>
      <w:r>
        <w:t xml:space="preserve"> amiable</w:t>
      </w:r>
      <w:r w:rsidRPr="009A7C35">
        <w:t xml:space="preserve">, le tribunal administratif </w:t>
      </w:r>
      <w:r>
        <w:t xml:space="preserve">de Bordeaux </w:t>
      </w:r>
      <w:r w:rsidRPr="009A7C35">
        <w:t>est seul compétent.</w:t>
      </w:r>
    </w:p>
    <w:p w:rsidR="003A3540" w:rsidRDefault="003A3540" w:rsidP="008630D8">
      <w:pPr>
        <w:spacing w:before="0" w:after="0"/>
      </w:pPr>
    </w:p>
    <w:p w:rsidR="003A3540" w:rsidRDefault="003A3540" w:rsidP="008630D8">
      <w:pPr>
        <w:spacing w:before="0" w:after="0"/>
      </w:pPr>
    </w:p>
    <w:sectPr w:rsidR="003A3540" w:rsidSect="000A7363">
      <w:pgSz w:w="11900" w:h="16840"/>
      <w:pgMar w:top="1418" w:right="1418" w:bottom="1418"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0EC4" w:rsidRDefault="00CB0EC4">
      <w:r>
        <w:separator/>
      </w:r>
    </w:p>
  </w:endnote>
  <w:endnote w:type="continuationSeparator" w:id="0">
    <w:p w:rsidR="00CB0EC4" w:rsidRDefault="00CB0E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AvenirNext LT Pro Cn">
    <w:panose1 w:val="020B0506020202020204"/>
    <w:charset w:val="00"/>
    <w:family w:val="swiss"/>
    <w:notTrueType/>
    <w:pitch w:val="variable"/>
    <w:sig w:usb0="800000A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Raleway">
    <w:panose1 w:val="020B0503030101060003"/>
    <w:charset w:val="00"/>
    <w:family w:val="swiss"/>
    <w:pitch w:val="variable"/>
    <w:sig w:usb0="A00002FF" w:usb1="5000205B" w:usb2="00000000" w:usb3="00000000" w:csb0="00000097"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7AE7" w:rsidRDefault="005E7AE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5E7AE7" w:rsidRDefault="005E7AE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7AE7" w:rsidRDefault="005E7AE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3A3540">
      <w:rPr>
        <w:rStyle w:val="Numrodepage"/>
        <w:noProof/>
      </w:rPr>
      <w:t>8</w:t>
    </w:r>
    <w:r>
      <w:rPr>
        <w:rStyle w:val="Numrodepage"/>
      </w:rPr>
      <w:fldChar w:fldCharType="end"/>
    </w:r>
  </w:p>
  <w:p w:rsidR="005E7AE7" w:rsidRDefault="005E7AE7" w:rsidP="00177F31">
    <w:pPr>
      <w:pStyle w:val="Pieddepage"/>
      <w:ind w:right="360"/>
      <w:rPr>
        <w:i/>
        <w:sz w:val="20"/>
        <w:szCs w:val="20"/>
      </w:rPr>
    </w:pPr>
    <w:r w:rsidRPr="00177F31">
      <w:rPr>
        <w:rFonts w:ascii="Arial" w:hAnsi="Arial" w:cs="Arial"/>
        <w:i/>
        <w:sz w:val="20"/>
        <w:szCs w:val="20"/>
      </w:rPr>
      <w:t>Marché à procédure adaptée</w:t>
    </w:r>
    <w:r>
      <w:rPr>
        <w:i/>
        <w:sz w:val="20"/>
        <w:szCs w:val="20"/>
      </w:rPr>
      <w:tab/>
      <w:t xml:space="preserve">                                                                </w:t>
    </w:r>
    <w:r>
      <w:rPr>
        <w:i/>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0EC4" w:rsidRDefault="00CB0EC4">
      <w:r>
        <w:separator/>
      </w:r>
    </w:p>
  </w:footnote>
  <w:footnote w:type="continuationSeparator" w:id="0">
    <w:p w:rsidR="00CB0EC4" w:rsidRDefault="00CB0E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CF3476"/>
    <w:multiLevelType w:val="hybridMultilevel"/>
    <w:tmpl w:val="8E143AD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ED95C4F"/>
    <w:multiLevelType w:val="hybridMultilevel"/>
    <w:tmpl w:val="F69EC16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BF046F"/>
    <w:multiLevelType w:val="hybridMultilevel"/>
    <w:tmpl w:val="AD260DB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15:restartNumberingAfterBreak="0">
    <w:nsid w:val="2A9A1C86"/>
    <w:multiLevelType w:val="hybridMultilevel"/>
    <w:tmpl w:val="F5684F90"/>
    <w:lvl w:ilvl="0" w:tplc="D432002C">
      <w:start w:val="1"/>
      <w:numFmt w:val="bullet"/>
      <w:lvlText w:val="-"/>
      <w:lvlJc w:val="left"/>
      <w:pPr>
        <w:ind w:left="720" w:hanging="360"/>
      </w:pPr>
      <w:rPr>
        <w:rFonts w:ascii="Agency FB" w:hAnsi="Agency FB" w:hint="default"/>
      </w:rPr>
    </w:lvl>
    <w:lvl w:ilvl="1" w:tplc="D8C47B84">
      <w:start w:val="1"/>
      <w:numFmt w:val="bullet"/>
      <w:lvlText w:val="o"/>
      <w:lvlJc w:val="left"/>
      <w:pPr>
        <w:ind w:left="1440" w:hanging="360"/>
      </w:pPr>
      <w:rPr>
        <w:rFonts w:ascii="Courier New" w:hAnsi="Courier New" w:hint="default"/>
      </w:rPr>
    </w:lvl>
    <w:lvl w:ilvl="2" w:tplc="F5C645FC">
      <w:start w:val="1"/>
      <w:numFmt w:val="bullet"/>
      <w:lvlText w:val=""/>
      <w:lvlJc w:val="left"/>
      <w:pPr>
        <w:ind w:left="2160" w:hanging="360"/>
      </w:pPr>
      <w:rPr>
        <w:rFonts w:ascii="Wingdings" w:hAnsi="Wingdings" w:hint="default"/>
      </w:rPr>
    </w:lvl>
    <w:lvl w:ilvl="3" w:tplc="49BE4FEE">
      <w:start w:val="1"/>
      <w:numFmt w:val="bullet"/>
      <w:lvlText w:val=""/>
      <w:lvlJc w:val="left"/>
      <w:pPr>
        <w:ind w:left="2880" w:hanging="360"/>
      </w:pPr>
      <w:rPr>
        <w:rFonts w:ascii="Symbol" w:hAnsi="Symbol" w:hint="default"/>
      </w:rPr>
    </w:lvl>
    <w:lvl w:ilvl="4" w:tplc="AE58012E">
      <w:start w:val="1"/>
      <w:numFmt w:val="bullet"/>
      <w:lvlText w:val="o"/>
      <w:lvlJc w:val="left"/>
      <w:pPr>
        <w:ind w:left="3600" w:hanging="360"/>
      </w:pPr>
      <w:rPr>
        <w:rFonts w:ascii="Courier New" w:hAnsi="Courier New" w:hint="default"/>
      </w:rPr>
    </w:lvl>
    <w:lvl w:ilvl="5" w:tplc="BB0AFC80">
      <w:start w:val="1"/>
      <w:numFmt w:val="bullet"/>
      <w:lvlText w:val=""/>
      <w:lvlJc w:val="left"/>
      <w:pPr>
        <w:ind w:left="4320" w:hanging="360"/>
      </w:pPr>
      <w:rPr>
        <w:rFonts w:ascii="Wingdings" w:hAnsi="Wingdings" w:hint="default"/>
      </w:rPr>
    </w:lvl>
    <w:lvl w:ilvl="6" w:tplc="5FBE7B16">
      <w:start w:val="1"/>
      <w:numFmt w:val="bullet"/>
      <w:lvlText w:val=""/>
      <w:lvlJc w:val="left"/>
      <w:pPr>
        <w:ind w:left="5040" w:hanging="360"/>
      </w:pPr>
      <w:rPr>
        <w:rFonts w:ascii="Symbol" w:hAnsi="Symbol" w:hint="default"/>
      </w:rPr>
    </w:lvl>
    <w:lvl w:ilvl="7" w:tplc="5E2E8FB2">
      <w:start w:val="1"/>
      <w:numFmt w:val="bullet"/>
      <w:lvlText w:val="o"/>
      <w:lvlJc w:val="left"/>
      <w:pPr>
        <w:ind w:left="5760" w:hanging="360"/>
      </w:pPr>
      <w:rPr>
        <w:rFonts w:ascii="Courier New" w:hAnsi="Courier New" w:hint="default"/>
      </w:rPr>
    </w:lvl>
    <w:lvl w:ilvl="8" w:tplc="353A424E">
      <w:start w:val="1"/>
      <w:numFmt w:val="bullet"/>
      <w:lvlText w:val=""/>
      <w:lvlJc w:val="left"/>
      <w:pPr>
        <w:ind w:left="6480" w:hanging="360"/>
      </w:pPr>
      <w:rPr>
        <w:rFonts w:ascii="Wingdings" w:hAnsi="Wingdings" w:hint="default"/>
      </w:rPr>
    </w:lvl>
  </w:abstractNum>
  <w:abstractNum w:abstractNumId="4" w15:restartNumberingAfterBreak="0">
    <w:nsid w:val="381E18F0"/>
    <w:multiLevelType w:val="hybridMultilevel"/>
    <w:tmpl w:val="CF8A93E2"/>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F9E4807"/>
    <w:multiLevelType w:val="multilevel"/>
    <w:tmpl w:val="536A9238"/>
    <w:styleLink w:val="ModleTitre"/>
    <w:lvl w:ilvl="0">
      <w:start w:val="1"/>
      <w:numFmt w:val="decimal"/>
      <w:pStyle w:val="Titre1"/>
      <w:lvlText w:val="%1."/>
      <w:lvlJc w:val="left"/>
      <w:pPr>
        <w:ind w:left="360" w:hanging="360"/>
      </w:pPr>
      <w:rPr>
        <w:rFonts w:hint="default"/>
        <w:b/>
        <w:color w:val="00A6A3"/>
      </w:rPr>
    </w:lvl>
    <w:lvl w:ilvl="1">
      <w:start w:val="1"/>
      <w:numFmt w:val="decimal"/>
      <w:pStyle w:val="Titre2"/>
      <w:lvlText w:val="%1.%2."/>
      <w:lvlJc w:val="left"/>
      <w:pPr>
        <w:ind w:left="792" w:hanging="432"/>
      </w:pPr>
      <w:rPr>
        <w:rFonts w:hint="default"/>
        <w:b/>
        <w:color w:val="00A6A3"/>
      </w:rPr>
    </w:lvl>
    <w:lvl w:ilvl="2">
      <w:start w:val="1"/>
      <w:numFmt w:val="decimal"/>
      <w:pStyle w:val="Titre3"/>
      <w:lvlText w:val="%1.%2.%3."/>
      <w:lvlJc w:val="left"/>
      <w:pPr>
        <w:ind w:left="1224" w:hanging="504"/>
      </w:pPr>
      <w:rPr>
        <w:rFonts w:hint="default"/>
        <w:b/>
        <w:color w:val="00A6A3"/>
      </w:rPr>
    </w:lvl>
    <w:lvl w:ilvl="3">
      <w:start w:val="1"/>
      <w:numFmt w:val="decimal"/>
      <w:pStyle w:val="Titre4"/>
      <w:lvlText w:val="%1.%2.%3.%4."/>
      <w:lvlJc w:val="left"/>
      <w:pPr>
        <w:ind w:left="1728" w:hanging="648"/>
      </w:pPr>
      <w:rPr>
        <w:rFonts w:hint="default"/>
        <w:b/>
        <w:color w:val="00A6A3"/>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56748DA"/>
    <w:multiLevelType w:val="hybridMultilevel"/>
    <w:tmpl w:val="4D9E38E6"/>
    <w:lvl w:ilvl="0" w:tplc="040C0001">
      <w:start w:val="1"/>
      <w:numFmt w:val="bullet"/>
      <w:lvlText w:val=""/>
      <w:lvlJc w:val="left"/>
      <w:pPr>
        <w:ind w:left="720" w:hanging="360"/>
      </w:pPr>
      <w:rPr>
        <w:rFonts w:ascii="Symbol" w:hAnsi="Symbol" w:hint="default"/>
      </w:rPr>
    </w:lvl>
    <w:lvl w:ilvl="1" w:tplc="DB806A3A">
      <w:start w:val="1"/>
      <w:numFmt w:val="bullet"/>
      <w:lvlText w:val="-"/>
      <w:lvlJc w:val="left"/>
      <w:pPr>
        <w:ind w:left="1440" w:hanging="360"/>
      </w:pPr>
      <w:rPr>
        <w:rFonts w:ascii="Agency FB" w:hAnsi="Agency FB"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74C1A6D"/>
    <w:multiLevelType w:val="hybridMultilevel"/>
    <w:tmpl w:val="DCBA88B4"/>
    <w:lvl w:ilvl="0" w:tplc="87D6C65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5"/>
    <w:lvlOverride w:ilvl="1">
      <w:lvl w:ilvl="1">
        <w:start w:val="1"/>
        <w:numFmt w:val="decimal"/>
        <w:pStyle w:val="Titre2"/>
        <w:lvlText w:val="%1.%2."/>
        <w:lvlJc w:val="left"/>
        <w:pPr>
          <w:ind w:left="792" w:hanging="432"/>
        </w:pPr>
        <w:rPr>
          <w:rFonts w:hint="default"/>
          <w:b w:val="0"/>
          <w:color w:val="00A6A3"/>
        </w:rPr>
      </w:lvl>
    </w:lvlOverride>
    <w:lvlOverride w:ilvl="2">
      <w:lvl w:ilvl="2">
        <w:start w:val="1"/>
        <w:numFmt w:val="decimal"/>
        <w:pStyle w:val="Titre3"/>
        <w:lvlText w:val="%1.%2.%3."/>
        <w:lvlJc w:val="left"/>
        <w:pPr>
          <w:ind w:left="1224" w:hanging="504"/>
        </w:pPr>
        <w:rPr>
          <w:rFonts w:hint="default"/>
          <w:b w:val="0"/>
          <w:color w:val="00A6A3"/>
        </w:rPr>
      </w:lvl>
    </w:lvlOverride>
  </w:num>
  <w:num w:numId="4">
    <w:abstractNumId w:val="3"/>
  </w:num>
  <w:num w:numId="5">
    <w:abstractNumId w:val="0"/>
  </w:num>
  <w:num w:numId="6">
    <w:abstractNumId w:val="1"/>
  </w:num>
  <w:num w:numId="7">
    <w:abstractNumId w:val="6"/>
  </w:num>
  <w:num w:numId="8">
    <w:abstractNumId w:val="2"/>
  </w:num>
  <w:num w:numId="9">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C5B"/>
    <w:rsid w:val="000222BE"/>
    <w:rsid w:val="000225F6"/>
    <w:rsid w:val="0009322A"/>
    <w:rsid w:val="00096E84"/>
    <w:rsid w:val="000A175F"/>
    <w:rsid w:val="000A70CD"/>
    <w:rsid w:val="000A7363"/>
    <w:rsid w:val="000B7E1A"/>
    <w:rsid w:val="000E0421"/>
    <w:rsid w:val="000E5048"/>
    <w:rsid w:val="00110B22"/>
    <w:rsid w:val="0011179F"/>
    <w:rsid w:val="001246BE"/>
    <w:rsid w:val="00134A5A"/>
    <w:rsid w:val="001434B3"/>
    <w:rsid w:val="00177F31"/>
    <w:rsid w:val="0019745F"/>
    <w:rsid w:val="001B303D"/>
    <w:rsid w:val="001B75C4"/>
    <w:rsid w:val="001D4D11"/>
    <w:rsid w:val="001D73E9"/>
    <w:rsid w:val="001E21C7"/>
    <w:rsid w:val="002217A4"/>
    <w:rsid w:val="002258B6"/>
    <w:rsid w:val="00226BDE"/>
    <w:rsid w:val="00256376"/>
    <w:rsid w:val="00260443"/>
    <w:rsid w:val="0026288D"/>
    <w:rsid w:val="00274965"/>
    <w:rsid w:val="002B5C0D"/>
    <w:rsid w:val="002E0B6F"/>
    <w:rsid w:val="0030025D"/>
    <w:rsid w:val="00303880"/>
    <w:rsid w:val="003130CA"/>
    <w:rsid w:val="00315C12"/>
    <w:rsid w:val="003732CE"/>
    <w:rsid w:val="00391DB4"/>
    <w:rsid w:val="003A3540"/>
    <w:rsid w:val="003A6402"/>
    <w:rsid w:val="003A7354"/>
    <w:rsid w:val="003B43E6"/>
    <w:rsid w:val="003C2E90"/>
    <w:rsid w:val="003D038F"/>
    <w:rsid w:val="003D5CB1"/>
    <w:rsid w:val="003F0E09"/>
    <w:rsid w:val="00427EB8"/>
    <w:rsid w:val="00460E17"/>
    <w:rsid w:val="00490EF9"/>
    <w:rsid w:val="004968F7"/>
    <w:rsid w:val="004B4750"/>
    <w:rsid w:val="004B692F"/>
    <w:rsid w:val="004C2431"/>
    <w:rsid w:val="004D28CF"/>
    <w:rsid w:val="004D3DD3"/>
    <w:rsid w:val="005144E6"/>
    <w:rsid w:val="00517372"/>
    <w:rsid w:val="00526614"/>
    <w:rsid w:val="005304C9"/>
    <w:rsid w:val="00535101"/>
    <w:rsid w:val="005438B3"/>
    <w:rsid w:val="00546128"/>
    <w:rsid w:val="005B64CE"/>
    <w:rsid w:val="005C0D57"/>
    <w:rsid w:val="005C3C3E"/>
    <w:rsid w:val="005D4468"/>
    <w:rsid w:val="005E1719"/>
    <w:rsid w:val="005E2396"/>
    <w:rsid w:val="005E7AE7"/>
    <w:rsid w:val="005F000E"/>
    <w:rsid w:val="005F22FE"/>
    <w:rsid w:val="00616187"/>
    <w:rsid w:val="006275E0"/>
    <w:rsid w:val="00632595"/>
    <w:rsid w:val="00642A6F"/>
    <w:rsid w:val="006476D6"/>
    <w:rsid w:val="00672562"/>
    <w:rsid w:val="006835E1"/>
    <w:rsid w:val="006A466F"/>
    <w:rsid w:val="006A5B59"/>
    <w:rsid w:val="006B58C5"/>
    <w:rsid w:val="006D028A"/>
    <w:rsid w:val="006E267D"/>
    <w:rsid w:val="006E6173"/>
    <w:rsid w:val="006F2DAE"/>
    <w:rsid w:val="00707B79"/>
    <w:rsid w:val="00727A04"/>
    <w:rsid w:val="0073069F"/>
    <w:rsid w:val="0074183C"/>
    <w:rsid w:val="007574F4"/>
    <w:rsid w:val="00762119"/>
    <w:rsid w:val="007632CF"/>
    <w:rsid w:val="0076384B"/>
    <w:rsid w:val="00770F2B"/>
    <w:rsid w:val="0078617B"/>
    <w:rsid w:val="007B55D0"/>
    <w:rsid w:val="007D4058"/>
    <w:rsid w:val="008013EA"/>
    <w:rsid w:val="00804DB9"/>
    <w:rsid w:val="0084647A"/>
    <w:rsid w:val="00853264"/>
    <w:rsid w:val="008550CD"/>
    <w:rsid w:val="0085733E"/>
    <w:rsid w:val="0086249B"/>
    <w:rsid w:val="008630D8"/>
    <w:rsid w:val="008A6B95"/>
    <w:rsid w:val="008B165D"/>
    <w:rsid w:val="008F4506"/>
    <w:rsid w:val="009101CC"/>
    <w:rsid w:val="00911DB8"/>
    <w:rsid w:val="00923D5F"/>
    <w:rsid w:val="00933FED"/>
    <w:rsid w:val="00935797"/>
    <w:rsid w:val="00942412"/>
    <w:rsid w:val="00943F8C"/>
    <w:rsid w:val="00947C2D"/>
    <w:rsid w:val="00992133"/>
    <w:rsid w:val="009A1C79"/>
    <w:rsid w:val="009A7C35"/>
    <w:rsid w:val="009B3DCF"/>
    <w:rsid w:val="009C3CDF"/>
    <w:rsid w:val="009F0C4E"/>
    <w:rsid w:val="009F23A3"/>
    <w:rsid w:val="009F5ECE"/>
    <w:rsid w:val="00A0496B"/>
    <w:rsid w:val="00A064F9"/>
    <w:rsid w:val="00A15D8F"/>
    <w:rsid w:val="00A3416A"/>
    <w:rsid w:val="00A44887"/>
    <w:rsid w:val="00A56ED2"/>
    <w:rsid w:val="00A710F6"/>
    <w:rsid w:val="00AA070F"/>
    <w:rsid w:val="00AA1ADB"/>
    <w:rsid w:val="00AA3FDE"/>
    <w:rsid w:val="00AB580E"/>
    <w:rsid w:val="00AE2B69"/>
    <w:rsid w:val="00AF5EF1"/>
    <w:rsid w:val="00AF7ADE"/>
    <w:rsid w:val="00B06C5B"/>
    <w:rsid w:val="00B1466D"/>
    <w:rsid w:val="00B152C6"/>
    <w:rsid w:val="00B33888"/>
    <w:rsid w:val="00B3398C"/>
    <w:rsid w:val="00B51FA9"/>
    <w:rsid w:val="00B649EA"/>
    <w:rsid w:val="00BA6ADE"/>
    <w:rsid w:val="00BC6C36"/>
    <w:rsid w:val="00BE0EAA"/>
    <w:rsid w:val="00BE518A"/>
    <w:rsid w:val="00BF0619"/>
    <w:rsid w:val="00C27CC1"/>
    <w:rsid w:val="00C30000"/>
    <w:rsid w:val="00C31F9D"/>
    <w:rsid w:val="00C51553"/>
    <w:rsid w:val="00C649C5"/>
    <w:rsid w:val="00C64DD9"/>
    <w:rsid w:val="00CA6331"/>
    <w:rsid w:val="00CB0EC4"/>
    <w:rsid w:val="00CB348C"/>
    <w:rsid w:val="00CC0030"/>
    <w:rsid w:val="00CC1566"/>
    <w:rsid w:val="00CC6995"/>
    <w:rsid w:val="00CF46C8"/>
    <w:rsid w:val="00D018BB"/>
    <w:rsid w:val="00D12347"/>
    <w:rsid w:val="00D25A0C"/>
    <w:rsid w:val="00D355F1"/>
    <w:rsid w:val="00D3645B"/>
    <w:rsid w:val="00D70D30"/>
    <w:rsid w:val="00D93310"/>
    <w:rsid w:val="00DA08FD"/>
    <w:rsid w:val="00DB04A9"/>
    <w:rsid w:val="00DB68A2"/>
    <w:rsid w:val="00DE5213"/>
    <w:rsid w:val="00E2297B"/>
    <w:rsid w:val="00E27125"/>
    <w:rsid w:val="00E37210"/>
    <w:rsid w:val="00E41D8F"/>
    <w:rsid w:val="00E4467E"/>
    <w:rsid w:val="00E53939"/>
    <w:rsid w:val="00EA21B3"/>
    <w:rsid w:val="00EC30B3"/>
    <w:rsid w:val="00ED48FC"/>
    <w:rsid w:val="00EE3818"/>
    <w:rsid w:val="00EF4146"/>
    <w:rsid w:val="00F11683"/>
    <w:rsid w:val="00F23885"/>
    <w:rsid w:val="00F317F6"/>
    <w:rsid w:val="00F73FDA"/>
    <w:rsid w:val="00F84DE2"/>
    <w:rsid w:val="00F85B11"/>
    <w:rsid w:val="00FA13E4"/>
    <w:rsid w:val="00FB2BD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EF98DCC-37FF-428D-A78F-0F04FBA83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0496B"/>
    <w:pPr>
      <w:spacing w:before="120" w:after="120"/>
      <w:jc w:val="both"/>
    </w:pPr>
    <w:rPr>
      <w:rFonts w:ascii="AvenirNext LT Pro Cn" w:eastAsiaTheme="minorHAnsi" w:hAnsi="AvenirNext LT Pro Cn" w:cstheme="minorBidi"/>
      <w:sz w:val="22"/>
      <w:szCs w:val="22"/>
      <w:lang w:eastAsia="en-US"/>
    </w:rPr>
  </w:style>
  <w:style w:type="paragraph" w:styleId="Titre1">
    <w:name w:val="heading 1"/>
    <w:basedOn w:val="Normal"/>
    <w:next w:val="Normal"/>
    <w:link w:val="Titre1Car"/>
    <w:uiPriority w:val="9"/>
    <w:qFormat/>
    <w:rsid w:val="00A0496B"/>
    <w:pPr>
      <w:keepNext/>
      <w:keepLines/>
      <w:numPr>
        <w:numId w:val="3"/>
      </w:numPr>
      <w:spacing w:before="240" w:after="0"/>
      <w:outlineLvl w:val="0"/>
    </w:pPr>
    <w:rPr>
      <w:rFonts w:ascii="Raleway" w:eastAsiaTheme="majorEastAsia" w:hAnsi="Raleway" w:cstheme="majorBidi"/>
      <w:color w:val="00A3A6"/>
      <w:sz w:val="32"/>
      <w:szCs w:val="32"/>
    </w:rPr>
  </w:style>
  <w:style w:type="paragraph" w:styleId="Titre2">
    <w:name w:val="heading 2"/>
    <w:basedOn w:val="Titre1"/>
    <w:next w:val="Normal"/>
    <w:link w:val="Titre2Car"/>
    <w:autoRedefine/>
    <w:uiPriority w:val="9"/>
    <w:unhideWhenUsed/>
    <w:qFormat/>
    <w:rsid w:val="00A0496B"/>
    <w:pPr>
      <w:numPr>
        <w:ilvl w:val="1"/>
      </w:numPr>
      <w:spacing w:before="40"/>
      <w:outlineLvl w:val="1"/>
    </w:pPr>
    <w:rPr>
      <w:sz w:val="26"/>
      <w:szCs w:val="26"/>
    </w:rPr>
  </w:style>
  <w:style w:type="paragraph" w:styleId="Titre3">
    <w:name w:val="heading 3"/>
    <w:basedOn w:val="Titre2"/>
    <w:next w:val="Normal"/>
    <w:link w:val="Titre3Car"/>
    <w:uiPriority w:val="9"/>
    <w:unhideWhenUsed/>
    <w:qFormat/>
    <w:rsid w:val="00A0496B"/>
    <w:pPr>
      <w:numPr>
        <w:ilvl w:val="2"/>
      </w:numPr>
      <w:outlineLvl w:val="2"/>
    </w:pPr>
    <w:rPr>
      <w:rFonts w:ascii="AvenirNext LT Pro Cn" w:hAnsi="AvenirNext LT Pro Cn"/>
      <w:sz w:val="24"/>
      <w:szCs w:val="24"/>
    </w:rPr>
  </w:style>
  <w:style w:type="paragraph" w:styleId="Titre4">
    <w:name w:val="heading 4"/>
    <w:basedOn w:val="Normal"/>
    <w:next w:val="Normal"/>
    <w:link w:val="Titre4Car"/>
    <w:uiPriority w:val="9"/>
    <w:unhideWhenUsed/>
    <w:qFormat/>
    <w:rsid w:val="00A0496B"/>
    <w:pPr>
      <w:keepNext/>
      <w:keepLines/>
      <w:numPr>
        <w:ilvl w:val="3"/>
        <w:numId w:val="3"/>
      </w:numPr>
      <w:spacing w:before="40" w:after="0"/>
      <w:outlineLvl w:val="3"/>
    </w:pPr>
    <w:rPr>
      <w:rFonts w:ascii="Raleway" w:eastAsiaTheme="majorEastAsia" w:hAnsi="Raleway" w:cstheme="majorBidi"/>
      <w:i/>
      <w:iCs/>
      <w:color w:val="00A6A3"/>
    </w:rPr>
  </w:style>
  <w:style w:type="paragraph" w:styleId="Titre6">
    <w:name w:val="heading 6"/>
    <w:basedOn w:val="Normal"/>
    <w:next w:val="Normal"/>
    <w:qFormat/>
    <w:pPr>
      <w:spacing w:before="240" w:after="60"/>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Lgende">
    <w:name w:val="caption"/>
    <w:basedOn w:val="Normal"/>
    <w:next w:val="Normal"/>
    <w:qFormat/>
    <w:pPr>
      <w:ind w:left="-900" w:right="5112"/>
      <w:jc w:val="center"/>
    </w:pPr>
    <w:rPr>
      <w:b/>
      <w:bCs/>
      <w:sz w:val="20"/>
    </w:rPr>
  </w:style>
  <w:style w:type="paragraph" w:styleId="En-tte">
    <w:name w:val="header"/>
    <w:basedOn w:val="Normal"/>
    <w:pPr>
      <w:tabs>
        <w:tab w:val="center" w:pos="4536"/>
        <w:tab w:val="right" w:pos="9072"/>
      </w:tabs>
    </w:pPr>
  </w:style>
  <w:style w:type="paragraph" w:customStyle="1" w:styleId="Car">
    <w:name w:val="Car"/>
    <w:basedOn w:val="Normal"/>
    <w:pPr>
      <w:spacing w:after="160" w:line="240" w:lineRule="exact"/>
    </w:pPr>
    <w:rPr>
      <w:rFonts w:ascii="Verdana" w:hAnsi="Verdana"/>
      <w:sz w:val="20"/>
      <w:szCs w:val="20"/>
      <w:lang w:val="en-US"/>
    </w:rPr>
  </w:style>
  <w:style w:type="paragraph" w:styleId="TM2">
    <w:name w:val="toc 2"/>
    <w:basedOn w:val="Normal"/>
    <w:next w:val="Normal"/>
    <w:autoRedefine/>
    <w:uiPriority w:val="39"/>
    <w:rsid w:val="001B75C4"/>
    <w:pPr>
      <w:tabs>
        <w:tab w:val="right" w:leader="dot" w:pos="9050"/>
      </w:tabs>
    </w:pPr>
    <w:rPr>
      <w:rFonts w:ascii="Arial" w:hAnsi="Arial" w:cs="Arial"/>
    </w:rPr>
  </w:style>
  <w:style w:type="character" w:styleId="Lienhypertexte">
    <w:name w:val="Hyperlink"/>
    <w:uiPriority w:val="99"/>
    <w:rPr>
      <w:color w:val="0000FF"/>
      <w:u w:val="single"/>
    </w:rPr>
  </w:style>
  <w:style w:type="paragraph" w:styleId="Retraitcorpsdetexte">
    <w:name w:val="Body Text Indent"/>
    <w:basedOn w:val="Normal"/>
    <w:pPr>
      <w:ind w:left="4962"/>
    </w:pPr>
    <w:rPr>
      <w:rFonts w:ascii="Arial" w:hAnsi="Arial" w:cs="Arial"/>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Corpsdetexte3">
    <w:name w:val="Body Text 3"/>
    <w:basedOn w:val="Normal"/>
    <w:rPr>
      <w:sz w:val="16"/>
      <w:szCs w:val="16"/>
    </w:rPr>
  </w:style>
  <w:style w:type="paragraph" w:styleId="TM3">
    <w:name w:val="toc 3"/>
    <w:basedOn w:val="Normal"/>
    <w:next w:val="Normal"/>
    <w:autoRedefine/>
    <w:uiPriority w:val="39"/>
    <w:pPr>
      <w:ind w:left="480"/>
    </w:pPr>
  </w:style>
  <w:style w:type="paragraph" w:styleId="Textedebulles">
    <w:name w:val="Balloon Text"/>
    <w:basedOn w:val="Normal"/>
    <w:semiHidden/>
    <w:rPr>
      <w:rFonts w:ascii="Tahoma" w:hAnsi="Tahoma" w:cs="Tahoma"/>
      <w:sz w:val="16"/>
      <w:szCs w:val="16"/>
    </w:rPr>
  </w:style>
  <w:style w:type="character" w:styleId="Marquedecommentaire">
    <w:name w:val="annotation reference"/>
    <w:semiHidden/>
    <w:rPr>
      <w:sz w:val="16"/>
      <w:szCs w:val="16"/>
    </w:rPr>
  </w:style>
  <w:style w:type="paragraph" w:styleId="Commentaire">
    <w:name w:val="annotation text"/>
    <w:basedOn w:val="Normal"/>
    <w:semiHidden/>
    <w:rPr>
      <w:sz w:val="20"/>
      <w:szCs w:val="20"/>
    </w:rPr>
  </w:style>
  <w:style w:type="paragraph" w:styleId="Objetducommentaire">
    <w:name w:val="annotation subject"/>
    <w:basedOn w:val="Commentaire"/>
    <w:next w:val="Commentaire"/>
    <w:semiHidden/>
    <w:rPr>
      <w:b/>
      <w:bCs/>
    </w:rPr>
  </w:style>
  <w:style w:type="paragraph" w:styleId="Corpsdetexte">
    <w:name w:val="Body Text"/>
    <w:basedOn w:val="Normal"/>
  </w:style>
  <w:style w:type="paragraph" w:styleId="Corpsdetexte2">
    <w:name w:val="Body Text 2"/>
    <w:basedOn w:val="Normal"/>
    <w:pPr>
      <w:spacing w:line="480" w:lineRule="auto"/>
    </w:pPr>
    <w:rPr>
      <w:sz w:val="20"/>
      <w:szCs w:val="20"/>
    </w:rPr>
  </w:style>
  <w:style w:type="paragraph" w:styleId="Paragraphedeliste">
    <w:name w:val="List Paragraph"/>
    <w:basedOn w:val="Normal"/>
    <w:uiPriority w:val="34"/>
    <w:qFormat/>
    <w:rsid w:val="00E37210"/>
    <w:pPr>
      <w:ind w:left="708"/>
    </w:pPr>
  </w:style>
  <w:style w:type="character" w:customStyle="1" w:styleId="Titre1Car">
    <w:name w:val="Titre 1 Car"/>
    <w:basedOn w:val="Policepardfaut"/>
    <w:link w:val="Titre1"/>
    <w:uiPriority w:val="9"/>
    <w:rsid w:val="00A0496B"/>
    <w:rPr>
      <w:rFonts w:ascii="Raleway" w:eastAsiaTheme="majorEastAsia" w:hAnsi="Raleway" w:cstheme="majorBidi"/>
      <w:color w:val="00A3A6"/>
      <w:sz w:val="32"/>
      <w:szCs w:val="32"/>
      <w:lang w:eastAsia="en-US"/>
    </w:rPr>
  </w:style>
  <w:style w:type="character" w:customStyle="1" w:styleId="Titre2Car">
    <w:name w:val="Titre 2 Car"/>
    <w:basedOn w:val="Policepardfaut"/>
    <w:link w:val="Titre2"/>
    <w:uiPriority w:val="9"/>
    <w:rsid w:val="00A0496B"/>
    <w:rPr>
      <w:rFonts w:ascii="Raleway" w:eastAsiaTheme="majorEastAsia" w:hAnsi="Raleway" w:cstheme="majorBidi"/>
      <w:color w:val="00A3A6"/>
      <w:sz w:val="26"/>
      <w:szCs w:val="26"/>
      <w:lang w:eastAsia="en-US"/>
    </w:rPr>
  </w:style>
  <w:style w:type="paragraph" w:styleId="Titre">
    <w:name w:val="Title"/>
    <w:basedOn w:val="Normal"/>
    <w:next w:val="Normal"/>
    <w:link w:val="TitreCar"/>
    <w:uiPriority w:val="10"/>
    <w:qFormat/>
    <w:rsid w:val="00A0496B"/>
    <w:pPr>
      <w:spacing w:after="0"/>
      <w:contextualSpacing/>
      <w:jc w:val="center"/>
    </w:pPr>
    <w:rPr>
      <w:rFonts w:ascii="Raleway" w:eastAsiaTheme="majorEastAsia" w:hAnsi="Raleway" w:cstheme="majorBidi"/>
      <w:b/>
      <w:spacing w:val="-10"/>
      <w:kern w:val="28"/>
      <w:sz w:val="56"/>
      <w:szCs w:val="56"/>
    </w:rPr>
  </w:style>
  <w:style w:type="character" w:customStyle="1" w:styleId="TitreCar">
    <w:name w:val="Titre Car"/>
    <w:basedOn w:val="Policepardfaut"/>
    <w:link w:val="Titre"/>
    <w:uiPriority w:val="10"/>
    <w:rsid w:val="00A0496B"/>
    <w:rPr>
      <w:rFonts w:ascii="Raleway" w:eastAsiaTheme="majorEastAsia" w:hAnsi="Raleway" w:cstheme="majorBidi"/>
      <w:b/>
      <w:spacing w:val="-10"/>
      <w:kern w:val="28"/>
      <w:sz w:val="56"/>
      <w:szCs w:val="56"/>
      <w:lang w:eastAsia="en-US"/>
    </w:rPr>
  </w:style>
  <w:style w:type="character" w:customStyle="1" w:styleId="Titre3Car">
    <w:name w:val="Titre 3 Car"/>
    <w:basedOn w:val="Policepardfaut"/>
    <w:link w:val="Titre3"/>
    <w:uiPriority w:val="9"/>
    <w:rsid w:val="00A0496B"/>
    <w:rPr>
      <w:rFonts w:ascii="AvenirNext LT Pro Cn" w:eastAsiaTheme="majorEastAsia" w:hAnsi="AvenirNext LT Pro Cn" w:cstheme="majorBidi"/>
      <w:color w:val="00A3A6"/>
      <w:sz w:val="24"/>
      <w:szCs w:val="24"/>
      <w:lang w:eastAsia="en-US"/>
    </w:rPr>
  </w:style>
  <w:style w:type="character" w:customStyle="1" w:styleId="Titre4Car">
    <w:name w:val="Titre 4 Car"/>
    <w:basedOn w:val="Policepardfaut"/>
    <w:link w:val="Titre4"/>
    <w:uiPriority w:val="9"/>
    <w:rsid w:val="00A0496B"/>
    <w:rPr>
      <w:rFonts w:ascii="Raleway" w:eastAsiaTheme="majorEastAsia" w:hAnsi="Raleway" w:cstheme="majorBidi"/>
      <w:i/>
      <w:iCs/>
      <w:color w:val="00A6A3"/>
      <w:sz w:val="22"/>
      <w:szCs w:val="22"/>
      <w:lang w:eastAsia="en-US"/>
    </w:rPr>
  </w:style>
  <w:style w:type="numbering" w:customStyle="1" w:styleId="ModleTitre">
    <w:name w:val="Modèle Titre"/>
    <w:uiPriority w:val="99"/>
    <w:rsid w:val="00A0496B"/>
    <w:pPr>
      <w:numPr>
        <w:numId w:val="9"/>
      </w:numPr>
    </w:pPr>
  </w:style>
  <w:style w:type="paragraph" w:styleId="TM1">
    <w:name w:val="toc 1"/>
    <w:basedOn w:val="Normal"/>
    <w:next w:val="Normal"/>
    <w:autoRedefine/>
    <w:uiPriority w:val="39"/>
    <w:unhideWhenUsed/>
    <w:rsid w:val="004D28CF"/>
    <w:pPr>
      <w:spacing w:after="100"/>
    </w:pPr>
  </w:style>
  <w:style w:type="table" w:styleId="Grilledutableau">
    <w:name w:val="Table Grid"/>
    <w:basedOn w:val="TableauNormal"/>
    <w:rsid w:val="001117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semiHidden/>
    <w:unhideWhenUsed/>
    <w:rsid w:val="00CC0030"/>
    <w:rPr>
      <w:color w:val="800080" w:themeColor="followedHyperlink"/>
      <w:u w:val="single"/>
    </w:rPr>
  </w:style>
  <w:style w:type="character" w:styleId="Mentionnonrsolue">
    <w:name w:val="Unresolved Mention"/>
    <w:basedOn w:val="Policepardfaut"/>
    <w:uiPriority w:val="99"/>
    <w:semiHidden/>
    <w:unhideWhenUsed/>
    <w:rsid w:val="00CC00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references.modernisation.gouv.fr/referentiel/" TargetMode="External"/><Relationship Id="rId18" Type="http://schemas.openxmlformats.org/officeDocument/2006/relationships/hyperlink" Target="https://www.cnil.fr/fr/commande-publique-quel-acteur-est-responsable-au-regard-du-rgpd"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gif"/><Relationship Id="rId12" Type="http://schemas.openxmlformats.org/officeDocument/2006/relationships/hyperlink" Target="http://references.modernisation.gouv.fr/interoperabilite" TargetMode="External"/><Relationship Id="rId17" Type="http://schemas.openxmlformats.org/officeDocument/2006/relationships/hyperlink" Target="https://www.cnil.fr/fr/ce-quil-faut-savoir-sur-lanalyse-dimpact-relative-la-protection-des-donnees-aipd" TargetMode="External"/><Relationship Id="rId2" Type="http://schemas.openxmlformats.org/officeDocument/2006/relationships/styles" Target="styles.xml"/><Relationship Id="rId16" Type="http://schemas.openxmlformats.org/officeDocument/2006/relationships/hyperlink" Target="https://www.cnil.fr/fr/reglement-europeen-protection-donnees"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horus-pro.gouv.fr" TargetMode="External"/><Relationship Id="rId5" Type="http://schemas.openxmlformats.org/officeDocument/2006/relationships/footnotes" Target="footnotes.xml"/><Relationship Id="rId15" Type="http://schemas.openxmlformats.org/officeDocument/2006/relationships/hyperlink" Target="https://www.ssi.gouv.fr/entreprise/reglementation/protection-des-systemes-dinformations/la-politique-de-securite-des-systemes-dinformation-de-letat-pssie/" TargetMode="External"/><Relationship Id="rId10" Type="http://schemas.openxmlformats.org/officeDocument/2006/relationships/hyperlink" Target="https://www.legifrance.gouv.fr/jorf/id/JORFTEXT000043310613" TargetMode="External"/><Relationship Id="rId19" Type="http://schemas.openxmlformats.org/officeDocument/2006/relationships/hyperlink" Target="https://www.cnil.fr/fr/sous-traitance-exemple-de-clauses"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www.ssi.gouv.fr/administration/reglementation/confiance-numerique/le-referentiel-general-de-securite-rg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farre\AppData\Roaming\Microsoft\Templates\Normal%20INRA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 INRAE.dotm</Template>
  <TotalTime>83</TotalTime>
  <Pages>10</Pages>
  <Words>2535</Words>
  <Characters>17451</Characters>
  <Application>Microsoft Office Word</Application>
  <DocSecurity>0</DocSecurity>
  <Lines>145</Lines>
  <Paragraphs>39</Paragraphs>
  <ScaleCrop>false</ScaleCrop>
  <HeadingPairs>
    <vt:vector size="2" baseType="variant">
      <vt:variant>
        <vt:lpstr>Titre</vt:lpstr>
      </vt:variant>
      <vt:variant>
        <vt:i4>1</vt:i4>
      </vt:variant>
    </vt:vector>
  </HeadingPairs>
  <TitlesOfParts>
    <vt:vector size="1" baseType="lpstr">
      <vt:lpstr>MAPA type</vt:lpstr>
    </vt:vector>
  </TitlesOfParts>
  <Company>INRA</Company>
  <LinksUpToDate>false</LinksUpToDate>
  <CharactersWithSpaces>19947</CharactersWithSpaces>
  <SharedDoc>false</SharedDoc>
  <HLinks>
    <vt:vector size="78" baseType="variant">
      <vt:variant>
        <vt:i4>1376308</vt:i4>
      </vt:variant>
      <vt:variant>
        <vt:i4>74</vt:i4>
      </vt:variant>
      <vt:variant>
        <vt:i4>0</vt:i4>
      </vt:variant>
      <vt:variant>
        <vt:i4>5</vt:i4>
      </vt:variant>
      <vt:variant>
        <vt:lpwstr/>
      </vt:variant>
      <vt:variant>
        <vt:lpwstr>_Toc416943298</vt:lpwstr>
      </vt:variant>
      <vt:variant>
        <vt:i4>1376308</vt:i4>
      </vt:variant>
      <vt:variant>
        <vt:i4>68</vt:i4>
      </vt:variant>
      <vt:variant>
        <vt:i4>0</vt:i4>
      </vt:variant>
      <vt:variant>
        <vt:i4>5</vt:i4>
      </vt:variant>
      <vt:variant>
        <vt:lpwstr/>
      </vt:variant>
      <vt:variant>
        <vt:lpwstr>_Toc416943297</vt:lpwstr>
      </vt:variant>
      <vt:variant>
        <vt:i4>1376308</vt:i4>
      </vt:variant>
      <vt:variant>
        <vt:i4>62</vt:i4>
      </vt:variant>
      <vt:variant>
        <vt:i4>0</vt:i4>
      </vt:variant>
      <vt:variant>
        <vt:i4>5</vt:i4>
      </vt:variant>
      <vt:variant>
        <vt:lpwstr/>
      </vt:variant>
      <vt:variant>
        <vt:lpwstr>_Toc416943296</vt:lpwstr>
      </vt:variant>
      <vt:variant>
        <vt:i4>1376308</vt:i4>
      </vt:variant>
      <vt:variant>
        <vt:i4>56</vt:i4>
      </vt:variant>
      <vt:variant>
        <vt:i4>0</vt:i4>
      </vt:variant>
      <vt:variant>
        <vt:i4>5</vt:i4>
      </vt:variant>
      <vt:variant>
        <vt:lpwstr/>
      </vt:variant>
      <vt:variant>
        <vt:lpwstr>_Toc416943295</vt:lpwstr>
      </vt:variant>
      <vt:variant>
        <vt:i4>1376308</vt:i4>
      </vt:variant>
      <vt:variant>
        <vt:i4>50</vt:i4>
      </vt:variant>
      <vt:variant>
        <vt:i4>0</vt:i4>
      </vt:variant>
      <vt:variant>
        <vt:i4>5</vt:i4>
      </vt:variant>
      <vt:variant>
        <vt:lpwstr/>
      </vt:variant>
      <vt:variant>
        <vt:lpwstr>_Toc416943294</vt:lpwstr>
      </vt:variant>
      <vt:variant>
        <vt:i4>1376308</vt:i4>
      </vt:variant>
      <vt:variant>
        <vt:i4>44</vt:i4>
      </vt:variant>
      <vt:variant>
        <vt:i4>0</vt:i4>
      </vt:variant>
      <vt:variant>
        <vt:i4>5</vt:i4>
      </vt:variant>
      <vt:variant>
        <vt:lpwstr/>
      </vt:variant>
      <vt:variant>
        <vt:lpwstr>_Toc416943293</vt:lpwstr>
      </vt:variant>
      <vt:variant>
        <vt:i4>1376308</vt:i4>
      </vt:variant>
      <vt:variant>
        <vt:i4>38</vt:i4>
      </vt:variant>
      <vt:variant>
        <vt:i4>0</vt:i4>
      </vt:variant>
      <vt:variant>
        <vt:i4>5</vt:i4>
      </vt:variant>
      <vt:variant>
        <vt:lpwstr/>
      </vt:variant>
      <vt:variant>
        <vt:lpwstr>_Toc416943292</vt:lpwstr>
      </vt:variant>
      <vt:variant>
        <vt:i4>1376308</vt:i4>
      </vt:variant>
      <vt:variant>
        <vt:i4>32</vt:i4>
      </vt:variant>
      <vt:variant>
        <vt:i4>0</vt:i4>
      </vt:variant>
      <vt:variant>
        <vt:i4>5</vt:i4>
      </vt:variant>
      <vt:variant>
        <vt:lpwstr/>
      </vt:variant>
      <vt:variant>
        <vt:lpwstr>_Toc416943291</vt:lpwstr>
      </vt:variant>
      <vt:variant>
        <vt:i4>1376308</vt:i4>
      </vt:variant>
      <vt:variant>
        <vt:i4>26</vt:i4>
      </vt:variant>
      <vt:variant>
        <vt:i4>0</vt:i4>
      </vt:variant>
      <vt:variant>
        <vt:i4>5</vt:i4>
      </vt:variant>
      <vt:variant>
        <vt:lpwstr/>
      </vt:variant>
      <vt:variant>
        <vt:lpwstr>_Toc416943290</vt:lpwstr>
      </vt:variant>
      <vt:variant>
        <vt:i4>1310772</vt:i4>
      </vt:variant>
      <vt:variant>
        <vt:i4>20</vt:i4>
      </vt:variant>
      <vt:variant>
        <vt:i4>0</vt:i4>
      </vt:variant>
      <vt:variant>
        <vt:i4>5</vt:i4>
      </vt:variant>
      <vt:variant>
        <vt:lpwstr/>
      </vt:variant>
      <vt:variant>
        <vt:lpwstr>_Toc416943289</vt:lpwstr>
      </vt:variant>
      <vt:variant>
        <vt:i4>1310772</vt:i4>
      </vt:variant>
      <vt:variant>
        <vt:i4>14</vt:i4>
      </vt:variant>
      <vt:variant>
        <vt:i4>0</vt:i4>
      </vt:variant>
      <vt:variant>
        <vt:i4>5</vt:i4>
      </vt:variant>
      <vt:variant>
        <vt:lpwstr/>
      </vt:variant>
      <vt:variant>
        <vt:lpwstr>_Toc416943288</vt:lpwstr>
      </vt:variant>
      <vt:variant>
        <vt:i4>1310772</vt:i4>
      </vt:variant>
      <vt:variant>
        <vt:i4>8</vt:i4>
      </vt:variant>
      <vt:variant>
        <vt:i4>0</vt:i4>
      </vt:variant>
      <vt:variant>
        <vt:i4>5</vt:i4>
      </vt:variant>
      <vt:variant>
        <vt:lpwstr/>
      </vt:variant>
      <vt:variant>
        <vt:lpwstr>_Toc416943287</vt:lpwstr>
      </vt:variant>
      <vt:variant>
        <vt:i4>1310772</vt:i4>
      </vt:variant>
      <vt:variant>
        <vt:i4>2</vt:i4>
      </vt:variant>
      <vt:variant>
        <vt:i4>0</vt:i4>
      </vt:variant>
      <vt:variant>
        <vt:i4>5</vt:i4>
      </vt:variant>
      <vt:variant>
        <vt:lpwstr/>
      </vt:variant>
      <vt:variant>
        <vt:lpwstr>_Toc416943286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MAPA type</dc:title>
  <dc:creator>xavier.gallaisdechateaucroc@paris.inra.fr</dc:creator>
  <cp:lastModifiedBy>Barbara Alarcon</cp:lastModifiedBy>
  <cp:revision>7</cp:revision>
  <cp:lastPrinted>2017-02-21T15:12:00Z</cp:lastPrinted>
  <dcterms:created xsi:type="dcterms:W3CDTF">2025-04-04T12:56:00Z</dcterms:created>
  <dcterms:modified xsi:type="dcterms:W3CDTF">2025-04-14T09:08:00Z</dcterms:modified>
</cp:coreProperties>
</file>