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E33CE" w14:textId="519F844B" w:rsidR="000B181B" w:rsidRDefault="000B181B" w:rsidP="000B181B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ind w:left="142" w:right="141"/>
        <w:jc w:val="center"/>
        <w:rPr>
          <w:rFonts w:ascii="Century Gothic" w:hAnsi="Century Gothic" w:cstheme="minorBidi"/>
          <w:bCs w:val="0"/>
          <w:sz w:val="32"/>
        </w:rPr>
      </w:pPr>
      <w:r w:rsidRPr="007E1B91">
        <w:rPr>
          <w:rFonts w:ascii="Century Gothic" w:hAnsi="Century Gothic" w:cstheme="minorBidi"/>
          <w:bCs w:val="0"/>
          <w:sz w:val="32"/>
        </w:rPr>
        <w:t xml:space="preserve">MARCHE PUBLIC DE </w:t>
      </w:r>
      <w:r>
        <w:rPr>
          <w:rFonts w:ascii="Century Gothic" w:hAnsi="Century Gothic" w:cstheme="minorBidi"/>
          <w:bCs w:val="0"/>
          <w:sz w:val="32"/>
        </w:rPr>
        <w:t xml:space="preserve">TRAVAUX </w:t>
      </w:r>
      <w:r w:rsidRPr="00263C86">
        <w:rPr>
          <w:rFonts w:ascii="Century Gothic" w:hAnsi="Century Gothic" w:cstheme="minorBidi"/>
          <w:b/>
          <w:sz w:val="32"/>
        </w:rPr>
        <w:t>N°</w:t>
      </w:r>
      <w:r w:rsidR="00482E9B">
        <w:rPr>
          <w:rFonts w:ascii="Century Gothic" w:hAnsi="Century Gothic" w:cstheme="minorBidi"/>
          <w:b/>
          <w:sz w:val="32"/>
        </w:rPr>
        <w:t>2025-019</w:t>
      </w:r>
      <w:r>
        <w:rPr>
          <w:rFonts w:ascii="Century Gothic" w:hAnsi="Century Gothic" w:cstheme="minorBidi"/>
          <w:b/>
          <w:sz w:val="32"/>
        </w:rPr>
        <w:t>-TVX</w:t>
      </w:r>
    </w:p>
    <w:p w14:paraId="600639FB" w14:textId="77777777" w:rsidR="000B181B" w:rsidRDefault="000B181B" w:rsidP="000B181B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ind w:left="142" w:right="141"/>
        <w:jc w:val="center"/>
        <w:rPr>
          <w:rFonts w:ascii="Century Gothic" w:hAnsi="Century Gothic" w:cstheme="minorBidi"/>
          <w:bCs w:val="0"/>
          <w:sz w:val="32"/>
        </w:rPr>
      </w:pPr>
    </w:p>
    <w:p w14:paraId="69EB2B59" w14:textId="77777777" w:rsidR="000B181B" w:rsidRDefault="000B181B" w:rsidP="000B181B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ind w:left="142" w:right="141"/>
        <w:jc w:val="center"/>
        <w:rPr>
          <w:rFonts w:ascii="Century Gothic" w:hAnsi="Century Gothic" w:cstheme="minorBidi"/>
          <w:bCs w:val="0"/>
          <w:sz w:val="32"/>
        </w:rPr>
      </w:pPr>
      <w:r>
        <w:rPr>
          <w:noProof/>
        </w:rPr>
        <w:drawing>
          <wp:inline distT="0" distB="0" distL="0" distR="0" wp14:anchorId="582D80B9" wp14:editId="64B00FBF">
            <wp:extent cx="1800225" cy="1800225"/>
            <wp:effectExtent l="0" t="0" r="9525" b="9525"/>
            <wp:docPr id="1" name="Image 1" descr="RÃ©sultat de recherche d'images pour &quot;crous logo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Ã©sultat de recherche d'images pour &quot;crous logo&quot;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EAD503" w14:textId="77777777" w:rsidR="000B181B" w:rsidRDefault="000B181B" w:rsidP="000B181B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ind w:left="142" w:right="141"/>
        <w:jc w:val="center"/>
        <w:rPr>
          <w:rFonts w:ascii="Century Gothic" w:hAnsi="Century Gothic" w:cstheme="minorBidi"/>
          <w:bCs w:val="0"/>
          <w:sz w:val="32"/>
        </w:rPr>
      </w:pPr>
    </w:p>
    <w:p w14:paraId="34FAD292" w14:textId="2229E734" w:rsidR="000B181B" w:rsidRPr="007E1B91" w:rsidRDefault="000B181B" w:rsidP="000B181B">
      <w:pPr>
        <w:pStyle w:val="Cadrerelief"/>
        <w:pBdr>
          <w:top w:val="single" w:sz="4" w:space="1" w:color="auto"/>
          <w:left w:val="none" w:sz="0" w:space="0" w:color="auto"/>
          <w:bottom w:val="single" w:sz="4" w:space="1" w:color="auto"/>
          <w:right w:val="none" w:sz="0" w:space="0" w:color="auto"/>
        </w:pBdr>
        <w:spacing w:before="0"/>
        <w:ind w:left="142" w:right="141"/>
        <w:jc w:val="center"/>
        <w:rPr>
          <w:rFonts w:ascii="Century Gothic" w:hAnsi="Century Gothic" w:cstheme="minorBidi"/>
          <w:b/>
          <w:bCs w:val="0"/>
          <w:sz w:val="48"/>
        </w:rPr>
      </w:pPr>
      <w:r>
        <w:rPr>
          <w:rFonts w:ascii="Century Gothic" w:hAnsi="Century Gothic" w:cstheme="minorBidi"/>
          <w:b/>
          <w:bCs w:val="0"/>
          <w:sz w:val="40"/>
          <w:szCs w:val="16"/>
        </w:rPr>
        <w:t>CADRE DE MEMOIRE TECHNIQUE</w:t>
      </w:r>
    </w:p>
    <w:p w14:paraId="156CF5E5" w14:textId="77777777" w:rsidR="000B181B" w:rsidRPr="005C3DA2" w:rsidRDefault="000B181B" w:rsidP="000B181B">
      <w:pPr>
        <w:jc w:val="center"/>
        <w:rPr>
          <w:b/>
          <w:color w:val="FF0000"/>
          <w:sz w:val="18"/>
          <w:szCs w:val="18"/>
        </w:rPr>
      </w:pPr>
    </w:p>
    <w:tbl>
      <w:tblPr>
        <w:tblW w:w="5000" w:type="pct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26"/>
      </w:tblGrid>
      <w:tr w:rsidR="000B181B" w:rsidRPr="00F814AD" w14:paraId="06E3C468" w14:textId="77777777" w:rsidTr="007650AD">
        <w:trPr>
          <w:jc w:val="center"/>
        </w:trPr>
        <w:tc>
          <w:tcPr>
            <w:tcW w:w="5000" w:type="pct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10221747" w14:textId="77777777" w:rsidR="000B181B" w:rsidRPr="007E1B91" w:rsidRDefault="000B181B" w:rsidP="007650AD">
            <w:pPr>
              <w:autoSpaceDE/>
              <w:autoSpaceDN/>
              <w:adjustRightInd/>
              <w:spacing w:before="0" w:after="0"/>
              <w:jc w:val="center"/>
              <w:rPr>
                <w:rFonts w:cstheme="minorBidi"/>
                <w:b/>
                <w:bCs w:val="0"/>
                <w:sz w:val="24"/>
                <w:szCs w:val="22"/>
              </w:rPr>
            </w:pPr>
            <w:r w:rsidRPr="007E1B91">
              <w:rPr>
                <w:rFonts w:cstheme="minorBidi"/>
                <w:b/>
                <w:bCs w:val="0"/>
                <w:sz w:val="24"/>
                <w:szCs w:val="22"/>
              </w:rPr>
              <w:t>Maître d’Ouvrage</w:t>
            </w:r>
          </w:p>
        </w:tc>
      </w:tr>
      <w:tr w:rsidR="000B181B" w:rsidRPr="00F814AD" w14:paraId="03ED3402" w14:textId="77777777" w:rsidTr="007650AD">
        <w:trPr>
          <w:trHeight w:val="819"/>
          <w:jc w:val="center"/>
        </w:trPr>
        <w:tc>
          <w:tcPr>
            <w:tcW w:w="5000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14:paraId="6AF27370" w14:textId="77777777" w:rsidR="000B181B" w:rsidRPr="00201AA1" w:rsidRDefault="000B181B" w:rsidP="007650AD">
            <w:pPr>
              <w:autoSpaceDE/>
              <w:autoSpaceDN/>
              <w:adjustRightInd/>
              <w:spacing w:before="0" w:after="0"/>
              <w:jc w:val="center"/>
              <w:rPr>
                <w:rFonts w:cstheme="minorBidi"/>
                <w:bCs w:val="0"/>
                <w:sz w:val="22"/>
              </w:rPr>
            </w:pPr>
            <w:r w:rsidRPr="00201AA1">
              <w:rPr>
                <w:rFonts w:cstheme="minorBidi"/>
                <w:bCs w:val="0"/>
                <w:sz w:val="22"/>
              </w:rPr>
              <w:t xml:space="preserve">CENTRE REGIONAL DES ŒUVRES UNIVERSITAIRES ET SCOLAIRES </w:t>
            </w:r>
          </w:p>
          <w:p w14:paraId="72438F96" w14:textId="77777777" w:rsidR="000B181B" w:rsidRPr="00201AA1" w:rsidRDefault="000B181B" w:rsidP="007650AD">
            <w:pPr>
              <w:autoSpaceDE/>
              <w:autoSpaceDN/>
              <w:adjustRightInd/>
              <w:spacing w:before="0" w:after="0"/>
              <w:jc w:val="center"/>
              <w:rPr>
                <w:rFonts w:cstheme="minorBidi"/>
                <w:bCs w:val="0"/>
                <w:sz w:val="22"/>
              </w:rPr>
            </w:pPr>
            <w:r w:rsidRPr="00201AA1">
              <w:rPr>
                <w:rFonts w:cstheme="minorBidi"/>
                <w:bCs w:val="0"/>
                <w:sz w:val="22"/>
              </w:rPr>
              <w:t>DE BOURGOGNE FRANCHE-COMTE</w:t>
            </w:r>
          </w:p>
          <w:p w14:paraId="24E87018" w14:textId="77777777" w:rsidR="000B181B" w:rsidRPr="00201AA1" w:rsidRDefault="000B181B" w:rsidP="007650AD">
            <w:pPr>
              <w:autoSpaceDE/>
              <w:autoSpaceDN/>
              <w:adjustRightInd/>
              <w:spacing w:before="0" w:after="0"/>
              <w:jc w:val="center"/>
              <w:rPr>
                <w:rFonts w:cstheme="minorBidi"/>
                <w:bCs w:val="0"/>
                <w:sz w:val="22"/>
              </w:rPr>
            </w:pPr>
            <w:r w:rsidRPr="00201AA1">
              <w:rPr>
                <w:rFonts w:cstheme="minorBidi"/>
                <w:bCs w:val="0"/>
                <w:sz w:val="22"/>
              </w:rPr>
              <w:t xml:space="preserve">32 </w:t>
            </w:r>
            <w:r>
              <w:rPr>
                <w:rFonts w:cstheme="minorBidi"/>
                <w:bCs w:val="0"/>
                <w:sz w:val="22"/>
              </w:rPr>
              <w:t>avenue</w:t>
            </w:r>
            <w:r w:rsidRPr="00201AA1">
              <w:rPr>
                <w:rFonts w:cstheme="minorBidi"/>
                <w:bCs w:val="0"/>
                <w:sz w:val="22"/>
              </w:rPr>
              <w:t xml:space="preserve"> de l’Observatoire</w:t>
            </w:r>
          </w:p>
          <w:p w14:paraId="04211347" w14:textId="77777777" w:rsidR="000B181B" w:rsidRPr="007E1B91" w:rsidRDefault="000B181B" w:rsidP="007650AD">
            <w:pPr>
              <w:autoSpaceDE/>
              <w:autoSpaceDN/>
              <w:adjustRightInd/>
              <w:spacing w:before="0" w:after="0"/>
              <w:jc w:val="center"/>
              <w:rPr>
                <w:rFonts w:cstheme="minorBidi"/>
                <w:bCs w:val="0"/>
                <w:sz w:val="24"/>
                <w:szCs w:val="22"/>
              </w:rPr>
            </w:pPr>
            <w:r>
              <w:rPr>
                <w:rFonts w:cstheme="minorBidi"/>
                <w:bCs w:val="0"/>
                <w:sz w:val="22"/>
              </w:rPr>
              <w:t xml:space="preserve">25000 </w:t>
            </w:r>
            <w:r w:rsidRPr="00201AA1">
              <w:rPr>
                <w:rFonts w:cstheme="minorBidi"/>
                <w:bCs w:val="0"/>
                <w:sz w:val="22"/>
              </w:rPr>
              <w:t>BESANCON</w:t>
            </w:r>
          </w:p>
        </w:tc>
      </w:tr>
      <w:tr w:rsidR="000B181B" w:rsidRPr="00F814AD" w14:paraId="5CDFB707" w14:textId="77777777" w:rsidTr="007650AD">
        <w:trPr>
          <w:trHeight w:val="70"/>
          <w:jc w:val="center"/>
        </w:trPr>
        <w:tc>
          <w:tcPr>
            <w:tcW w:w="5000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3DF0E075" w14:textId="77777777" w:rsidR="000B181B" w:rsidRPr="00201AA1" w:rsidRDefault="000B181B" w:rsidP="007650AD">
            <w:pPr>
              <w:autoSpaceDE/>
              <w:autoSpaceDN/>
              <w:adjustRightInd/>
              <w:spacing w:before="0" w:after="0"/>
              <w:ind w:left="709" w:hanging="709"/>
              <w:jc w:val="center"/>
              <w:rPr>
                <w:rFonts w:cstheme="minorBidi"/>
                <w:b/>
                <w:bCs w:val="0"/>
                <w:sz w:val="22"/>
              </w:rPr>
            </w:pPr>
          </w:p>
        </w:tc>
      </w:tr>
      <w:tr w:rsidR="000B181B" w:rsidRPr="00F814AD" w14:paraId="201EA67B" w14:textId="77777777" w:rsidTr="007650AD">
        <w:trPr>
          <w:trHeight w:val="80"/>
          <w:jc w:val="center"/>
        </w:trPr>
        <w:tc>
          <w:tcPr>
            <w:tcW w:w="5000" w:type="pct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14:paraId="0D7D6F2C" w14:textId="77777777" w:rsidR="000B181B" w:rsidRPr="00E25E1B" w:rsidRDefault="000B181B" w:rsidP="007650AD">
            <w:pPr>
              <w:autoSpaceDE/>
              <w:autoSpaceDN/>
              <w:adjustRightInd/>
              <w:spacing w:before="0" w:after="0"/>
              <w:jc w:val="center"/>
              <w:rPr>
                <w:sz w:val="22"/>
                <w:u w:val="single"/>
              </w:rPr>
            </w:pPr>
            <w:r>
              <w:rPr>
                <w:rFonts w:cstheme="minorBidi"/>
                <w:bCs w:val="0"/>
                <w:sz w:val="22"/>
              </w:rPr>
              <w:t xml:space="preserve"> </w:t>
            </w:r>
            <w:r>
              <w:rPr>
                <w:rFonts w:cstheme="minorBidi"/>
                <w:b/>
                <w:bCs w:val="0"/>
                <w:sz w:val="22"/>
                <w:szCs w:val="22"/>
              </w:rPr>
              <w:t>AMO : Cabinet Clément Associés</w:t>
            </w:r>
          </w:p>
        </w:tc>
      </w:tr>
    </w:tbl>
    <w:p w14:paraId="52E578B3" w14:textId="77777777" w:rsidR="000B181B" w:rsidRDefault="000B181B" w:rsidP="000B181B"/>
    <w:tbl>
      <w:tblPr>
        <w:tblW w:w="5000" w:type="pct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26"/>
      </w:tblGrid>
      <w:tr w:rsidR="000B181B" w:rsidRPr="00F814AD" w14:paraId="66BA0999" w14:textId="77777777" w:rsidTr="007650AD">
        <w:trPr>
          <w:jc w:val="center"/>
        </w:trPr>
        <w:tc>
          <w:tcPr>
            <w:tcW w:w="5000" w:type="pct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85457D3" w14:textId="77777777" w:rsidR="000B181B" w:rsidRPr="000C637B" w:rsidRDefault="000B181B" w:rsidP="007650AD">
            <w:pPr>
              <w:autoSpaceDE/>
              <w:autoSpaceDN/>
              <w:adjustRightInd/>
              <w:spacing w:before="0" w:after="0"/>
              <w:jc w:val="center"/>
            </w:pPr>
            <w:r w:rsidRPr="003C3787">
              <w:rPr>
                <w:rFonts w:cstheme="minorBidi"/>
                <w:b/>
                <w:bCs w:val="0"/>
                <w:sz w:val="24"/>
                <w:szCs w:val="22"/>
              </w:rPr>
              <w:t>Objet du marché</w:t>
            </w:r>
          </w:p>
        </w:tc>
      </w:tr>
      <w:tr w:rsidR="000B181B" w:rsidRPr="00F814AD" w14:paraId="0305473D" w14:textId="77777777" w:rsidTr="007650AD">
        <w:trPr>
          <w:trHeight w:val="80"/>
          <w:jc w:val="center"/>
        </w:trPr>
        <w:tc>
          <w:tcPr>
            <w:tcW w:w="5000" w:type="pct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14:paraId="0A0F2B85" w14:textId="77777777" w:rsidR="000B181B" w:rsidRPr="00115A38" w:rsidRDefault="000B181B" w:rsidP="007650AD">
            <w:pPr>
              <w:autoSpaceDE/>
              <w:autoSpaceDN/>
              <w:adjustRightInd/>
              <w:spacing w:before="0" w:after="0"/>
              <w:jc w:val="center"/>
              <w:rPr>
                <w:b/>
                <w:sz w:val="22"/>
                <w:u w:val="single"/>
              </w:rPr>
            </w:pPr>
            <w:r>
              <w:rPr>
                <w:rFonts w:cstheme="minorBidi"/>
                <w:b/>
                <w:sz w:val="22"/>
                <w:u w:val="single"/>
              </w:rPr>
              <w:t>ACCORD CADRE DE TRAVAUX DE PEINTURE</w:t>
            </w:r>
          </w:p>
        </w:tc>
      </w:tr>
    </w:tbl>
    <w:p w14:paraId="7C8AB24B" w14:textId="77777777" w:rsidR="000B181B" w:rsidRDefault="000B181B" w:rsidP="000B181B"/>
    <w:tbl>
      <w:tblPr>
        <w:tblW w:w="5000" w:type="pct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2"/>
      </w:tblGrid>
      <w:tr w:rsidR="000B181B" w:rsidRPr="00F814AD" w14:paraId="2A965B33" w14:textId="77777777" w:rsidTr="007650AD">
        <w:trPr>
          <w:trHeight w:val="711"/>
          <w:jc w:val="center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FE6DDDB" w14:textId="77777777" w:rsidR="000B181B" w:rsidRDefault="000B181B" w:rsidP="007650AD">
            <w:pPr>
              <w:autoSpaceDE/>
              <w:autoSpaceDN/>
              <w:adjustRightInd/>
              <w:spacing w:before="0" w:after="0"/>
              <w:ind w:left="567" w:right="499"/>
              <w:jc w:val="center"/>
              <w:rPr>
                <w:rFonts w:cstheme="minorBidi"/>
                <w:bCs w:val="0"/>
                <w:szCs w:val="18"/>
              </w:rPr>
            </w:pPr>
          </w:p>
          <w:p w14:paraId="06DA2002" w14:textId="77777777" w:rsidR="000B181B" w:rsidRDefault="00190080" w:rsidP="007650AD">
            <w:pPr>
              <w:autoSpaceDE/>
              <w:autoSpaceDN/>
              <w:adjustRightInd/>
              <w:spacing w:before="0" w:after="0"/>
              <w:ind w:left="567" w:right="499"/>
              <w:jc w:val="center"/>
              <w:rPr>
                <w:rFonts w:cstheme="minorBidi"/>
                <w:bCs w:val="0"/>
                <w:szCs w:val="18"/>
              </w:rPr>
            </w:pPr>
            <w:sdt>
              <w:sdtPr>
                <w:rPr>
                  <w:rFonts w:cstheme="minorBidi"/>
                  <w:bCs w:val="0"/>
                  <w:szCs w:val="18"/>
                </w:rPr>
                <w:id w:val="-963191146"/>
                <w:placeholder>
                  <w:docPart w:val="018A9FFCE0D24CE0B9796A0C3A29292F"/>
                </w:placeholder>
                <w:comboBox>
                  <w:listItem w:value="Choisissez un élément."/>
                  <w:listItem w:displayText="Procédure adaptée ouverte soumise aux dispositions des articles L. 2123-1 et suivants et R. 2123-1 et suivants du Code de la commande publique" w:value="Procédure adaptée ouverte soumise aux dispositions des articles L. 2123-1 et suivants et R. 2123-1 et suivants du Code de la commande publique"/>
                  <w:listItem w:displayText="Appel d'offres ouvert soumis aux dispositions des articles L. 2124-1 et suivants, R. 2124-1 et suivants et R. 2161-2 et suivants du Code de la commande publique" w:value="Appel d'offres ouvert soumis aux dispositions des articles L. 2124-1 et suivants, R. 2124-1 et suivants et R. 2161-2 et suivants du Code de la commande publique"/>
                </w:comboBox>
              </w:sdtPr>
              <w:sdtEndPr/>
              <w:sdtContent>
                <w:r w:rsidR="000B181B" w:rsidRPr="00CC535D">
                  <w:rPr>
                    <w:rFonts w:cstheme="minorBidi"/>
                    <w:bCs w:val="0"/>
                    <w:szCs w:val="18"/>
                  </w:rPr>
                  <w:t>Procédure adaptée ouverte soumise aux dispositions des articles L.2123-1 et R.2123-1 à R.2123-7 du Code de la commande publique</w:t>
                </w:r>
              </w:sdtContent>
            </w:sdt>
          </w:p>
          <w:p w14:paraId="790AB388" w14:textId="77777777" w:rsidR="000B181B" w:rsidRPr="003C3787" w:rsidRDefault="000B181B" w:rsidP="007650AD">
            <w:pPr>
              <w:autoSpaceDE/>
              <w:autoSpaceDN/>
              <w:adjustRightInd/>
              <w:spacing w:before="0" w:after="0"/>
              <w:ind w:left="567" w:right="499"/>
              <w:jc w:val="center"/>
              <w:rPr>
                <w:b/>
                <w:color w:val="FF0000"/>
              </w:rPr>
            </w:pPr>
          </w:p>
        </w:tc>
      </w:tr>
    </w:tbl>
    <w:p w14:paraId="6535717E" w14:textId="77777777" w:rsidR="000B181B" w:rsidRDefault="000B181B" w:rsidP="000B181B">
      <w:pPr>
        <w:autoSpaceDE/>
        <w:autoSpaceDN/>
        <w:adjustRightInd/>
        <w:spacing w:before="0" w:after="200"/>
        <w:jc w:val="center"/>
        <w:rPr>
          <w:b/>
          <w:sz w:val="32"/>
          <w:szCs w:val="14"/>
        </w:rPr>
      </w:pPr>
    </w:p>
    <w:p w14:paraId="4E4FD0EE" w14:textId="77777777" w:rsidR="000B181B" w:rsidRDefault="000B181B" w:rsidP="000B181B">
      <w:pPr>
        <w:autoSpaceDE/>
        <w:autoSpaceDN/>
        <w:adjustRightInd/>
        <w:spacing w:before="0" w:after="200"/>
        <w:jc w:val="center"/>
        <w:rPr>
          <w:b/>
          <w:sz w:val="32"/>
          <w:szCs w:val="14"/>
        </w:rPr>
      </w:pPr>
    </w:p>
    <w:p w14:paraId="670F125A" w14:textId="77777777" w:rsidR="000B181B" w:rsidRDefault="000B181B" w:rsidP="000B181B">
      <w:pPr>
        <w:autoSpaceDE/>
        <w:autoSpaceDN/>
        <w:adjustRightInd/>
        <w:spacing w:before="0" w:after="200"/>
        <w:jc w:val="center"/>
        <w:rPr>
          <w:b/>
          <w:sz w:val="32"/>
          <w:szCs w:val="14"/>
        </w:rPr>
      </w:pPr>
    </w:p>
    <w:p w14:paraId="483FE302" w14:textId="77777777" w:rsidR="000B181B" w:rsidRDefault="000B181B" w:rsidP="000B181B">
      <w:pPr>
        <w:autoSpaceDE/>
        <w:autoSpaceDN/>
        <w:adjustRightInd/>
        <w:spacing w:before="0" w:after="200"/>
        <w:jc w:val="center"/>
        <w:rPr>
          <w:b/>
          <w:sz w:val="32"/>
          <w:szCs w:val="14"/>
        </w:rPr>
      </w:pPr>
    </w:p>
    <w:p w14:paraId="77E02A7A" w14:textId="77777777" w:rsidR="00EC63B3" w:rsidRPr="00EC63B3" w:rsidRDefault="00EC63B3" w:rsidP="00EC63B3">
      <w:pPr>
        <w:autoSpaceDE/>
        <w:autoSpaceDN/>
        <w:adjustRightInd/>
        <w:spacing w:before="0" w:after="200"/>
        <w:jc w:val="center"/>
        <w:rPr>
          <w:b/>
          <w:sz w:val="32"/>
          <w:szCs w:val="14"/>
          <w:u w:val="single"/>
        </w:rPr>
      </w:pPr>
      <w:r w:rsidRPr="00EC63B3">
        <w:rPr>
          <w:b/>
          <w:sz w:val="32"/>
          <w:szCs w:val="14"/>
          <w:u w:val="single"/>
        </w:rPr>
        <w:t>10 pages maximum hors C.V.</w:t>
      </w:r>
    </w:p>
    <w:p w14:paraId="55AA037B" w14:textId="77777777" w:rsidR="00547F5E" w:rsidRDefault="00547F5E" w:rsidP="005739A2">
      <w:pPr>
        <w:autoSpaceDE/>
        <w:autoSpaceDN/>
        <w:adjustRightInd/>
        <w:spacing w:before="0" w:after="200"/>
        <w:jc w:val="left"/>
        <w:rPr>
          <w:bCs w:val="0"/>
          <w:sz w:val="32"/>
          <w:szCs w:val="14"/>
        </w:rPr>
      </w:pPr>
    </w:p>
    <w:p w14:paraId="18D3EEEC" w14:textId="28DD5D9E" w:rsidR="00547F5E" w:rsidRDefault="00547F5E" w:rsidP="005739A2">
      <w:pPr>
        <w:autoSpaceDE/>
        <w:autoSpaceDN/>
        <w:adjustRightInd/>
        <w:spacing w:before="0" w:after="200"/>
        <w:jc w:val="left"/>
      </w:pPr>
      <w:r w:rsidRPr="000F6F2E">
        <w:rPr>
          <w:u w:val="single"/>
        </w:rPr>
        <w:t>Sous critère 1 :</w:t>
      </w:r>
      <w:r>
        <w:t xml:space="preserve"> </w:t>
      </w:r>
      <w:r w:rsidR="000110E9">
        <w:t>M</w:t>
      </w:r>
      <w:r>
        <w:t>oyens humains et matériels démontrant notamment la capacité à intervenir simultanément sur plusieurs chantiers (nombre par lot précisé à l’article 3.2 au CCAP) appréciées au travers du nombre d’ouvriers et d’encadrants et de matériels affectés spécifiquement à l’accord-cadre avec CV des encadrants et listes de matériels : 1</w:t>
      </w:r>
      <w:r w:rsidR="00D57775">
        <w:t>5</w:t>
      </w:r>
      <w:r>
        <w:t xml:space="preserve"> %</w:t>
      </w:r>
    </w:p>
    <w:p w14:paraId="629556AD" w14:textId="77777777" w:rsidR="00547F5E" w:rsidRDefault="00547F5E" w:rsidP="005739A2">
      <w:pPr>
        <w:autoSpaceDE/>
        <w:autoSpaceDN/>
        <w:adjustRightInd/>
        <w:spacing w:before="0" w:after="200"/>
        <w:jc w:val="left"/>
      </w:pPr>
    </w:p>
    <w:p w14:paraId="71C9E9D4" w14:textId="77777777" w:rsidR="000110E9" w:rsidRDefault="000110E9" w:rsidP="005739A2">
      <w:pPr>
        <w:autoSpaceDE/>
        <w:autoSpaceDN/>
        <w:adjustRightInd/>
        <w:spacing w:before="0" w:after="200"/>
        <w:jc w:val="left"/>
      </w:pPr>
    </w:p>
    <w:p w14:paraId="5B668314" w14:textId="77777777" w:rsidR="000110E9" w:rsidRDefault="000110E9" w:rsidP="005739A2">
      <w:pPr>
        <w:autoSpaceDE/>
        <w:autoSpaceDN/>
        <w:adjustRightInd/>
        <w:spacing w:before="0" w:after="200"/>
        <w:jc w:val="left"/>
      </w:pPr>
    </w:p>
    <w:p w14:paraId="7D9ABB2B" w14:textId="77777777" w:rsidR="000110E9" w:rsidRDefault="000110E9" w:rsidP="005739A2">
      <w:pPr>
        <w:autoSpaceDE/>
        <w:autoSpaceDN/>
        <w:adjustRightInd/>
        <w:spacing w:before="0" w:after="200"/>
        <w:jc w:val="left"/>
      </w:pPr>
    </w:p>
    <w:p w14:paraId="65F9C77E" w14:textId="5AA5D38C" w:rsidR="00547F5E" w:rsidRDefault="00547F5E" w:rsidP="00547F5E">
      <w:r w:rsidRPr="00547F5E">
        <w:rPr>
          <w:u w:val="single"/>
        </w:rPr>
        <w:t>Sous</w:t>
      </w:r>
      <w:r w:rsidRPr="00547F5E">
        <w:rPr>
          <w:rFonts w:ascii="Cambria Math" w:hAnsi="Cambria Math" w:cs="Cambria Math"/>
          <w:u w:val="single"/>
        </w:rPr>
        <w:t>‐</w:t>
      </w:r>
      <w:r w:rsidRPr="00547F5E">
        <w:rPr>
          <w:u w:val="single"/>
        </w:rPr>
        <w:t xml:space="preserve">critère 2 : </w:t>
      </w:r>
      <w:r w:rsidR="000110E9">
        <w:rPr>
          <w:u w:val="single"/>
        </w:rPr>
        <w:t>M</w:t>
      </w:r>
      <w:r w:rsidRPr="00547F5E">
        <w:rPr>
          <w:u w:val="single"/>
        </w:rPr>
        <w:t>atériaux utilisés :</w:t>
      </w:r>
      <w:r>
        <w:t xml:space="preserve"> </w:t>
      </w:r>
      <w:r w:rsidR="00D57775">
        <w:t>10</w:t>
      </w:r>
      <w:r>
        <w:t xml:space="preserve"> %</w:t>
      </w:r>
    </w:p>
    <w:p w14:paraId="651A3FA9" w14:textId="77777777" w:rsidR="00547F5E" w:rsidRDefault="00547F5E" w:rsidP="00547F5E"/>
    <w:p w14:paraId="34B66301" w14:textId="77777777" w:rsidR="000110E9" w:rsidRDefault="000110E9" w:rsidP="00547F5E"/>
    <w:p w14:paraId="43A83C9B" w14:textId="77777777" w:rsidR="000110E9" w:rsidRDefault="000110E9" w:rsidP="00547F5E"/>
    <w:p w14:paraId="6A186603" w14:textId="77777777" w:rsidR="00D57775" w:rsidRDefault="00D57775" w:rsidP="00547F5E"/>
    <w:p w14:paraId="55808E94" w14:textId="77777777" w:rsidR="00D57775" w:rsidRDefault="00D57775" w:rsidP="00547F5E"/>
    <w:p w14:paraId="6A8E77B5" w14:textId="77777777" w:rsidR="000110E9" w:rsidRDefault="000110E9" w:rsidP="00547F5E"/>
    <w:p w14:paraId="098ECECC" w14:textId="77777777" w:rsidR="000110E9" w:rsidRDefault="000110E9" w:rsidP="00547F5E"/>
    <w:p w14:paraId="6E2A4083" w14:textId="4D91D35D" w:rsidR="00547F5E" w:rsidRDefault="00547F5E" w:rsidP="00547F5E">
      <w:pPr>
        <w:autoSpaceDE/>
        <w:autoSpaceDN/>
        <w:adjustRightInd/>
        <w:spacing w:before="0" w:after="200"/>
        <w:jc w:val="left"/>
      </w:pPr>
      <w:r w:rsidRPr="00547F5E">
        <w:rPr>
          <w:u w:val="single"/>
        </w:rPr>
        <w:t>Sous</w:t>
      </w:r>
      <w:r w:rsidRPr="00547F5E">
        <w:rPr>
          <w:rFonts w:ascii="Cambria Math" w:hAnsi="Cambria Math" w:cs="Cambria Math"/>
          <w:u w:val="single"/>
        </w:rPr>
        <w:t>‐</w:t>
      </w:r>
      <w:r w:rsidRPr="00547F5E">
        <w:rPr>
          <w:u w:val="single"/>
        </w:rPr>
        <w:t xml:space="preserve">critère 3 : </w:t>
      </w:r>
      <w:r w:rsidR="000110E9">
        <w:rPr>
          <w:u w:val="single"/>
        </w:rPr>
        <w:t>M</w:t>
      </w:r>
      <w:r w:rsidR="00D57775">
        <w:rPr>
          <w:u w:val="single"/>
        </w:rPr>
        <w:t>o</w:t>
      </w:r>
      <w:r w:rsidRPr="00547F5E">
        <w:rPr>
          <w:u w:val="single"/>
        </w:rPr>
        <w:t>de de préparation, exécution et réception des ouvrages :</w:t>
      </w:r>
      <w:r>
        <w:t xml:space="preserve"> 1</w:t>
      </w:r>
      <w:r w:rsidR="00D57775">
        <w:t>5</w:t>
      </w:r>
      <w:r>
        <w:t xml:space="preserve"> %</w:t>
      </w:r>
    </w:p>
    <w:p w14:paraId="4639F9E5" w14:textId="77777777" w:rsidR="008801AB" w:rsidRDefault="008801AB" w:rsidP="00547F5E">
      <w:pPr>
        <w:autoSpaceDE/>
        <w:autoSpaceDN/>
        <w:adjustRightInd/>
        <w:spacing w:before="0" w:after="200"/>
        <w:jc w:val="left"/>
      </w:pPr>
    </w:p>
    <w:p w14:paraId="5B2BEA8B" w14:textId="77777777" w:rsidR="00FE4D6E" w:rsidRDefault="00FE4D6E" w:rsidP="00547F5E">
      <w:pPr>
        <w:autoSpaceDE/>
        <w:autoSpaceDN/>
        <w:adjustRightInd/>
        <w:spacing w:before="0" w:after="200"/>
        <w:jc w:val="left"/>
      </w:pPr>
    </w:p>
    <w:p w14:paraId="0CDCAB20" w14:textId="77777777" w:rsidR="00FE4D6E" w:rsidRDefault="00FE4D6E" w:rsidP="00547F5E">
      <w:pPr>
        <w:autoSpaceDE/>
        <w:autoSpaceDN/>
        <w:adjustRightInd/>
        <w:spacing w:before="0" w:after="200"/>
        <w:jc w:val="left"/>
      </w:pPr>
    </w:p>
    <w:p w14:paraId="229BD38D" w14:textId="77777777" w:rsidR="00FE4D6E" w:rsidRDefault="00FE4D6E" w:rsidP="00547F5E">
      <w:pPr>
        <w:autoSpaceDE/>
        <w:autoSpaceDN/>
        <w:adjustRightInd/>
        <w:spacing w:before="0" w:after="200"/>
        <w:jc w:val="left"/>
      </w:pPr>
    </w:p>
    <w:p w14:paraId="2042D11D" w14:textId="77777777" w:rsidR="00FE4D6E" w:rsidRDefault="00FE4D6E" w:rsidP="00547F5E">
      <w:pPr>
        <w:autoSpaceDE/>
        <w:autoSpaceDN/>
        <w:adjustRightInd/>
        <w:spacing w:before="0" w:after="200"/>
        <w:jc w:val="left"/>
      </w:pPr>
    </w:p>
    <w:p w14:paraId="149DC228" w14:textId="77777777" w:rsidR="00FE4D6E" w:rsidRDefault="00FE4D6E" w:rsidP="00547F5E">
      <w:pPr>
        <w:autoSpaceDE/>
        <w:autoSpaceDN/>
        <w:adjustRightInd/>
        <w:spacing w:before="0" w:after="200"/>
        <w:jc w:val="left"/>
      </w:pPr>
    </w:p>
    <w:p w14:paraId="1C3027DA" w14:textId="77777777" w:rsidR="00FE4D6E" w:rsidRDefault="00FE4D6E" w:rsidP="00547F5E">
      <w:pPr>
        <w:autoSpaceDE/>
        <w:autoSpaceDN/>
        <w:adjustRightInd/>
        <w:spacing w:before="0" w:after="200"/>
        <w:jc w:val="left"/>
      </w:pPr>
    </w:p>
    <w:p w14:paraId="7F1B298D" w14:textId="77777777" w:rsidR="00FE4D6E" w:rsidRDefault="00FE4D6E" w:rsidP="00547F5E">
      <w:pPr>
        <w:autoSpaceDE/>
        <w:autoSpaceDN/>
        <w:adjustRightInd/>
        <w:spacing w:before="0" w:after="200"/>
        <w:jc w:val="left"/>
      </w:pPr>
    </w:p>
    <w:p w14:paraId="77B0D8F6" w14:textId="77777777" w:rsidR="00FE4D6E" w:rsidRDefault="00FE4D6E" w:rsidP="00547F5E">
      <w:pPr>
        <w:autoSpaceDE/>
        <w:autoSpaceDN/>
        <w:adjustRightInd/>
        <w:spacing w:before="0" w:after="200"/>
        <w:jc w:val="left"/>
      </w:pPr>
    </w:p>
    <w:p w14:paraId="63465028" w14:textId="77777777" w:rsidR="00FE4D6E" w:rsidRDefault="00FE4D6E" w:rsidP="00547F5E">
      <w:pPr>
        <w:autoSpaceDE/>
        <w:autoSpaceDN/>
        <w:adjustRightInd/>
        <w:spacing w:before="0" w:after="200"/>
        <w:jc w:val="left"/>
      </w:pPr>
    </w:p>
    <w:p w14:paraId="1098FCF8" w14:textId="77777777" w:rsidR="000B181B" w:rsidRDefault="000B181B" w:rsidP="000B181B">
      <w:pPr>
        <w:autoSpaceDE/>
        <w:autoSpaceDN/>
        <w:adjustRightInd/>
        <w:spacing w:before="0" w:after="200"/>
        <w:jc w:val="center"/>
        <w:rPr>
          <w:b/>
          <w:sz w:val="32"/>
          <w:szCs w:val="14"/>
        </w:rPr>
      </w:pPr>
    </w:p>
    <w:p w14:paraId="39CE4243" w14:textId="77777777" w:rsidR="00452135" w:rsidRDefault="00452135"/>
    <w:sectPr w:rsidR="004521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altName w:val="Cambria Math"/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B56FB7"/>
    <w:multiLevelType w:val="hybridMultilevel"/>
    <w:tmpl w:val="02AE1C66"/>
    <w:lvl w:ilvl="0" w:tplc="D24647C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11026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CAC"/>
    <w:rsid w:val="000110E9"/>
    <w:rsid w:val="000B181B"/>
    <w:rsid w:val="000F6F2E"/>
    <w:rsid w:val="00190080"/>
    <w:rsid w:val="001B2985"/>
    <w:rsid w:val="002D65D3"/>
    <w:rsid w:val="00452135"/>
    <w:rsid w:val="00482E9B"/>
    <w:rsid w:val="00533490"/>
    <w:rsid w:val="00547F5E"/>
    <w:rsid w:val="005739A2"/>
    <w:rsid w:val="007D1306"/>
    <w:rsid w:val="00823F4C"/>
    <w:rsid w:val="008801AB"/>
    <w:rsid w:val="00997922"/>
    <w:rsid w:val="00D03CAC"/>
    <w:rsid w:val="00D57775"/>
    <w:rsid w:val="00EC63B3"/>
    <w:rsid w:val="00F56068"/>
    <w:rsid w:val="00FE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BEE42"/>
  <w15:chartTrackingRefBased/>
  <w15:docId w15:val="{0F0A527F-AEE6-4FE4-AF36-47BF8251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81B"/>
    <w:pPr>
      <w:autoSpaceDE w:val="0"/>
      <w:autoSpaceDN w:val="0"/>
      <w:adjustRightInd w:val="0"/>
      <w:spacing w:before="120" w:after="120" w:line="276" w:lineRule="auto"/>
      <w:jc w:val="both"/>
    </w:pPr>
    <w:rPr>
      <w:rFonts w:ascii="Century Gothic" w:hAnsi="Century Gothic" w:cs="Arial"/>
      <w:bCs/>
      <w:kern w:val="0"/>
      <w:sz w:val="20"/>
      <w:szCs w:val="2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D03C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03C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03CA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03C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03CA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03C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03C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03C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03C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03C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03C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03C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03CAC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03CAC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03CA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03CA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03CA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03CA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03C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03C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03C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03C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03C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03CAC"/>
    <w:rPr>
      <w:i/>
      <w:iCs/>
      <w:color w:val="404040" w:themeColor="text1" w:themeTint="BF"/>
    </w:rPr>
  </w:style>
  <w:style w:type="paragraph" w:styleId="Paragraphedeliste">
    <w:name w:val="List Paragraph"/>
    <w:aliases w:val="texte de base,6 pt paragraphe carré,Puce focus,Tab n1,Legende,List Paragraph,Listes,Normal bullet 2,Paragraph,lp1,1st level - Bullet List Paragraph,Lettre d'introduction,Bullet EY,List L1,List Paragraph1,Bullet list,Yellow Bullet"/>
    <w:basedOn w:val="Normal"/>
    <w:link w:val="ParagraphedelisteCar"/>
    <w:uiPriority w:val="34"/>
    <w:qFormat/>
    <w:rsid w:val="00D03CA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03CAC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03C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03CAC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D03CAC"/>
    <w:rPr>
      <w:b/>
      <w:bCs/>
      <w:smallCaps/>
      <w:color w:val="2F5496" w:themeColor="accent1" w:themeShade="BF"/>
      <w:spacing w:val="5"/>
    </w:rPr>
  </w:style>
  <w:style w:type="paragraph" w:customStyle="1" w:styleId="Cadrerelief">
    <w:name w:val="Cadre_relief"/>
    <w:basedOn w:val="Normal"/>
    <w:rsid w:val="000B181B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spacing w:after="0" w:line="240" w:lineRule="auto"/>
      <w:ind w:left="284" w:right="283" w:firstLine="360"/>
      <w:textAlignment w:val="baseline"/>
    </w:pPr>
    <w:rPr>
      <w:rFonts w:ascii="Times New Roman" w:eastAsiaTheme="minorEastAsia" w:hAnsi="Times New Roman"/>
      <w:sz w:val="24"/>
      <w:lang w:eastAsia="fr-FR"/>
    </w:rPr>
  </w:style>
  <w:style w:type="character" w:customStyle="1" w:styleId="ParagraphedelisteCar">
    <w:name w:val="Paragraphe de liste Car"/>
    <w:aliases w:val="texte de base Car,6 pt paragraphe carré Car,Puce focus Car,Tab n1 Car,Legende Car,List Paragraph Car,Listes Car,Normal bullet 2 Car,Paragraph Car,lp1 Car,1st level - Bullet List Paragraph Car,Lettre d'introduction Car,List L1 Car"/>
    <w:link w:val="Paragraphedeliste"/>
    <w:uiPriority w:val="34"/>
    <w:qFormat/>
    <w:rsid w:val="00547F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18A9FFCE0D24CE0B9796A0C3A2929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1FCA5-743A-4327-9299-48C6C7652F01}"/>
      </w:docPartPr>
      <w:docPartBody>
        <w:p w:rsidR="000F6E69" w:rsidRDefault="000F6E69" w:rsidP="000F6E69">
          <w:pPr>
            <w:pStyle w:val="018A9FFCE0D24CE0B9796A0C3A29292F"/>
          </w:pPr>
          <w:r w:rsidRPr="00D81821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altName w:val="Cambria Math"/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tos">
    <w:altName w:val="Aptos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E69"/>
    <w:rsid w:val="000F6E69"/>
    <w:rsid w:val="002D65D3"/>
    <w:rsid w:val="00533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F6E69"/>
    <w:rPr>
      <w:color w:val="808080"/>
    </w:rPr>
  </w:style>
  <w:style w:type="paragraph" w:customStyle="1" w:styleId="018A9FFCE0D24CE0B9796A0C3A29292F">
    <w:name w:val="018A9FFCE0D24CE0B9796A0C3A29292F"/>
    <w:rsid w:val="000F6E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148</Words>
  <Characters>819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perrin</dc:creator>
  <cp:keywords/>
  <dc:description/>
  <cp:lastModifiedBy>Claire GAILLARD</cp:lastModifiedBy>
  <cp:revision>15</cp:revision>
  <dcterms:created xsi:type="dcterms:W3CDTF">2025-04-07T16:52:00Z</dcterms:created>
  <dcterms:modified xsi:type="dcterms:W3CDTF">2025-04-10T07:12:00Z</dcterms:modified>
</cp:coreProperties>
</file>