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1ECA789E" w14:textId="77777777" w:rsidTr="00093D6A">
        <w:trPr>
          <w:trHeight w:val="1132"/>
        </w:trPr>
        <w:tc>
          <w:tcPr>
            <w:tcW w:w="10434" w:type="dxa"/>
            <w:shd w:val="clear" w:color="auto" w:fill="auto"/>
          </w:tcPr>
          <w:p w14:paraId="216A4DF2" w14:textId="77777777" w:rsidR="00BD447D" w:rsidRPr="00BC6239" w:rsidRDefault="009E106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29B2360C" wp14:editId="34D0222F">
                  <wp:simplePos x="0" y="0"/>
                  <wp:positionH relativeFrom="column">
                    <wp:posOffset>1778544</wp:posOffset>
                  </wp:positionH>
                  <wp:positionV relativeFrom="paragraph">
                    <wp:posOffset>-78740</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3D0047"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6D406295"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5A12D035"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5882066F"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0F3DC3A4"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4F8732F5"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10BACCAE"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sectPr w:rsidR="00643DEB"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3CC63214"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694AE35C" w14:textId="7DDF0424" w:rsidR="008B30FE" w:rsidRDefault="008B30FE" w:rsidP="009E1061">
            <w:pPr>
              <w:tabs>
                <w:tab w:val="left" w:pos="851"/>
              </w:tabs>
              <w:suppressAutoHyphens/>
              <w:spacing w:before="120" w:after="120" w:line="240" w:lineRule="auto"/>
              <w:jc w:val="center"/>
              <w:rPr>
                <w:rFonts w:ascii="DIN Pro" w:eastAsia="Times New Roman" w:hAnsi="DIN Pro" w:cs="Arial"/>
                <w:b/>
                <w:color w:val="FFFFFF"/>
                <w:lang w:eastAsia="zh-CN"/>
              </w:rPr>
            </w:pPr>
            <w:r w:rsidRPr="008B30FE">
              <w:rPr>
                <w:rFonts w:ascii="DIN Pro" w:eastAsia="Times New Roman" w:hAnsi="DIN Pro" w:cs="Arial"/>
                <w:b/>
                <w:color w:val="FFFFFF"/>
                <w:lang w:eastAsia="zh-CN"/>
              </w:rPr>
              <w:t xml:space="preserve">MARCHÉ DE SERVICES N° </w:t>
            </w:r>
            <w:r w:rsidR="001A0D33">
              <w:rPr>
                <w:rFonts w:ascii="DIN Pro" w:eastAsia="Times New Roman" w:hAnsi="DIN Pro" w:cs="Arial"/>
                <w:b/>
                <w:color w:val="FFFFFF"/>
                <w:lang w:eastAsia="zh-CN"/>
              </w:rPr>
              <w:t>MAPA-</w:t>
            </w:r>
            <w:r w:rsidR="0045678B">
              <w:rPr>
                <w:rFonts w:ascii="DIN Pro" w:eastAsia="Times New Roman" w:hAnsi="DIN Pro" w:cs="Arial"/>
                <w:b/>
                <w:color w:val="FFFFFF"/>
                <w:lang w:eastAsia="zh-CN"/>
              </w:rPr>
              <w:t>2025-0</w:t>
            </w:r>
            <w:r w:rsidR="00964CB2">
              <w:rPr>
                <w:rFonts w:ascii="DIN Pro" w:eastAsia="Times New Roman" w:hAnsi="DIN Pro" w:cs="Arial"/>
                <w:b/>
                <w:color w:val="FFFFFF"/>
                <w:lang w:eastAsia="zh-CN"/>
              </w:rPr>
              <w:t>6</w:t>
            </w:r>
          </w:p>
          <w:p w14:paraId="79012A71" w14:textId="77777777" w:rsidR="00BD447D" w:rsidRPr="00BC6239" w:rsidRDefault="00BD447D" w:rsidP="008B30FE">
            <w:pPr>
              <w:tabs>
                <w:tab w:val="left" w:pos="851"/>
              </w:tabs>
              <w:suppressAutoHyphens/>
              <w:spacing w:before="120" w:after="120" w:line="240" w:lineRule="auto"/>
              <w:jc w:val="center"/>
              <w:rPr>
                <w:rFonts w:ascii="Univers" w:eastAsia="Times New Roman" w:hAnsi="Univers" w:cs="Univers"/>
                <w:caps/>
                <w:lang w:eastAsia="zh-CN"/>
              </w:rPr>
            </w:pPr>
            <w:r w:rsidRPr="00BC6239">
              <w:rPr>
                <w:rFonts w:ascii="DIN Pro" w:eastAsia="Times New Roman" w:hAnsi="DIN Pro" w:cs="Arial"/>
                <w:b/>
                <w:bCs/>
                <w:caps/>
                <w:color w:val="FFFFFF"/>
                <w:lang w:eastAsia="zh-CN"/>
              </w:rPr>
              <w:t>ACTE</w:t>
            </w:r>
            <w:r w:rsidRPr="00BC6239">
              <w:rPr>
                <w:rFonts w:ascii="DIN Pro" w:eastAsia="Times New Roman" w:hAnsi="DIN Pro" w:cs="Arial"/>
                <w:b/>
                <w:bCs/>
                <w:color w:val="FFFFFF"/>
                <w:lang w:eastAsia="zh-CN"/>
              </w:rPr>
              <w:t xml:space="preserve"> D’ENGAGEMENT (AE)</w:t>
            </w:r>
            <w:r w:rsidR="00CF3DBC">
              <w:rPr>
                <w:rFonts w:ascii="DIN Pro" w:eastAsia="Times New Roman" w:hAnsi="DIN Pro" w:cs="Arial"/>
                <w:b/>
                <w:bCs/>
                <w:color w:val="FFFFFF"/>
                <w:lang w:eastAsia="zh-CN"/>
              </w:rPr>
              <w:t xml:space="preserve"> </w:t>
            </w:r>
          </w:p>
        </w:tc>
      </w:tr>
    </w:tbl>
    <w:p w14:paraId="1A7BFB04"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1598273"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01EE3FE3" w14:textId="77777777" w:rsidR="005E68EF" w:rsidRDefault="005E68EF" w:rsidP="005E68EF">
      <w:pPr>
        <w:contextualSpacing/>
        <w:jc w:val="center"/>
        <w:rPr>
          <w:b/>
          <w:sz w:val="28"/>
          <w:szCs w:val="28"/>
        </w:rPr>
      </w:pPr>
      <w:r w:rsidRPr="00FE1012">
        <w:rPr>
          <w:b/>
          <w:sz w:val="28"/>
          <w:szCs w:val="28"/>
        </w:rPr>
        <w:t xml:space="preserve">PROCÉDURE </w:t>
      </w:r>
      <w:r w:rsidR="001A0D33">
        <w:rPr>
          <w:b/>
          <w:sz w:val="28"/>
          <w:szCs w:val="28"/>
        </w:rPr>
        <w:t>ADAPTEE</w:t>
      </w:r>
    </w:p>
    <w:p w14:paraId="2C158D3B" w14:textId="77777777" w:rsidR="005E68EF" w:rsidRPr="00253C85" w:rsidRDefault="005E68EF" w:rsidP="005E68EF">
      <w:pPr>
        <w:contextualSpacing/>
        <w:jc w:val="center"/>
        <w:rPr>
          <w:b/>
          <w:sz w:val="28"/>
          <w:szCs w:val="28"/>
        </w:rPr>
      </w:pPr>
    </w:p>
    <w:p w14:paraId="51D7D8E4" w14:textId="77777777" w:rsidR="001A0D33" w:rsidRPr="00CC0F28" w:rsidRDefault="001A0D33" w:rsidP="00CC0F28">
      <w:pPr>
        <w:jc w:val="center"/>
        <w:rPr>
          <w:rFonts w:ascii="DIN Pro" w:hAnsi="DIN Pro"/>
        </w:rPr>
      </w:pPr>
      <w:r w:rsidRPr="00CC0F28">
        <w:rPr>
          <w:rFonts w:ascii="DIN Pro" w:hAnsi="DIN Pro"/>
        </w:rPr>
        <w:t>En application des dispositions des articles R.2123-1 et L.2113-15 et du Code de la commande publique.</w:t>
      </w:r>
    </w:p>
    <w:p w14:paraId="60A8861B" w14:textId="77777777" w:rsidR="00BD447D" w:rsidRPr="00BC6239" w:rsidRDefault="00BD447D" w:rsidP="00456B40">
      <w:pPr>
        <w:suppressAutoHyphens/>
        <w:spacing w:after="0" w:line="240" w:lineRule="auto"/>
        <w:ind w:right="88"/>
        <w:jc w:val="center"/>
        <w:rPr>
          <w:rFonts w:ascii="DIN Pro" w:eastAsia="Times New Roman" w:hAnsi="DIN Pro" w:cs="Univers"/>
          <w:lang w:eastAsia="zh-CN"/>
        </w:rPr>
      </w:pPr>
    </w:p>
    <w:p w14:paraId="3C2DAD80"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3F65CC5C"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6B5D8E7E" w14:textId="77777777" w:rsidTr="003C1DCA">
        <w:trPr>
          <w:trHeight w:val="1244"/>
        </w:trPr>
        <w:tc>
          <w:tcPr>
            <w:tcW w:w="10075" w:type="dxa"/>
            <w:shd w:val="clear" w:color="auto" w:fill="D9E2F3"/>
            <w:vAlign w:val="center"/>
          </w:tcPr>
          <w:p w14:paraId="3F5DBC7D" w14:textId="77777777" w:rsidR="00BD447D" w:rsidRPr="00964CB2" w:rsidRDefault="00BD447D" w:rsidP="009E1061">
            <w:pPr>
              <w:spacing w:before="120" w:after="120"/>
              <w:ind w:right="88"/>
              <w:jc w:val="center"/>
              <w:rPr>
                <w:rFonts w:ascii="DIN Pro" w:hAnsi="DIN Pro" w:cs="Univers"/>
                <w:sz w:val="28"/>
                <w:szCs w:val="28"/>
                <w:lang w:eastAsia="zh-CN"/>
              </w:rPr>
            </w:pPr>
            <w:r w:rsidRPr="00964CB2">
              <w:rPr>
                <w:rFonts w:ascii="DIN Pro" w:hAnsi="DIN Pro" w:cs="Univers"/>
                <w:sz w:val="28"/>
                <w:szCs w:val="28"/>
                <w:lang w:eastAsia="zh-CN"/>
              </w:rPr>
              <w:t>OBJET DU MARCHÉ :</w:t>
            </w:r>
          </w:p>
          <w:p w14:paraId="707248BE" w14:textId="2E66CFD2" w:rsidR="00BD447D" w:rsidRPr="00964CB2" w:rsidRDefault="00964CB2" w:rsidP="00B02996">
            <w:pPr>
              <w:spacing w:after="200"/>
              <w:jc w:val="center"/>
              <w:rPr>
                <w:rFonts w:ascii="DIN Pro" w:hAnsi="DIN Pro"/>
                <w:b/>
                <w:color w:val="000000" w:themeColor="text1"/>
                <w:sz w:val="28"/>
                <w:szCs w:val="28"/>
                <w14:textOutline w14:w="0" w14:cap="flat" w14:cmpd="sng" w14:algn="ctr">
                  <w14:noFill/>
                  <w14:prstDash w14:val="solid"/>
                  <w14:round/>
                </w14:textOutline>
              </w:rPr>
            </w:pPr>
            <w:r w:rsidRPr="00964CB2">
              <w:rPr>
                <w:rFonts w:ascii="DIN Pro" w:hAnsi="DIN Pro"/>
                <w:b/>
                <w:color w:val="000000" w:themeColor="text1"/>
                <w:sz w:val="28"/>
                <w:szCs w:val="28"/>
                <w14:textOutline w14:w="0" w14:cap="flat" w14:cmpd="sng" w14:algn="ctr">
                  <w14:noFill/>
                  <w14:prstDash w14:val="solid"/>
                  <w14:round/>
                </w14:textOutline>
              </w:rPr>
              <w:t>Fourniture et maintenance de l’infrastructure réseau de la Cité de l’architecture et du patrimoine</w:t>
            </w:r>
          </w:p>
        </w:tc>
      </w:tr>
    </w:tbl>
    <w:p w14:paraId="7F306025"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7DE56CB0"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6587A8E0" w14:textId="77777777" w:rsidR="00AF0C83" w:rsidRPr="00BC6239" w:rsidRDefault="00AF0C83" w:rsidP="00643DEB">
      <w:pPr>
        <w:suppressAutoHyphens/>
        <w:spacing w:after="0" w:line="240" w:lineRule="auto"/>
        <w:ind w:right="-56"/>
        <w:jc w:val="center"/>
        <w:rPr>
          <w:rFonts w:ascii="DIN Pro" w:eastAsia="Times New Roman" w:hAnsi="DIN Pro" w:cs="Univers"/>
          <w:lang w:eastAsia="zh-CN"/>
        </w:rPr>
      </w:pPr>
    </w:p>
    <w:p w14:paraId="20668CD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935EA6D"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446F14AA"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7478990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519337CC"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7D06501"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0BF8D50"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F9D0783"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E6E407D" w14:textId="77777777" w:rsidTr="003C1DCA">
        <w:tc>
          <w:tcPr>
            <w:tcW w:w="10080" w:type="dxa"/>
            <w:shd w:val="clear" w:color="auto" w:fill="BDD6EE"/>
          </w:tcPr>
          <w:p w14:paraId="0635F114"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46ACEC67"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72F601F5"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Arial"/>
          <w:bCs/>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 xml:space="preserve">Objet </w:t>
      </w:r>
      <w:r w:rsidRPr="00BC6239">
        <w:rPr>
          <w:rFonts w:ascii="DIN Pro" w:eastAsia="Times New Roman" w:hAnsi="DIN Pro" w:cs="Arial"/>
          <w:bCs/>
          <w:lang w:eastAsia="zh-CN"/>
        </w:rPr>
        <w:t>du marché</w:t>
      </w:r>
    </w:p>
    <w:p w14:paraId="62B60C56" w14:textId="77777777" w:rsidR="005E68EF" w:rsidRPr="00BC6239" w:rsidRDefault="005E68EF" w:rsidP="009E1061">
      <w:pPr>
        <w:tabs>
          <w:tab w:val="left" w:pos="426"/>
          <w:tab w:val="left" w:pos="851"/>
        </w:tabs>
        <w:suppressAutoHyphens/>
        <w:spacing w:after="0" w:line="240" w:lineRule="auto"/>
        <w:ind w:right="88"/>
        <w:jc w:val="both"/>
        <w:rPr>
          <w:rFonts w:ascii="DIN Pro" w:eastAsia="Times New Roman" w:hAnsi="DIN Pro" w:cs="Arial"/>
          <w:i/>
          <w:lang w:eastAsia="zh-CN"/>
        </w:rPr>
      </w:pPr>
    </w:p>
    <w:p w14:paraId="336E9CCF" w14:textId="77777777" w:rsidR="00964CB2" w:rsidRDefault="00964CB2" w:rsidP="00E74A0B">
      <w:pPr>
        <w:rPr>
          <w:rFonts w:ascii="DIN Pro" w:hAnsi="DIN Pro"/>
          <w:szCs w:val="20"/>
        </w:rPr>
      </w:pPr>
      <w:r w:rsidRPr="00964CB2">
        <w:rPr>
          <w:rFonts w:ascii="DIN Pro" w:hAnsi="DIN Pro"/>
          <w:szCs w:val="20"/>
        </w:rPr>
        <w:t>Le présent marché a pour objet la fourniture et la maintenance de l’infrastructure réseau de la Cité de l’architecture et du patrimoine dont le siège social est situé au 1, place du Trocadéro et du 11 novembre 75116 PARIS, ainsi que pour le site annexe de la Cité, qui abrite le Centre d’archives d’architecture contemporaine, 3 bd Ney 75018 Paris.</w:t>
      </w:r>
    </w:p>
    <w:p w14:paraId="60E22B5E" w14:textId="26129F1B" w:rsidR="00BD447D" w:rsidRPr="00CC0F28" w:rsidRDefault="00E74A0B" w:rsidP="00E74A0B">
      <w:pPr>
        <w:rPr>
          <w:rFonts w:ascii="DIN Pro" w:hAnsi="DIN Pro"/>
        </w:rPr>
      </w:pPr>
      <w:r w:rsidRPr="00CC0F28">
        <w:rPr>
          <w:rFonts w:ascii="DIN Pro" w:hAnsi="DIN Pro"/>
        </w:rPr>
        <w:t xml:space="preserve">Les prestations attendues par la Cité de l’architecture et </w:t>
      </w:r>
      <w:r w:rsidR="003E53E8" w:rsidRPr="00CC0F28">
        <w:rPr>
          <w:rFonts w:ascii="DIN Pro" w:hAnsi="DIN Pro"/>
        </w:rPr>
        <w:t>du patrimoine sont détaillées à l’article 2 du</w:t>
      </w:r>
      <w:r w:rsidRPr="00CC0F28">
        <w:rPr>
          <w:rFonts w:ascii="DIN Pro" w:hAnsi="DIN Pro"/>
        </w:rPr>
        <w:t xml:space="preserve"> Cahier des clauses </w:t>
      </w:r>
      <w:r w:rsidR="003E53E8" w:rsidRPr="00CC0F28">
        <w:rPr>
          <w:rFonts w:ascii="DIN Pro" w:hAnsi="DIN Pro"/>
        </w:rPr>
        <w:t>techniques particulières (CCTP).</w:t>
      </w:r>
    </w:p>
    <w:p w14:paraId="5FA6A76A"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749972DF" w14:textId="77777777" w:rsidTr="003C1DCA">
        <w:tc>
          <w:tcPr>
            <w:tcW w:w="10080" w:type="dxa"/>
            <w:shd w:val="clear" w:color="auto" w:fill="BDD6EE"/>
          </w:tcPr>
          <w:p w14:paraId="1771676D"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2 – Identification du pouvoir adjudicateur</w:t>
            </w:r>
          </w:p>
        </w:tc>
      </w:tr>
    </w:tbl>
    <w:p w14:paraId="3DD8D0A5"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1C918B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5AC51478"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55AF1516" w14:textId="77777777" w:rsidR="00BD447D" w:rsidRPr="000C2002" w:rsidRDefault="00B02996" w:rsidP="003C1DCA">
      <w:pPr>
        <w:tabs>
          <w:tab w:val="left" w:pos="851"/>
        </w:tabs>
        <w:suppressAutoHyphens/>
        <w:spacing w:after="0" w:line="240" w:lineRule="auto"/>
        <w:ind w:right="88"/>
        <w:jc w:val="both"/>
        <w:rPr>
          <w:rFonts w:ascii="DIN Pro" w:eastAsia="Times New Roman" w:hAnsi="DIN Pro"/>
          <w:lang w:eastAsia="zh-CN"/>
        </w:rPr>
      </w:pPr>
      <w:r w:rsidRPr="000C2002">
        <w:rPr>
          <w:rFonts w:ascii="DIN Pro" w:eastAsia="Times New Roman" w:hAnsi="DIN Pro"/>
          <w:lang w:eastAsia="zh-CN"/>
        </w:rPr>
        <w:t>Établissement public à caractère industriel et commercial</w:t>
      </w:r>
    </w:p>
    <w:p w14:paraId="38C8D07F" w14:textId="77777777" w:rsidR="00B02996" w:rsidRPr="00BC6239" w:rsidRDefault="00B02996" w:rsidP="003C1DCA">
      <w:pPr>
        <w:tabs>
          <w:tab w:val="left" w:pos="851"/>
        </w:tabs>
        <w:suppressAutoHyphens/>
        <w:spacing w:after="0" w:line="240" w:lineRule="auto"/>
        <w:ind w:right="88"/>
        <w:jc w:val="both"/>
        <w:rPr>
          <w:rFonts w:ascii="DIN Pro" w:eastAsia="Times New Roman" w:hAnsi="DIN Pro" w:cs="Arial"/>
          <w:b/>
          <w:lang w:eastAsia="zh-CN"/>
        </w:rPr>
      </w:pPr>
    </w:p>
    <w:p w14:paraId="0AF37A5F"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39AA4702" w14:textId="12886C47" w:rsidR="00BD447D" w:rsidRPr="00BC6239" w:rsidRDefault="002365D0"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w:t>
      </w:r>
      <w:r w:rsidR="00CD19E0">
        <w:rPr>
          <w:rFonts w:ascii="DIN Pro" w:eastAsia="Times New Roman" w:hAnsi="DIN Pro" w:cs="Arial"/>
          <w:lang w:eastAsia="zh-CN"/>
        </w:rPr>
        <w:t xml:space="preserve"> et du Onze Novembre</w:t>
      </w:r>
      <w:r>
        <w:rPr>
          <w:rFonts w:ascii="DIN Pro" w:eastAsia="Times New Roman" w:hAnsi="DIN Pro" w:cs="Arial"/>
          <w:lang w:eastAsia="zh-CN"/>
        </w:rPr>
        <w:t>, 75</w:t>
      </w:r>
      <w:r w:rsidR="00BD447D" w:rsidRPr="00BC6239">
        <w:rPr>
          <w:rFonts w:ascii="DIN Pro" w:eastAsia="Times New Roman" w:hAnsi="DIN Pro" w:cs="Arial"/>
          <w:lang w:eastAsia="zh-CN"/>
        </w:rPr>
        <w:t xml:space="preserve">116 Paris </w:t>
      </w:r>
    </w:p>
    <w:p w14:paraId="5472EFE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586ADC31" w14:textId="77777777" w:rsidR="00BD447D" w:rsidRPr="00BC6239" w:rsidRDefault="002365D0"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168E2B2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671956F8" w14:textId="77777777" w:rsidR="00BD447D" w:rsidRPr="00BC6239" w:rsidRDefault="005E68EF"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 xml:space="preserve">L’agent </w:t>
      </w:r>
      <w:r w:rsidR="00BD447D" w:rsidRPr="00BC6239">
        <w:rPr>
          <w:rFonts w:ascii="DIN Pro" w:eastAsia="Times New Roman" w:hAnsi="DIN Pro" w:cs="Arial"/>
          <w:lang w:eastAsia="zh-CN"/>
        </w:rPr>
        <w:t>comptable de la Cité de l’architecture et du patrimoine.</w:t>
      </w:r>
    </w:p>
    <w:p w14:paraId="522A5AF5"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47DEEC02" w14:textId="77777777" w:rsidTr="003C1DCA">
        <w:tc>
          <w:tcPr>
            <w:tcW w:w="10080" w:type="dxa"/>
            <w:shd w:val="clear" w:color="auto" w:fill="BDD6EE"/>
          </w:tcPr>
          <w:p w14:paraId="3DF0544D"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3 – Engagement du candidat</w:t>
            </w:r>
          </w:p>
        </w:tc>
      </w:tr>
    </w:tbl>
    <w:p w14:paraId="4E10E0FE"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7894490F"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6BC3CE04"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1C35C2C"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4EB3F36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88D941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bCs/>
          <w:lang w:eastAsia="zh-CN"/>
        </w:rPr>
        <w:t xml:space="preserve">Je soussigné </w:t>
      </w:r>
      <w:r w:rsidRPr="00BC6239">
        <w:rPr>
          <w:rFonts w:ascii="DIN Pro" w:eastAsia="Times New Roman" w:hAnsi="DIN Pro" w:cs="Arial"/>
          <w:lang w:eastAsia="zh-CN"/>
        </w:rPr>
        <w:t>(nom, prénoms, qualité)</w:t>
      </w:r>
      <w:r w:rsidRPr="00BC6239">
        <w:rPr>
          <w:rFonts w:ascii="DIN Pro" w:eastAsia="Times New Roman" w:hAnsi="DIN Pro" w:cs="Arial"/>
          <w:b/>
          <w:bCs/>
          <w:lang w:eastAsia="zh-CN"/>
        </w:rPr>
        <w:t xml:space="preserve"> : </w:t>
      </w:r>
      <w:r w:rsidRPr="00BC6239">
        <w:rPr>
          <w:rFonts w:ascii="DIN Pro" w:eastAsia="Times New Roman" w:hAnsi="DIN Pro" w:cs="Arial"/>
          <w:lang w:eastAsia="zh-CN"/>
        </w:rPr>
        <w:t>…………………………………………………………………</w:t>
      </w:r>
      <w:bookmarkStart w:id="0" w:name="CaseACocher106"/>
      <w:r w:rsidRPr="00BC6239">
        <w:rPr>
          <w:rFonts w:ascii="DIN Pro" w:eastAsia="Times New Roman" w:hAnsi="DIN Pro" w:cs="Arial"/>
          <w:lang w:eastAsia="zh-CN"/>
        </w:rPr>
        <w:t>…………</w:t>
      </w:r>
      <w:r w:rsidR="00456B40" w:rsidRPr="00BC6239">
        <w:rPr>
          <w:rFonts w:ascii="DIN Pro" w:eastAsia="Times New Roman" w:hAnsi="DIN Pro" w:cs="Arial"/>
          <w:lang w:eastAsia="zh-CN"/>
        </w:rPr>
        <w:t>……………………</w:t>
      </w:r>
    </w:p>
    <w:p w14:paraId="1A769F0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3C0A31E"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80A7F">
        <w:rPr>
          <w:rFonts w:ascii="DIN Pro" w:eastAsia="Times New Roman" w:hAnsi="DIN Pro" w:cs="Arial"/>
          <w:b/>
          <w:bCs/>
          <w:lang w:eastAsia="zh-CN"/>
        </w:rPr>
      </w:r>
      <w:r w:rsidR="00C80A7F">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0"/>
      <w:r w:rsidRPr="00BC6239">
        <w:rPr>
          <w:rFonts w:ascii="DIN Pro" w:eastAsia="Times New Roman" w:hAnsi="DIN Pro" w:cs="Arial"/>
          <w:b/>
          <w:bCs/>
          <w:lang w:eastAsia="zh-CN"/>
        </w:rPr>
        <w:tab/>
        <w:t xml:space="preserve">agissant pour mon propre compte </w:t>
      </w:r>
      <w:bookmarkStart w:id="1"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80A7F">
        <w:rPr>
          <w:rFonts w:ascii="DIN Pro" w:eastAsia="Times New Roman" w:hAnsi="DIN Pro" w:cs="Arial"/>
          <w:b/>
          <w:bCs/>
          <w:lang w:eastAsia="zh-CN"/>
        </w:rPr>
      </w:r>
      <w:r w:rsidR="00C80A7F">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agissant pour le compte de la société</w:t>
      </w:r>
    </w:p>
    <w:p w14:paraId="203E973C"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C3C8A6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 ………………………………………………………………………………………………………</w:t>
      </w:r>
      <w:r w:rsidR="00456B40" w:rsidRPr="00BC6239">
        <w:rPr>
          <w:rFonts w:ascii="DIN Pro" w:eastAsia="Times New Roman" w:hAnsi="DIN Pro" w:cs="Arial"/>
          <w:lang w:eastAsia="zh-CN"/>
        </w:rPr>
        <w:t>……………………….</w:t>
      </w:r>
    </w:p>
    <w:p w14:paraId="59964E5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648069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456B40" w:rsidRPr="00BC6239">
        <w:rPr>
          <w:rFonts w:ascii="DIN Pro" w:eastAsia="Times New Roman" w:hAnsi="DIN Pro" w:cs="Arial"/>
          <w:lang w:eastAsia="zh-CN"/>
        </w:rPr>
        <w:t>……………………………</w:t>
      </w:r>
    </w:p>
    <w:p w14:paraId="4430D3E6"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03DF5B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456B40" w:rsidRPr="00BC6239">
        <w:rPr>
          <w:rFonts w:ascii="DIN Pro" w:eastAsia="Times New Roman" w:hAnsi="DIN Pro" w:cs="Arial"/>
          <w:lang w:eastAsia="zh-CN"/>
        </w:rPr>
        <w:t>…………………………..</w:t>
      </w:r>
    </w:p>
    <w:p w14:paraId="04079106"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153411D"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 code NAF :………………………………………………………………………….…..……</w:t>
      </w:r>
      <w:r w:rsidR="00456B40" w:rsidRPr="00BC6239">
        <w:rPr>
          <w:rFonts w:ascii="DIN Pro" w:eastAsia="Times New Roman" w:hAnsi="DIN Pro" w:cs="Arial"/>
          <w:lang w:eastAsia="zh-CN"/>
        </w:rPr>
        <w:t>…………….</w:t>
      </w:r>
    </w:p>
    <w:p w14:paraId="61F5B64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A5E72DF"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r w:rsidRPr="00BC6239">
        <w:rPr>
          <w:rFonts w:ascii="DIN Pro" w:eastAsia="Times New Roman" w:hAnsi="DIN Pro" w:cs="Arial"/>
          <w:lang w:eastAsia="zh-CN"/>
        </w:rPr>
        <w:t>..Télécopieur : ………………………………………………………………………….</w:t>
      </w:r>
    </w:p>
    <w:p w14:paraId="0469ADE1" w14:textId="77777777" w:rsidR="00093D6A" w:rsidRPr="00BC6239" w:rsidRDefault="00093D6A" w:rsidP="009E1061">
      <w:pPr>
        <w:suppressAutoHyphens/>
        <w:spacing w:after="0" w:line="240" w:lineRule="auto"/>
        <w:ind w:right="88"/>
        <w:rPr>
          <w:rFonts w:ascii="DIN Pro" w:eastAsia="Times New Roman" w:hAnsi="DIN Pro" w:cs="Arial"/>
          <w:lang w:eastAsia="zh-CN"/>
        </w:rPr>
      </w:pPr>
    </w:p>
    <w:p w14:paraId="6540548C" w14:textId="77777777" w:rsidR="00BD447D" w:rsidRDefault="00BD447D" w:rsidP="009E1061">
      <w:pPr>
        <w:suppressAutoHyphens/>
        <w:spacing w:after="0" w:line="240" w:lineRule="auto"/>
        <w:ind w:right="88"/>
        <w:rPr>
          <w:rFonts w:ascii="DIN Pro" w:eastAsia="Times New Roman" w:hAnsi="DIN Pro" w:cs="Arial"/>
          <w:lang w:eastAsia="zh-CN"/>
        </w:rPr>
      </w:pPr>
    </w:p>
    <w:p w14:paraId="6FF86775" w14:textId="77777777" w:rsidR="00E74A0B" w:rsidRDefault="00E74A0B" w:rsidP="009E1061">
      <w:pPr>
        <w:suppressAutoHyphens/>
        <w:spacing w:after="0" w:line="240" w:lineRule="auto"/>
        <w:ind w:right="88"/>
        <w:rPr>
          <w:rFonts w:ascii="DIN Pro" w:eastAsia="Times New Roman" w:hAnsi="DIN Pro" w:cs="Arial"/>
          <w:lang w:eastAsia="zh-CN"/>
        </w:rPr>
      </w:pPr>
    </w:p>
    <w:p w14:paraId="27A5E339" w14:textId="77777777" w:rsidR="00E74A0B" w:rsidRPr="00BC6239" w:rsidRDefault="00E74A0B" w:rsidP="009E1061">
      <w:pPr>
        <w:suppressAutoHyphens/>
        <w:spacing w:after="0" w:line="240" w:lineRule="auto"/>
        <w:ind w:right="88"/>
        <w:rPr>
          <w:rFonts w:ascii="DIN Pro" w:eastAsia="Times New Roman" w:hAnsi="DIN Pro" w:cs="Arial"/>
          <w:lang w:eastAsia="zh-CN"/>
        </w:rPr>
      </w:pPr>
    </w:p>
    <w:p w14:paraId="220AD4F4"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lastRenderedPageBreak/>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80A7F">
        <w:rPr>
          <w:rFonts w:ascii="DIN Pro" w:eastAsia="Times New Roman" w:hAnsi="DIN Pro" w:cs="Arial"/>
          <w:b/>
          <w:bCs/>
          <w:lang w:eastAsia="zh-CN"/>
        </w:rPr>
      </w:r>
      <w:r w:rsidR="00C80A7F">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t>agissant pour le compte de la personne publique candidate :</w:t>
      </w:r>
    </w:p>
    <w:p w14:paraId="149866EA"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35B0E36B"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5E11537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9BCD786"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3CA505D9"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1DE2B5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
    <w:p w14:paraId="6330F2A8"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7D9F94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 :……………………………………………………………</w:t>
      </w:r>
      <w:r w:rsidR="00093D6A" w:rsidRPr="00BC6239">
        <w:rPr>
          <w:rFonts w:ascii="DIN Pro" w:eastAsia="Times New Roman" w:hAnsi="DIN Pro" w:cs="Arial"/>
          <w:lang w:eastAsia="zh-CN"/>
        </w:rPr>
        <w:t>…………………</w:t>
      </w:r>
    </w:p>
    <w:p w14:paraId="303C5E3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6F6A2B9"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0ECD3EA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2E9E715"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1252FCFA"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leurs annexes,</w:t>
      </w:r>
    </w:p>
    <w:p w14:paraId="14BFCF7A"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1D8727D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650FC5C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9246F37"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w:t>
      </w:r>
      <w:r w:rsidR="005E68EF">
        <w:rPr>
          <w:rFonts w:ascii="DIN Pro" w:eastAsia="Times New Roman" w:hAnsi="DIN Pro" w:cs="Arial"/>
          <w:lang w:eastAsia="zh-CN"/>
        </w:rPr>
        <w:t xml:space="preserve">aucune </w:t>
      </w:r>
      <w:r w:rsidRPr="00BC6239">
        <w:rPr>
          <w:rFonts w:ascii="DIN Pro" w:eastAsia="Times New Roman" w:hAnsi="DIN Pro" w:cs="Arial"/>
          <w:lang w:eastAsia="zh-CN"/>
        </w:rPr>
        <w:t>réserve, conformément aux stipulations des documents visés ci-dessus, à exécuter les prestations dont l'objet est défini ci avant.</w:t>
      </w:r>
    </w:p>
    <w:p w14:paraId="25145949" w14:textId="77777777" w:rsidR="009168F6" w:rsidRPr="00BC6239" w:rsidRDefault="009168F6" w:rsidP="009E1061">
      <w:pPr>
        <w:suppressAutoHyphens/>
        <w:spacing w:after="0" w:line="240" w:lineRule="auto"/>
        <w:ind w:right="88"/>
        <w:rPr>
          <w:rFonts w:ascii="Univers" w:eastAsia="Times New Roman" w:hAnsi="Univers" w:cs="Univers"/>
          <w:lang w:eastAsia="zh-CN"/>
        </w:rPr>
      </w:pPr>
    </w:p>
    <w:p w14:paraId="169759EE"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4761C9B7"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3.2 - Groupement d’entreprise </w:t>
      </w:r>
    </w:p>
    <w:p w14:paraId="0D844B8C"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2752FA13"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355077E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B15B4CF"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3AC650C0"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6514B0C9"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65CF0375"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51C483AF"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7AFCA4C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94ADFE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w:t>
      </w:r>
      <w:r w:rsidR="00093D6A" w:rsidRPr="00BC6239">
        <w:rPr>
          <w:rFonts w:ascii="DIN Pro" w:eastAsia="Times New Roman" w:hAnsi="DIN Pro" w:cs="Arial"/>
          <w:lang w:eastAsia="zh-CN"/>
        </w:rPr>
        <w:t>………………..</w:t>
      </w:r>
    </w:p>
    <w:p w14:paraId="587B966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844C056"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2093667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1CE475B"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
    <w:p w14:paraId="7194586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30F77C6"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 :……………………………………………………………………………</w:t>
      </w:r>
      <w:r w:rsidR="00093D6A" w:rsidRPr="00BC6239">
        <w:rPr>
          <w:rFonts w:ascii="DIN Pro" w:eastAsia="Times New Roman" w:hAnsi="DIN Pro" w:cs="Arial"/>
          <w:lang w:eastAsia="zh-CN"/>
        </w:rPr>
        <w:t>..</w:t>
      </w:r>
    </w:p>
    <w:p w14:paraId="6372CE8E"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66AFF7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11D6746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B3D8CC1" w14:textId="77777777" w:rsidR="00BD447D" w:rsidRPr="00BC6239" w:rsidRDefault="00BD447D" w:rsidP="009E1061">
      <w:pPr>
        <w:suppressAutoHyphens/>
        <w:spacing w:after="0" w:line="240" w:lineRule="auto"/>
        <w:ind w:right="88"/>
        <w:rPr>
          <w:rFonts w:ascii="DIN Pro" w:eastAsia="Times New Roman" w:hAnsi="DIN Pro" w:cs="Arial"/>
          <w:lang w:eastAsia="zh-CN"/>
        </w:rPr>
      </w:pPr>
      <w:bookmarkStart w:id="2" w:name="CaseACocher108"/>
    </w:p>
    <w:p w14:paraId="334DBE6D"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80A7F">
        <w:rPr>
          <w:rFonts w:ascii="DIN Pro" w:eastAsia="Times New Roman" w:hAnsi="DIN Pro" w:cs="Arial"/>
          <w:b/>
          <w:bCs/>
          <w:lang w:eastAsia="zh-CN"/>
        </w:rPr>
      </w:r>
      <w:r w:rsidR="00C80A7F">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t>agissant en tant que mandataire pour l'ensemble des entrepreneurs groupés qui ont signé la lettre de candidature en date du</w:t>
      </w:r>
      <w:r w:rsidRPr="00BC6239">
        <w:rPr>
          <w:rFonts w:ascii="DIN Pro" w:eastAsia="Times New Roman" w:hAnsi="DIN Pro" w:cs="Arial"/>
          <w:lang w:eastAsia="zh-CN"/>
        </w:rPr>
        <w:t> .................................</w:t>
      </w:r>
    </w:p>
    <w:p w14:paraId="488F2E3E"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37EDE7C7"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C80A7F">
        <w:rPr>
          <w:rFonts w:ascii="DIN Pro" w:eastAsia="Times New Roman" w:hAnsi="DIN Pro" w:cs="Arial"/>
          <w:lang w:eastAsia="zh-CN"/>
        </w:rPr>
      </w:r>
      <w:r w:rsidR="00C80A7F">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du groupement solidaire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C80A7F">
        <w:rPr>
          <w:rFonts w:ascii="DIN Pro" w:eastAsia="Times New Roman" w:hAnsi="DIN Pro" w:cs="Arial"/>
          <w:lang w:eastAsia="zh-CN"/>
        </w:rPr>
      </w:r>
      <w:r w:rsidR="00C80A7F">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du groupement conjoint  </w:t>
      </w:r>
    </w:p>
    <w:p w14:paraId="3CE17C4F"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p>
    <w:p w14:paraId="316AB353"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C80A7F">
        <w:rPr>
          <w:rFonts w:ascii="DIN Pro" w:eastAsia="Times New Roman" w:hAnsi="DIN Pro" w:cs="Arial"/>
          <w:lang w:eastAsia="zh-CN"/>
        </w:rPr>
      </w:r>
      <w:r w:rsidR="00C80A7F">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mandataire solidaire</w:t>
      </w:r>
    </w:p>
    <w:p w14:paraId="656E3BB6"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p>
    <w:p w14:paraId="50F596AC"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r w:rsidRPr="00BC6239">
        <w:rPr>
          <w:rFonts w:ascii="DIN Pro" w:eastAsia="Times New Roman" w:hAnsi="DIN Pro" w:cs="Arial"/>
          <w:lang w:eastAsia="zh-CN"/>
        </w:rPr>
        <w:lastRenderedPageBreak/>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C80A7F">
        <w:rPr>
          <w:rFonts w:ascii="DIN Pro" w:eastAsia="Times New Roman" w:hAnsi="DIN Pro" w:cs="Arial"/>
          <w:lang w:eastAsia="zh-CN"/>
        </w:rPr>
      </w:r>
      <w:r w:rsidR="00C80A7F">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mandataire non solidaire</w:t>
      </w:r>
    </w:p>
    <w:p w14:paraId="78A2315A"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014C46FB"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664BB345"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01293EBB"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265830A6"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204F2A4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8166A5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w:t>
      </w:r>
      <w:r w:rsidR="00093D6A" w:rsidRPr="00BC6239">
        <w:rPr>
          <w:rFonts w:ascii="DIN Pro" w:eastAsia="Times New Roman" w:hAnsi="DIN Pro" w:cs="Arial"/>
          <w:lang w:eastAsia="zh-CN"/>
        </w:rPr>
        <w:t>………………..</w:t>
      </w:r>
    </w:p>
    <w:p w14:paraId="2EFB04D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EF614F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718E5FC4"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DFCCE52"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
    <w:p w14:paraId="6684242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66D1DC6"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531C3B0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D1240F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..Télécopieur : …………………………………………………………………………</w:t>
      </w:r>
    </w:p>
    <w:p w14:paraId="4052CBAC"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35C6937"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des annexes,</w:t>
      </w:r>
    </w:p>
    <w:p w14:paraId="4B3D33C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05F7459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7A364AFC"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FE7932C"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Nous engageons</w:t>
      </w:r>
      <w:r w:rsidRPr="00BC6239">
        <w:rPr>
          <w:rFonts w:ascii="DIN Pro" w:eastAsia="Times New Roman" w:hAnsi="DIN Pro" w:cs="Arial"/>
          <w:lang w:eastAsia="zh-CN"/>
        </w:rPr>
        <w:t xml:space="preserve"> sans </w:t>
      </w:r>
      <w:r w:rsidR="005E68EF">
        <w:rPr>
          <w:rFonts w:ascii="DIN Pro" w:eastAsia="Times New Roman" w:hAnsi="DIN Pro" w:cs="Arial"/>
          <w:lang w:eastAsia="zh-CN"/>
        </w:rPr>
        <w:t>aucune réserve</w:t>
      </w:r>
      <w:r w:rsidRPr="00BC6239">
        <w:rPr>
          <w:rFonts w:ascii="DIN Pro" w:eastAsia="Times New Roman" w:hAnsi="DIN Pro" w:cs="Arial"/>
          <w:lang w:eastAsia="zh-CN"/>
        </w:rPr>
        <w:t>, conformément aux stipulations des documents visés ci-dessus, à exécuter les prestations dont l'objet est défini ci avant.</w:t>
      </w:r>
    </w:p>
    <w:p w14:paraId="4205A892" w14:textId="77777777" w:rsidR="00BD447D"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6E20BB9C" w14:textId="77777777" w:rsidR="002365D0" w:rsidRDefault="002365D0"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8CA2FF4" w14:textId="77777777" w:rsidR="00DE694F" w:rsidRPr="00BC6239" w:rsidRDefault="00DE694F"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09C4E47" w14:textId="77777777" w:rsidTr="003C1DCA">
        <w:tc>
          <w:tcPr>
            <w:tcW w:w="10080" w:type="dxa"/>
            <w:shd w:val="clear" w:color="auto" w:fill="BDD6EE"/>
          </w:tcPr>
          <w:p w14:paraId="7F9E8D36"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4 – Montant</w:t>
            </w:r>
          </w:p>
        </w:tc>
      </w:tr>
    </w:tbl>
    <w:p w14:paraId="07739E7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CDB4AD0" w14:textId="25B5D840" w:rsidR="00964CB2" w:rsidRPr="00964CB2" w:rsidRDefault="00964CB2" w:rsidP="00964CB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964CB2">
        <w:rPr>
          <w:rFonts w:ascii="DIN Pro" w:eastAsia="Times New Roman" w:hAnsi="DIN Pro" w:cs="Arial"/>
          <w:lang w:eastAsia="zh-CN"/>
        </w:rPr>
        <w:t xml:space="preserve">Le présent marché </w:t>
      </w:r>
      <w:r>
        <w:rPr>
          <w:rFonts w:ascii="DIN Pro" w:eastAsia="Times New Roman" w:hAnsi="DIN Pro" w:cs="Arial"/>
          <w:lang w:eastAsia="zh-CN"/>
        </w:rPr>
        <w:t>sera exécutée sous</w:t>
      </w:r>
      <w:r w:rsidRPr="00964CB2">
        <w:rPr>
          <w:rFonts w:ascii="DIN Pro" w:eastAsia="Times New Roman" w:hAnsi="DIN Pro" w:cs="Arial"/>
          <w:lang w:eastAsia="zh-CN"/>
        </w:rPr>
        <w:t xml:space="preserve"> la forme d’un marché comprenant :</w:t>
      </w:r>
    </w:p>
    <w:p w14:paraId="33D1EFCB" w14:textId="77777777" w:rsidR="00964CB2" w:rsidRPr="00964CB2" w:rsidRDefault="00964CB2" w:rsidP="00964CB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964CB2">
        <w:rPr>
          <w:rFonts w:ascii="DIN Pro" w:eastAsia="Times New Roman" w:hAnsi="DIN Pro" w:cs="Arial"/>
          <w:lang w:eastAsia="zh-CN"/>
        </w:rPr>
        <w:t>-</w:t>
      </w:r>
      <w:r w:rsidRPr="00964CB2">
        <w:rPr>
          <w:rFonts w:ascii="DIN Pro" w:eastAsia="Times New Roman" w:hAnsi="DIN Pro" w:cs="Arial"/>
          <w:lang w:eastAsia="zh-CN"/>
        </w:rPr>
        <w:tab/>
        <w:t xml:space="preserve">Une partie à prix global et forfaitaire pour la réalisation de l’ensemble des prestations forfaitaires décrites aux Cahier des clauses techniques particulières (CCTP). </w:t>
      </w:r>
    </w:p>
    <w:p w14:paraId="17E91DAF" w14:textId="77777777" w:rsidR="00964CB2" w:rsidRPr="00964CB2" w:rsidRDefault="00964CB2" w:rsidP="00964CB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5B5FBA0F" w14:textId="65247B5E" w:rsidR="002365D0" w:rsidRDefault="00964CB2" w:rsidP="00964CB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964CB2">
        <w:rPr>
          <w:rFonts w:ascii="DIN Pro" w:eastAsia="Times New Roman" w:hAnsi="DIN Pro" w:cs="Arial"/>
          <w:lang w:eastAsia="zh-CN"/>
        </w:rPr>
        <w:t>-</w:t>
      </w:r>
      <w:r w:rsidRPr="00964CB2">
        <w:rPr>
          <w:rFonts w:ascii="DIN Pro" w:eastAsia="Times New Roman" w:hAnsi="DIN Pro" w:cs="Arial"/>
          <w:lang w:eastAsia="zh-CN"/>
        </w:rPr>
        <w:tab/>
        <w:t>Une partie à bon de commandes pour la fourniture des matériels complémentaires et  la réalisation des prestations hors forfait décrites au Cahier des clauses techniques particulières (CCTP), selon les prix unitaires indiqués à l’annexe n°2 de l’acte d’engagement (BPU). Cette partie sera exécutée sous forme d’accord-cadre mono-attributaire à bons de commande, sans montant minimum et avec un montant maximum fixé à 25 000 € HT conformément à l’article R.2162-4 du Code de la commande publique. Le montants maximum cité ci-avant sera exécuté tout au long de la durée maximale du marché fixé à l’article 1.5 du Cahier des Clauses Administratives Particulières (CCAP).</w:t>
      </w:r>
    </w:p>
    <w:p w14:paraId="49E5D86B" w14:textId="77777777" w:rsidR="00964CB2" w:rsidRPr="00BC6239" w:rsidRDefault="00964CB2" w:rsidP="00964CB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0271C212" w14:textId="781D8DE2" w:rsidR="00AF0C83" w:rsidRPr="0045678B" w:rsidRDefault="00964CB2"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 xml:space="preserve">La </w:t>
      </w:r>
      <w:r w:rsidRPr="00964CB2">
        <w:rPr>
          <w:rFonts w:ascii="DIN Pro" w:eastAsia="Times New Roman" w:hAnsi="DIN Pro" w:cs="Arial"/>
          <w:lang w:eastAsia="zh-CN"/>
        </w:rPr>
        <w:t>Décomposition de prix global et forfaitaire – DPGF / Le Bordereaux des Prix Unitaires – BPU / Détail Quantitatif Estimatif - DQE</w:t>
      </w:r>
      <w:r w:rsidR="00AF0C83" w:rsidRPr="000C2002">
        <w:rPr>
          <w:rFonts w:ascii="DIN Pro" w:eastAsia="Times New Roman" w:hAnsi="DIN Pro" w:cs="Arial"/>
          <w:lang w:eastAsia="zh-CN"/>
        </w:rPr>
        <w:t xml:space="preserve"> </w:t>
      </w:r>
      <w:r w:rsidR="003E53E8" w:rsidRPr="0045678B">
        <w:rPr>
          <w:rFonts w:ascii="DIN Pro" w:eastAsia="Times New Roman" w:hAnsi="DIN Pro" w:cs="Arial"/>
          <w:lang w:eastAsia="zh-CN"/>
        </w:rPr>
        <w:t>sera</w:t>
      </w:r>
      <w:r w:rsidR="00AF0C83" w:rsidRPr="0045678B">
        <w:rPr>
          <w:rFonts w:ascii="DIN Pro" w:eastAsia="Times New Roman" w:hAnsi="DIN Pro" w:cs="Arial"/>
          <w:lang w:eastAsia="zh-CN"/>
        </w:rPr>
        <w:t xml:space="preserve"> annexé au présent acte d’engagement. </w:t>
      </w:r>
    </w:p>
    <w:p w14:paraId="612EE03D" w14:textId="77777777" w:rsidR="002365D0" w:rsidRDefault="002365D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77ED44BE" w14:textId="77777777" w:rsidR="00093F1A" w:rsidRDefault="00093F1A">
      <w:pPr>
        <w:rPr>
          <w:rFonts w:ascii="DIN Pro" w:eastAsia="Times New Roman" w:hAnsi="DIN Pro" w:cs="Arial"/>
          <w:bCs/>
          <w:lang w:eastAsia="zh-CN"/>
        </w:rPr>
      </w:pPr>
      <w:r>
        <w:rPr>
          <w:rFonts w:ascii="DIN Pro" w:eastAsia="Times New Roman" w:hAnsi="DIN Pro" w:cs="Arial"/>
          <w:bCs/>
          <w:lang w:eastAsia="zh-CN"/>
        </w:rPr>
        <w:br w:type="page"/>
      </w:r>
    </w:p>
    <w:p w14:paraId="5E5D6ABD" w14:textId="0AB367C3" w:rsidR="00BD447D" w:rsidRPr="00093F1A" w:rsidRDefault="00D52161" w:rsidP="009E1061">
      <w:pPr>
        <w:keepLines/>
        <w:tabs>
          <w:tab w:val="left" w:pos="284"/>
          <w:tab w:val="left" w:pos="567"/>
          <w:tab w:val="left" w:pos="851"/>
        </w:tabs>
        <w:suppressAutoHyphens/>
        <w:spacing w:after="0" w:line="240" w:lineRule="auto"/>
        <w:ind w:right="88"/>
        <w:jc w:val="both"/>
        <w:rPr>
          <w:rFonts w:ascii="DIN Pro" w:eastAsia="Times New Roman" w:hAnsi="DIN Pro" w:cs="Arial"/>
          <w:bCs/>
          <w:color w:val="FF0000"/>
          <w:lang w:eastAsia="zh-CN"/>
        </w:rPr>
      </w:pPr>
      <w:r w:rsidRPr="00093F1A">
        <w:rPr>
          <w:rFonts w:ascii="DIN Pro" w:eastAsia="Times New Roman" w:hAnsi="DIN Pro" w:cs="Arial"/>
          <w:bCs/>
          <w:lang w:eastAsia="zh-CN"/>
        </w:rPr>
        <w:lastRenderedPageBreak/>
        <w:t>Le marché est composé d’une of</w:t>
      </w:r>
      <w:r w:rsidR="00093F1A" w:rsidRPr="00093F1A">
        <w:rPr>
          <w:rFonts w:ascii="DIN Pro" w:eastAsia="Times New Roman" w:hAnsi="DIN Pro" w:cs="Arial"/>
          <w:bCs/>
          <w:lang w:eastAsia="zh-CN"/>
        </w:rPr>
        <w:t xml:space="preserve">fre de base et d’une offre variante non obligatoire, comme suit : </w:t>
      </w:r>
      <w:r w:rsidR="00052CF3" w:rsidRPr="00052CF3">
        <w:rPr>
          <w:rFonts w:ascii="DIN Pro" w:eastAsia="Times New Roman" w:hAnsi="DIN Pro" w:cs="Arial"/>
          <w:bCs/>
          <w:color w:val="FF0000"/>
          <w:lang w:eastAsia="zh-CN"/>
        </w:rPr>
        <w:t>(</w:t>
      </w:r>
      <w:r w:rsidR="00093F1A">
        <w:rPr>
          <w:rFonts w:ascii="DIN Pro" w:eastAsia="Times New Roman" w:hAnsi="DIN Pro" w:cs="Arial"/>
          <w:bCs/>
          <w:color w:val="FF0000"/>
          <w:lang w:eastAsia="zh-CN"/>
        </w:rPr>
        <w:t xml:space="preserve">à modifier, le cas échéant, </w:t>
      </w:r>
      <w:r w:rsidR="00052CF3">
        <w:rPr>
          <w:rFonts w:ascii="DIN Pro" w:eastAsia="Times New Roman" w:hAnsi="DIN Pro" w:cs="Arial"/>
          <w:bCs/>
          <w:color w:val="FF0000"/>
          <w:lang w:eastAsia="zh-CN"/>
        </w:rPr>
        <w:t>selon si le candidat présente une offre de base ou une offre variante)</w:t>
      </w:r>
    </w:p>
    <w:p w14:paraId="32A90FA9" w14:textId="77777777" w:rsidR="00093F1A" w:rsidRDefault="00093F1A" w:rsidP="00093F1A">
      <w:pPr>
        <w:keepLines/>
        <w:tabs>
          <w:tab w:val="left" w:pos="284"/>
          <w:tab w:val="left" w:pos="567"/>
          <w:tab w:val="left" w:pos="851"/>
        </w:tabs>
        <w:suppressAutoHyphens/>
        <w:spacing w:after="0" w:line="240" w:lineRule="auto"/>
        <w:ind w:right="88"/>
        <w:jc w:val="both"/>
        <w:rPr>
          <w:rFonts w:ascii="DIN Pro" w:eastAsia="Times New Roman" w:hAnsi="DIN Pro" w:cstheme="minorHAnsi"/>
          <w:u w:val="single"/>
          <w:lang w:eastAsia="zh-CN"/>
        </w:rPr>
      </w:pPr>
    </w:p>
    <w:p w14:paraId="33CD3EA2" w14:textId="64733444" w:rsidR="00093F1A" w:rsidRPr="003F205A" w:rsidRDefault="00093F1A" w:rsidP="00093F1A">
      <w:pPr>
        <w:keepLines/>
        <w:tabs>
          <w:tab w:val="left" w:pos="284"/>
          <w:tab w:val="left" w:pos="567"/>
          <w:tab w:val="left" w:pos="851"/>
        </w:tabs>
        <w:suppressAutoHyphens/>
        <w:spacing w:after="0" w:line="240" w:lineRule="auto"/>
        <w:ind w:right="88"/>
        <w:jc w:val="both"/>
        <w:rPr>
          <w:rFonts w:ascii="DIN Pro" w:eastAsia="Times New Roman" w:hAnsi="DIN Pro" w:cstheme="minorHAnsi"/>
          <w:u w:val="single"/>
          <w:lang w:eastAsia="zh-CN"/>
        </w:rPr>
      </w:pPr>
      <w:r w:rsidRPr="003F205A">
        <w:rPr>
          <w:rFonts w:ascii="DIN Pro" w:eastAsia="Times New Roman" w:hAnsi="DIN Pro" w:cstheme="minorHAnsi"/>
          <w:u w:val="single"/>
          <w:lang w:eastAsia="zh-CN"/>
        </w:rPr>
        <w:t>Montant de la DPGF pour l’offre de base</w:t>
      </w:r>
      <w:r>
        <w:rPr>
          <w:rFonts w:ascii="DIN Pro" w:eastAsia="Times New Roman" w:hAnsi="DIN Pro" w:cstheme="minorHAnsi"/>
          <w:u w:val="single"/>
          <w:lang w:eastAsia="zh-CN"/>
        </w:rPr>
        <w:t xml:space="preserve"> </w:t>
      </w:r>
      <w:r w:rsidRPr="003F205A">
        <w:rPr>
          <w:rFonts w:ascii="DIN Pro" w:eastAsia="Times New Roman" w:hAnsi="DIN Pro" w:cstheme="minorHAnsi"/>
          <w:u w:val="single"/>
          <w:lang w:eastAsia="zh-CN"/>
        </w:rPr>
        <w:t xml:space="preserve">: </w:t>
      </w:r>
    </w:p>
    <w:p w14:paraId="63E8A737" w14:textId="77777777" w:rsidR="00093F1A" w:rsidRDefault="00093F1A" w:rsidP="00093F1A">
      <w:pPr>
        <w:keepLines/>
        <w:tabs>
          <w:tab w:val="left" w:pos="284"/>
          <w:tab w:val="left" w:pos="567"/>
          <w:tab w:val="left" w:pos="851"/>
        </w:tabs>
        <w:suppressAutoHyphens/>
        <w:spacing w:after="0" w:line="240" w:lineRule="auto"/>
        <w:ind w:right="88"/>
        <w:jc w:val="both"/>
        <w:rPr>
          <w:rFonts w:ascii="DIN Pro" w:eastAsia="Times New Roman" w:hAnsi="DIN Pro" w:cstheme="minorHAnsi"/>
          <w:lang w:eastAsia="zh-CN"/>
        </w:rPr>
      </w:pPr>
    </w:p>
    <w:tbl>
      <w:tblPr>
        <w:tblStyle w:val="Grilledutableau"/>
        <w:tblW w:w="0" w:type="auto"/>
        <w:jc w:val="center"/>
        <w:tblLook w:val="04A0" w:firstRow="1" w:lastRow="0" w:firstColumn="1" w:lastColumn="0" w:noHBand="0" w:noVBand="1"/>
      </w:tblPr>
      <w:tblGrid>
        <w:gridCol w:w="4163"/>
        <w:gridCol w:w="3822"/>
      </w:tblGrid>
      <w:tr w:rsidR="00093F1A" w14:paraId="52EBF67A" w14:textId="77777777" w:rsidTr="003A378A">
        <w:trPr>
          <w:trHeight w:val="513"/>
          <w:jc w:val="center"/>
        </w:trPr>
        <w:tc>
          <w:tcPr>
            <w:tcW w:w="4163" w:type="dxa"/>
          </w:tcPr>
          <w:p w14:paraId="6F63C511" w14:textId="77777777" w:rsidR="00093F1A" w:rsidRPr="003F205A" w:rsidRDefault="00093F1A" w:rsidP="003A378A">
            <w:pPr>
              <w:keepLines/>
              <w:tabs>
                <w:tab w:val="left" w:pos="284"/>
                <w:tab w:val="left" w:pos="567"/>
                <w:tab w:val="left" w:pos="851"/>
              </w:tabs>
              <w:ind w:right="88"/>
              <w:jc w:val="both"/>
              <w:rPr>
                <w:rFonts w:ascii="DIN Pro" w:hAnsi="DIN Pro" w:cstheme="minorHAnsi"/>
                <w:b/>
                <w:bCs/>
                <w:lang w:eastAsia="zh-CN"/>
              </w:rPr>
            </w:pPr>
            <w:r w:rsidRPr="003F205A">
              <w:rPr>
                <w:rFonts w:ascii="DIN Pro" w:hAnsi="DIN Pro" w:cstheme="minorHAnsi"/>
                <w:b/>
                <w:bCs/>
                <w:lang w:eastAsia="zh-CN"/>
              </w:rPr>
              <w:t xml:space="preserve">Montant hors taxes arrêté en chiffres à : </w:t>
            </w:r>
          </w:p>
        </w:tc>
        <w:tc>
          <w:tcPr>
            <w:tcW w:w="3822" w:type="dxa"/>
          </w:tcPr>
          <w:p w14:paraId="618C0014" w14:textId="77777777" w:rsidR="00093F1A" w:rsidRDefault="00093F1A" w:rsidP="003A378A">
            <w:pPr>
              <w:keepLines/>
              <w:tabs>
                <w:tab w:val="left" w:pos="284"/>
                <w:tab w:val="left" w:pos="567"/>
                <w:tab w:val="left" w:pos="851"/>
              </w:tabs>
              <w:ind w:right="88"/>
              <w:jc w:val="both"/>
              <w:rPr>
                <w:rFonts w:ascii="DIN Pro" w:hAnsi="DIN Pro" w:cstheme="minorHAnsi"/>
                <w:lang w:eastAsia="zh-CN"/>
              </w:rPr>
            </w:pPr>
          </w:p>
        </w:tc>
      </w:tr>
      <w:tr w:rsidR="00093F1A" w14:paraId="7881609C" w14:textId="77777777" w:rsidTr="003A378A">
        <w:trPr>
          <w:trHeight w:val="251"/>
          <w:jc w:val="center"/>
        </w:trPr>
        <w:tc>
          <w:tcPr>
            <w:tcW w:w="4163" w:type="dxa"/>
          </w:tcPr>
          <w:p w14:paraId="415B7FC9" w14:textId="77777777" w:rsidR="00093F1A" w:rsidRPr="003F205A" w:rsidRDefault="00093F1A" w:rsidP="003A378A">
            <w:pPr>
              <w:keepLines/>
              <w:tabs>
                <w:tab w:val="left" w:pos="284"/>
                <w:tab w:val="left" w:pos="567"/>
                <w:tab w:val="left" w:pos="851"/>
              </w:tabs>
              <w:ind w:right="88"/>
              <w:jc w:val="both"/>
              <w:rPr>
                <w:rFonts w:ascii="DIN Pro" w:hAnsi="DIN Pro" w:cstheme="minorHAnsi"/>
                <w:b/>
                <w:bCs/>
                <w:lang w:eastAsia="zh-CN"/>
              </w:rPr>
            </w:pPr>
            <w:r w:rsidRPr="003F205A">
              <w:rPr>
                <w:rFonts w:ascii="DIN Pro" w:hAnsi="DIN Pro" w:cstheme="minorHAnsi"/>
                <w:b/>
                <w:bCs/>
                <w:lang w:eastAsia="zh-CN"/>
              </w:rPr>
              <w:t>Taux de la TVA</w:t>
            </w:r>
          </w:p>
        </w:tc>
        <w:tc>
          <w:tcPr>
            <w:tcW w:w="3822" w:type="dxa"/>
          </w:tcPr>
          <w:p w14:paraId="6E421736" w14:textId="77777777" w:rsidR="00093F1A" w:rsidRDefault="00093F1A" w:rsidP="003A378A">
            <w:pPr>
              <w:keepLines/>
              <w:tabs>
                <w:tab w:val="left" w:pos="284"/>
                <w:tab w:val="left" w:pos="567"/>
                <w:tab w:val="left" w:pos="851"/>
              </w:tabs>
              <w:ind w:right="88"/>
              <w:jc w:val="both"/>
              <w:rPr>
                <w:rFonts w:ascii="DIN Pro" w:hAnsi="DIN Pro" w:cstheme="minorHAnsi"/>
                <w:lang w:eastAsia="zh-CN"/>
              </w:rPr>
            </w:pPr>
            <w:r>
              <w:rPr>
                <w:rFonts w:ascii="DIN Pro" w:hAnsi="DIN Pro" w:cstheme="minorHAnsi"/>
                <w:lang w:eastAsia="zh-CN"/>
              </w:rPr>
              <w:t>20%</w:t>
            </w:r>
          </w:p>
        </w:tc>
      </w:tr>
      <w:tr w:rsidR="00093F1A" w14:paraId="2C11484D" w14:textId="77777777" w:rsidTr="003A378A">
        <w:trPr>
          <w:trHeight w:val="251"/>
          <w:jc w:val="center"/>
        </w:trPr>
        <w:tc>
          <w:tcPr>
            <w:tcW w:w="4163" w:type="dxa"/>
          </w:tcPr>
          <w:p w14:paraId="16643364" w14:textId="77777777" w:rsidR="00093F1A" w:rsidRPr="003F205A" w:rsidRDefault="00093F1A" w:rsidP="003A378A">
            <w:pPr>
              <w:keepLines/>
              <w:tabs>
                <w:tab w:val="left" w:pos="284"/>
                <w:tab w:val="left" w:pos="567"/>
                <w:tab w:val="left" w:pos="851"/>
              </w:tabs>
              <w:ind w:right="88"/>
              <w:jc w:val="both"/>
              <w:rPr>
                <w:rFonts w:ascii="DIN Pro" w:hAnsi="DIN Pro" w:cstheme="minorHAnsi"/>
                <w:b/>
                <w:bCs/>
                <w:lang w:eastAsia="zh-CN"/>
              </w:rPr>
            </w:pPr>
            <w:r w:rsidRPr="003F205A">
              <w:rPr>
                <w:rFonts w:ascii="DIN Pro" w:hAnsi="DIN Pro" w:cstheme="minorHAnsi"/>
                <w:b/>
                <w:bCs/>
                <w:lang w:eastAsia="zh-CN"/>
              </w:rPr>
              <w:t xml:space="preserve">Montant TTC arrêté en chiffres à : </w:t>
            </w:r>
          </w:p>
        </w:tc>
        <w:tc>
          <w:tcPr>
            <w:tcW w:w="3822" w:type="dxa"/>
          </w:tcPr>
          <w:p w14:paraId="1D143A67" w14:textId="77777777" w:rsidR="00093F1A" w:rsidRDefault="00093F1A" w:rsidP="003A378A">
            <w:pPr>
              <w:keepLines/>
              <w:tabs>
                <w:tab w:val="left" w:pos="284"/>
                <w:tab w:val="left" w:pos="567"/>
                <w:tab w:val="left" w:pos="851"/>
              </w:tabs>
              <w:ind w:right="88"/>
              <w:jc w:val="both"/>
              <w:rPr>
                <w:rFonts w:ascii="DIN Pro" w:hAnsi="DIN Pro" w:cstheme="minorHAnsi"/>
                <w:lang w:eastAsia="zh-CN"/>
              </w:rPr>
            </w:pPr>
          </w:p>
        </w:tc>
      </w:tr>
      <w:tr w:rsidR="00093F1A" w14:paraId="4ECA5097" w14:textId="77777777" w:rsidTr="003A378A">
        <w:trPr>
          <w:trHeight w:val="262"/>
          <w:jc w:val="center"/>
        </w:trPr>
        <w:tc>
          <w:tcPr>
            <w:tcW w:w="4163" w:type="dxa"/>
          </w:tcPr>
          <w:p w14:paraId="2E0F855F" w14:textId="77777777" w:rsidR="00093F1A" w:rsidRPr="003F205A" w:rsidRDefault="00093F1A" w:rsidP="003A378A">
            <w:pPr>
              <w:keepLines/>
              <w:tabs>
                <w:tab w:val="left" w:pos="284"/>
                <w:tab w:val="left" w:pos="567"/>
                <w:tab w:val="left" w:pos="851"/>
              </w:tabs>
              <w:ind w:right="88"/>
              <w:jc w:val="both"/>
              <w:rPr>
                <w:rFonts w:ascii="DIN Pro" w:hAnsi="DIN Pro" w:cstheme="minorHAnsi"/>
                <w:b/>
                <w:bCs/>
                <w:lang w:eastAsia="zh-CN"/>
              </w:rPr>
            </w:pPr>
            <w:r w:rsidRPr="003F205A">
              <w:rPr>
                <w:rFonts w:ascii="DIN Pro" w:hAnsi="DIN Pro" w:cstheme="minorHAnsi"/>
                <w:b/>
                <w:bCs/>
                <w:lang w:eastAsia="zh-CN"/>
              </w:rPr>
              <w:t>Montant TTC arrêté en lettres à :</w:t>
            </w:r>
          </w:p>
        </w:tc>
        <w:tc>
          <w:tcPr>
            <w:tcW w:w="3822" w:type="dxa"/>
          </w:tcPr>
          <w:p w14:paraId="247C475C" w14:textId="77777777" w:rsidR="00093F1A" w:rsidRDefault="00093F1A" w:rsidP="003A378A">
            <w:pPr>
              <w:keepLines/>
              <w:tabs>
                <w:tab w:val="left" w:pos="284"/>
                <w:tab w:val="left" w:pos="567"/>
                <w:tab w:val="left" w:pos="851"/>
              </w:tabs>
              <w:ind w:right="88"/>
              <w:jc w:val="both"/>
              <w:rPr>
                <w:rFonts w:ascii="DIN Pro" w:hAnsi="DIN Pro" w:cstheme="minorHAnsi"/>
                <w:lang w:eastAsia="zh-CN"/>
              </w:rPr>
            </w:pPr>
          </w:p>
        </w:tc>
      </w:tr>
    </w:tbl>
    <w:p w14:paraId="4282853A" w14:textId="77777777" w:rsidR="00093F1A" w:rsidRDefault="00093F1A" w:rsidP="00093F1A">
      <w:pPr>
        <w:keepLines/>
        <w:tabs>
          <w:tab w:val="left" w:pos="284"/>
          <w:tab w:val="left" w:pos="567"/>
          <w:tab w:val="left" w:pos="851"/>
        </w:tabs>
        <w:suppressAutoHyphens/>
        <w:spacing w:after="0" w:line="240" w:lineRule="auto"/>
        <w:ind w:right="88"/>
        <w:jc w:val="both"/>
        <w:rPr>
          <w:rFonts w:ascii="DIN Pro" w:eastAsia="Times New Roman" w:hAnsi="DIN Pro" w:cstheme="minorHAnsi"/>
          <w:lang w:eastAsia="zh-CN"/>
        </w:rPr>
      </w:pPr>
    </w:p>
    <w:p w14:paraId="243DC9C7" w14:textId="77777777" w:rsidR="00093F1A" w:rsidRDefault="00093F1A" w:rsidP="00093F1A">
      <w:pPr>
        <w:keepLines/>
        <w:tabs>
          <w:tab w:val="left" w:pos="284"/>
          <w:tab w:val="left" w:pos="567"/>
          <w:tab w:val="left" w:pos="851"/>
        </w:tabs>
        <w:suppressAutoHyphens/>
        <w:spacing w:after="0" w:line="240" w:lineRule="auto"/>
        <w:ind w:right="88"/>
        <w:jc w:val="both"/>
        <w:rPr>
          <w:rFonts w:ascii="DIN Pro" w:eastAsia="Times New Roman" w:hAnsi="DIN Pro" w:cstheme="minorHAnsi"/>
          <w:lang w:eastAsia="zh-CN"/>
        </w:rPr>
      </w:pPr>
    </w:p>
    <w:p w14:paraId="7172AA9C" w14:textId="66CFA6E5" w:rsidR="00093F1A" w:rsidRPr="003F205A" w:rsidRDefault="00093F1A" w:rsidP="00093F1A">
      <w:pPr>
        <w:keepLines/>
        <w:tabs>
          <w:tab w:val="left" w:pos="284"/>
          <w:tab w:val="left" w:pos="567"/>
          <w:tab w:val="left" w:pos="851"/>
        </w:tabs>
        <w:suppressAutoHyphens/>
        <w:spacing w:after="0" w:line="240" w:lineRule="auto"/>
        <w:ind w:right="88"/>
        <w:jc w:val="both"/>
        <w:rPr>
          <w:rFonts w:ascii="DIN Pro" w:eastAsia="Times New Roman" w:hAnsi="DIN Pro" w:cstheme="minorHAnsi"/>
          <w:u w:val="single"/>
          <w:lang w:eastAsia="zh-CN"/>
        </w:rPr>
      </w:pPr>
      <w:r w:rsidRPr="003F205A">
        <w:rPr>
          <w:rFonts w:ascii="DIN Pro" w:eastAsia="Times New Roman" w:hAnsi="DIN Pro" w:cstheme="minorHAnsi"/>
          <w:u w:val="single"/>
          <w:lang w:eastAsia="zh-CN"/>
        </w:rPr>
        <w:t xml:space="preserve">Montant de la DPGF pour l’offre de </w:t>
      </w:r>
      <w:r>
        <w:rPr>
          <w:rFonts w:ascii="DIN Pro" w:eastAsia="Times New Roman" w:hAnsi="DIN Pro" w:cstheme="minorHAnsi"/>
          <w:u w:val="single"/>
          <w:lang w:eastAsia="zh-CN"/>
        </w:rPr>
        <w:t xml:space="preserve">variante </w:t>
      </w:r>
      <w:r w:rsidRPr="003F205A">
        <w:rPr>
          <w:rFonts w:ascii="DIN Pro" w:eastAsia="Times New Roman" w:hAnsi="DIN Pro" w:cstheme="minorHAnsi"/>
          <w:u w:val="single"/>
          <w:lang w:eastAsia="zh-CN"/>
        </w:rPr>
        <w:t xml:space="preserve">: </w:t>
      </w:r>
    </w:p>
    <w:p w14:paraId="57082246" w14:textId="77777777" w:rsidR="00093F1A" w:rsidRDefault="00093F1A" w:rsidP="00093F1A">
      <w:pPr>
        <w:keepLines/>
        <w:tabs>
          <w:tab w:val="left" w:pos="284"/>
          <w:tab w:val="left" w:pos="567"/>
          <w:tab w:val="left" w:pos="851"/>
        </w:tabs>
        <w:suppressAutoHyphens/>
        <w:spacing w:after="0" w:line="240" w:lineRule="auto"/>
        <w:ind w:right="88"/>
        <w:jc w:val="both"/>
        <w:rPr>
          <w:rFonts w:ascii="DIN Pro" w:eastAsia="Times New Roman" w:hAnsi="DIN Pro" w:cstheme="minorHAnsi"/>
          <w:lang w:eastAsia="zh-CN"/>
        </w:rPr>
      </w:pPr>
    </w:p>
    <w:tbl>
      <w:tblPr>
        <w:tblStyle w:val="Grilledutableau"/>
        <w:tblW w:w="0" w:type="auto"/>
        <w:jc w:val="center"/>
        <w:tblLook w:val="04A0" w:firstRow="1" w:lastRow="0" w:firstColumn="1" w:lastColumn="0" w:noHBand="0" w:noVBand="1"/>
      </w:tblPr>
      <w:tblGrid>
        <w:gridCol w:w="4163"/>
        <w:gridCol w:w="3822"/>
      </w:tblGrid>
      <w:tr w:rsidR="00093F1A" w14:paraId="7718D264" w14:textId="77777777" w:rsidTr="003A378A">
        <w:trPr>
          <w:trHeight w:val="513"/>
          <w:jc w:val="center"/>
        </w:trPr>
        <w:tc>
          <w:tcPr>
            <w:tcW w:w="4163" w:type="dxa"/>
          </w:tcPr>
          <w:p w14:paraId="6E17BE27" w14:textId="77777777" w:rsidR="00093F1A" w:rsidRPr="003F205A" w:rsidRDefault="00093F1A" w:rsidP="003A378A">
            <w:pPr>
              <w:keepLines/>
              <w:tabs>
                <w:tab w:val="left" w:pos="284"/>
                <w:tab w:val="left" w:pos="567"/>
                <w:tab w:val="left" w:pos="851"/>
              </w:tabs>
              <w:ind w:right="88"/>
              <w:jc w:val="both"/>
              <w:rPr>
                <w:rFonts w:ascii="DIN Pro" w:hAnsi="DIN Pro" w:cstheme="minorHAnsi"/>
                <w:b/>
                <w:bCs/>
                <w:lang w:eastAsia="zh-CN"/>
              </w:rPr>
            </w:pPr>
            <w:r w:rsidRPr="003F205A">
              <w:rPr>
                <w:rFonts w:ascii="DIN Pro" w:hAnsi="DIN Pro" w:cstheme="minorHAnsi"/>
                <w:b/>
                <w:bCs/>
                <w:lang w:eastAsia="zh-CN"/>
              </w:rPr>
              <w:t xml:space="preserve">Montant hors taxes arrêté en chiffres à : </w:t>
            </w:r>
          </w:p>
        </w:tc>
        <w:tc>
          <w:tcPr>
            <w:tcW w:w="3822" w:type="dxa"/>
          </w:tcPr>
          <w:p w14:paraId="1FE6DF7F" w14:textId="77777777" w:rsidR="00093F1A" w:rsidRDefault="00093F1A" w:rsidP="003A378A">
            <w:pPr>
              <w:keepLines/>
              <w:tabs>
                <w:tab w:val="left" w:pos="284"/>
                <w:tab w:val="left" w:pos="567"/>
                <w:tab w:val="left" w:pos="851"/>
              </w:tabs>
              <w:ind w:right="88"/>
              <w:jc w:val="both"/>
              <w:rPr>
                <w:rFonts w:ascii="DIN Pro" w:hAnsi="DIN Pro" w:cstheme="minorHAnsi"/>
                <w:lang w:eastAsia="zh-CN"/>
              </w:rPr>
            </w:pPr>
          </w:p>
        </w:tc>
      </w:tr>
      <w:tr w:rsidR="00093F1A" w14:paraId="5CB311F0" w14:textId="77777777" w:rsidTr="003A378A">
        <w:trPr>
          <w:trHeight w:val="251"/>
          <w:jc w:val="center"/>
        </w:trPr>
        <w:tc>
          <w:tcPr>
            <w:tcW w:w="4163" w:type="dxa"/>
          </w:tcPr>
          <w:p w14:paraId="0E4C3C91" w14:textId="77777777" w:rsidR="00093F1A" w:rsidRPr="003F205A" w:rsidRDefault="00093F1A" w:rsidP="003A378A">
            <w:pPr>
              <w:keepLines/>
              <w:tabs>
                <w:tab w:val="left" w:pos="284"/>
                <w:tab w:val="left" w:pos="567"/>
                <w:tab w:val="left" w:pos="851"/>
              </w:tabs>
              <w:ind w:right="88"/>
              <w:jc w:val="both"/>
              <w:rPr>
                <w:rFonts w:ascii="DIN Pro" w:hAnsi="DIN Pro" w:cstheme="minorHAnsi"/>
                <w:b/>
                <w:bCs/>
                <w:lang w:eastAsia="zh-CN"/>
              </w:rPr>
            </w:pPr>
            <w:r w:rsidRPr="003F205A">
              <w:rPr>
                <w:rFonts w:ascii="DIN Pro" w:hAnsi="DIN Pro" w:cstheme="minorHAnsi"/>
                <w:b/>
                <w:bCs/>
                <w:lang w:eastAsia="zh-CN"/>
              </w:rPr>
              <w:t>Taux de la TVA</w:t>
            </w:r>
          </w:p>
        </w:tc>
        <w:tc>
          <w:tcPr>
            <w:tcW w:w="3822" w:type="dxa"/>
          </w:tcPr>
          <w:p w14:paraId="1DBC526E" w14:textId="77777777" w:rsidR="00093F1A" w:rsidRDefault="00093F1A" w:rsidP="003A378A">
            <w:pPr>
              <w:keepLines/>
              <w:tabs>
                <w:tab w:val="left" w:pos="284"/>
                <w:tab w:val="left" w:pos="567"/>
                <w:tab w:val="left" w:pos="851"/>
              </w:tabs>
              <w:ind w:right="88"/>
              <w:jc w:val="both"/>
              <w:rPr>
                <w:rFonts w:ascii="DIN Pro" w:hAnsi="DIN Pro" w:cstheme="minorHAnsi"/>
                <w:lang w:eastAsia="zh-CN"/>
              </w:rPr>
            </w:pPr>
            <w:r>
              <w:rPr>
                <w:rFonts w:ascii="DIN Pro" w:hAnsi="DIN Pro" w:cstheme="minorHAnsi"/>
                <w:lang w:eastAsia="zh-CN"/>
              </w:rPr>
              <w:t>20%</w:t>
            </w:r>
          </w:p>
        </w:tc>
      </w:tr>
      <w:tr w:rsidR="00093F1A" w14:paraId="06560D19" w14:textId="77777777" w:rsidTr="003A378A">
        <w:trPr>
          <w:trHeight w:val="251"/>
          <w:jc w:val="center"/>
        </w:trPr>
        <w:tc>
          <w:tcPr>
            <w:tcW w:w="4163" w:type="dxa"/>
          </w:tcPr>
          <w:p w14:paraId="5CC40511" w14:textId="77777777" w:rsidR="00093F1A" w:rsidRPr="003F205A" w:rsidRDefault="00093F1A" w:rsidP="003A378A">
            <w:pPr>
              <w:keepLines/>
              <w:tabs>
                <w:tab w:val="left" w:pos="284"/>
                <w:tab w:val="left" w:pos="567"/>
                <w:tab w:val="left" w:pos="851"/>
              </w:tabs>
              <w:ind w:right="88"/>
              <w:jc w:val="both"/>
              <w:rPr>
                <w:rFonts w:ascii="DIN Pro" w:hAnsi="DIN Pro" w:cstheme="minorHAnsi"/>
                <w:b/>
                <w:bCs/>
                <w:lang w:eastAsia="zh-CN"/>
              </w:rPr>
            </w:pPr>
            <w:r w:rsidRPr="003F205A">
              <w:rPr>
                <w:rFonts w:ascii="DIN Pro" w:hAnsi="DIN Pro" w:cstheme="minorHAnsi"/>
                <w:b/>
                <w:bCs/>
                <w:lang w:eastAsia="zh-CN"/>
              </w:rPr>
              <w:t xml:space="preserve">Montant TTC arrêté en chiffres à : </w:t>
            </w:r>
          </w:p>
        </w:tc>
        <w:tc>
          <w:tcPr>
            <w:tcW w:w="3822" w:type="dxa"/>
          </w:tcPr>
          <w:p w14:paraId="6703580E" w14:textId="77777777" w:rsidR="00093F1A" w:rsidRDefault="00093F1A" w:rsidP="003A378A">
            <w:pPr>
              <w:keepLines/>
              <w:tabs>
                <w:tab w:val="left" w:pos="284"/>
                <w:tab w:val="left" w:pos="567"/>
                <w:tab w:val="left" w:pos="851"/>
              </w:tabs>
              <w:ind w:right="88"/>
              <w:jc w:val="both"/>
              <w:rPr>
                <w:rFonts w:ascii="DIN Pro" w:hAnsi="DIN Pro" w:cstheme="minorHAnsi"/>
                <w:lang w:eastAsia="zh-CN"/>
              </w:rPr>
            </w:pPr>
          </w:p>
        </w:tc>
      </w:tr>
      <w:tr w:rsidR="00093F1A" w14:paraId="32A9D6B1" w14:textId="77777777" w:rsidTr="003A378A">
        <w:trPr>
          <w:trHeight w:val="262"/>
          <w:jc w:val="center"/>
        </w:trPr>
        <w:tc>
          <w:tcPr>
            <w:tcW w:w="4163" w:type="dxa"/>
          </w:tcPr>
          <w:p w14:paraId="2E411CCC" w14:textId="77777777" w:rsidR="00093F1A" w:rsidRPr="003F205A" w:rsidRDefault="00093F1A" w:rsidP="003A378A">
            <w:pPr>
              <w:keepLines/>
              <w:tabs>
                <w:tab w:val="left" w:pos="284"/>
                <w:tab w:val="left" w:pos="567"/>
                <w:tab w:val="left" w:pos="851"/>
              </w:tabs>
              <w:ind w:right="88"/>
              <w:jc w:val="both"/>
              <w:rPr>
                <w:rFonts w:ascii="DIN Pro" w:hAnsi="DIN Pro" w:cstheme="minorHAnsi"/>
                <w:b/>
                <w:bCs/>
                <w:lang w:eastAsia="zh-CN"/>
              </w:rPr>
            </w:pPr>
            <w:r w:rsidRPr="003F205A">
              <w:rPr>
                <w:rFonts w:ascii="DIN Pro" w:hAnsi="DIN Pro" w:cstheme="minorHAnsi"/>
                <w:b/>
                <w:bCs/>
                <w:lang w:eastAsia="zh-CN"/>
              </w:rPr>
              <w:t>Montant TTC arrêté en lettres à :</w:t>
            </w:r>
          </w:p>
        </w:tc>
        <w:tc>
          <w:tcPr>
            <w:tcW w:w="3822" w:type="dxa"/>
          </w:tcPr>
          <w:p w14:paraId="12FA981A" w14:textId="77777777" w:rsidR="00093F1A" w:rsidRDefault="00093F1A" w:rsidP="003A378A">
            <w:pPr>
              <w:keepLines/>
              <w:tabs>
                <w:tab w:val="left" w:pos="284"/>
                <w:tab w:val="left" w:pos="567"/>
                <w:tab w:val="left" w:pos="851"/>
              </w:tabs>
              <w:ind w:right="88"/>
              <w:jc w:val="both"/>
              <w:rPr>
                <w:rFonts w:ascii="DIN Pro" w:hAnsi="DIN Pro" w:cstheme="minorHAnsi"/>
                <w:lang w:eastAsia="zh-CN"/>
              </w:rPr>
            </w:pPr>
          </w:p>
        </w:tc>
      </w:tr>
    </w:tbl>
    <w:p w14:paraId="389E1573" w14:textId="77777777" w:rsidR="00093F1A" w:rsidRDefault="00093F1A" w:rsidP="00093F1A">
      <w:pPr>
        <w:keepLines/>
        <w:tabs>
          <w:tab w:val="left" w:pos="284"/>
          <w:tab w:val="left" w:pos="567"/>
          <w:tab w:val="left" w:pos="851"/>
        </w:tabs>
        <w:suppressAutoHyphens/>
        <w:spacing w:after="0" w:line="240" w:lineRule="auto"/>
        <w:ind w:right="88"/>
        <w:jc w:val="both"/>
        <w:rPr>
          <w:rFonts w:ascii="DIN Pro" w:eastAsia="Times New Roman" w:hAnsi="DIN Pro" w:cstheme="minorHAnsi"/>
          <w:lang w:eastAsia="zh-CN"/>
        </w:rPr>
      </w:pPr>
    </w:p>
    <w:p w14:paraId="23A9ABC1" w14:textId="77777777" w:rsidR="00093F1A" w:rsidRDefault="00093F1A" w:rsidP="00093F1A">
      <w:pPr>
        <w:keepLines/>
        <w:tabs>
          <w:tab w:val="left" w:pos="284"/>
          <w:tab w:val="left" w:pos="567"/>
          <w:tab w:val="left" w:pos="851"/>
        </w:tabs>
        <w:suppressAutoHyphens/>
        <w:spacing w:after="0" w:line="240" w:lineRule="auto"/>
        <w:ind w:right="88"/>
        <w:jc w:val="both"/>
        <w:rPr>
          <w:rFonts w:ascii="DIN Pro" w:eastAsia="Times New Roman" w:hAnsi="DIN Pro" w:cstheme="minorHAnsi"/>
          <w:lang w:eastAsia="zh-CN"/>
        </w:rPr>
      </w:pPr>
    </w:p>
    <w:p w14:paraId="3F2ECFD3" w14:textId="77777777" w:rsidR="00093F1A" w:rsidRPr="00962751" w:rsidRDefault="00093F1A" w:rsidP="00093F1A">
      <w:pPr>
        <w:keepLines/>
        <w:tabs>
          <w:tab w:val="left" w:pos="284"/>
          <w:tab w:val="left" w:pos="567"/>
          <w:tab w:val="left" w:pos="851"/>
        </w:tabs>
        <w:suppressAutoHyphens/>
        <w:spacing w:after="0" w:line="240" w:lineRule="auto"/>
        <w:ind w:right="88"/>
        <w:jc w:val="both"/>
        <w:rPr>
          <w:rFonts w:ascii="DIN Pro" w:eastAsia="Times New Roman" w:hAnsi="DIN Pro" w:cstheme="minorHAnsi"/>
          <w:i/>
          <w:iCs/>
          <w:sz w:val="20"/>
          <w:szCs w:val="20"/>
          <w:lang w:eastAsia="zh-CN"/>
        </w:rPr>
      </w:pPr>
      <w:r w:rsidRPr="00962751">
        <w:rPr>
          <w:rFonts w:ascii="DIN Pro" w:eastAsia="Times New Roman" w:hAnsi="DIN Pro" w:cstheme="minorHAnsi"/>
          <w:i/>
          <w:iCs/>
          <w:sz w:val="20"/>
          <w:szCs w:val="20"/>
          <w:lang w:eastAsia="zh-CN"/>
        </w:rPr>
        <w:t xml:space="preserve">Le pouvoir adjudicateur se réserve le droit de barrer la solution qui ne sera pas retenue dans le cadre du présent marché. </w:t>
      </w:r>
    </w:p>
    <w:p w14:paraId="463CD261" w14:textId="77777777" w:rsidR="00093F1A" w:rsidRPr="00BC6239" w:rsidRDefault="00093F1A" w:rsidP="009E1061">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40D4B8B1" w14:textId="77777777" w:rsidR="00BD447D" w:rsidRPr="00BC6239"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Pr="00BC6239">
        <w:rPr>
          <w:rFonts w:ascii="DIN Pro" w:eastAsia="Times New Roman" w:hAnsi="DIN Pro" w:cs="Arial"/>
          <w:lang w:eastAsia="zh-CN"/>
        </w:rPr>
        <w:t>En cas de cotraitance, la répartition du montant est détaillée à l’article 8.4 du présent acte d’engagement.</w:t>
      </w:r>
    </w:p>
    <w:p w14:paraId="3BBE249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88E5082"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59EAF62" w14:textId="77777777" w:rsidTr="003C1DCA">
        <w:tc>
          <w:tcPr>
            <w:tcW w:w="10080" w:type="dxa"/>
            <w:shd w:val="clear" w:color="auto" w:fill="BDD6EE"/>
          </w:tcPr>
          <w:p w14:paraId="56B33FAD"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5 – Sous-traitance</w:t>
            </w:r>
          </w:p>
        </w:tc>
      </w:tr>
    </w:tbl>
    <w:p w14:paraId="23BB0CC8" w14:textId="77777777" w:rsidR="00BD447D" w:rsidRPr="00BC6239" w:rsidRDefault="00BD447D" w:rsidP="009E1061">
      <w:pPr>
        <w:autoSpaceDN w:val="0"/>
        <w:spacing w:before="60" w:after="60" w:line="240" w:lineRule="auto"/>
        <w:ind w:right="88"/>
        <w:jc w:val="both"/>
        <w:rPr>
          <w:rFonts w:ascii="DIN Pro" w:eastAsia="Times New Roman" w:hAnsi="DIN Pro" w:cs="Arial"/>
          <w:i/>
          <w:lang w:eastAsia="zh-CN"/>
        </w:rPr>
      </w:pPr>
      <w:r w:rsidRPr="00BC6239">
        <w:rPr>
          <w:rFonts w:ascii="DIN Pro" w:eastAsia="Times New Roman" w:hAnsi="DIN Pro" w:cs="Arial"/>
          <w:i/>
          <w:lang w:eastAsia="zh-CN"/>
        </w:rPr>
        <w:t xml:space="preserve">Cette clause est obligatoire </w:t>
      </w:r>
      <w:r w:rsidRPr="00BC6239">
        <w:rPr>
          <w:rFonts w:ascii="DIN Pro" w:eastAsia="Times New Roman" w:hAnsi="DIN Pro" w:cs="Arial"/>
          <w:i/>
          <w:color w:val="FF0000"/>
          <w:lang w:eastAsia="zh-CN"/>
        </w:rPr>
        <w:t>(prendre a ou b EN RAYANT LA MENTION INUTILE)</w:t>
      </w:r>
    </w:p>
    <w:p w14:paraId="59E627C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8FDB72"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lang w:eastAsia="zh-CN"/>
        </w:rPr>
        <w:t>Je n'envisage / nous n’envisageons pas de sous-traiter</w:t>
      </w:r>
      <w:r w:rsidR="003C1DCA" w:rsidRPr="00BC6239">
        <w:rPr>
          <w:rFonts w:ascii="DIN Pro" w:eastAsia="Times New Roman" w:hAnsi="DIN Pro" w:cs="Arial"/>
          <w:lang w:eastAsia="zh-CN"/>
        </w:rPr>
        <w:t xml:space="preserve"> pour le moment</w:t>
      </w:r>
      <w:r w:rsidRPr="00BC6239">
        <w:rPr>
          <w:rFonts w:ascii="DIN Pro" w:eastAsia="Times New Roman" w:hAnsi="DIN Pro" w:cs="Arial"/>
          <w:lang w:eastAsia="zh-CN"/>
        </w:rPr>
        <w:t>.</w:t>
      </w:r>
    </w:p>
    <w:p w14:paraId="42E2976E"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u w:val="single"/>
          <w:lang w:eastAsia="zh-CN"/>
        </w:rPr>
        <w:t>Cas d’une entreprise unique </w:t>
      </w:r>
      <w:r w:rsidRPr="00BC623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09D829E9"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4CC860B"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r w:rsidRPr="00BC6239">
        <w:rPr>
          <w:rFonts w:ascii="DIN Pro" w:eastAsia="Times New Roman" w:hAnsi="DIN Pro" w:cs="Arial"/>
          <w:u w:val="single"/>
          <w:lang w:eastAsia="zh-CN"/>
        </w:rPr>
        <w:t>Cas d’un groupement d’entreprise </w:t>
      </w:r>
      <w:r w:rsidRPr="00BC623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753F28E3"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p>
    <w:p w14:paraId="131084F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BC93B1C"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71EDA365"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4A24E3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total des prestations que j'envisage de sous-traiter conformément à cette(ces) annexe(s) est de :</w:t>
      </w:r>
    </w:p>
    <w:p w14:paraId="219F0C1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A08B99"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43186F55"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1B73E85F"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48A64BD8"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EB8745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Et réparti de la façon suivante :</w:t>
      </w:r>
    </w:p>
    <w:p w14:paraId="7552E88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BD447D" w:rsidRPr="00BC6239" w14:paraId="54E0290F" w14:textId="77777777" w:rsidTr="003C1DCA">
        <w:trPr>
          <w:trHeight w:val="634"/>
          <w:jc w:val="center"/>
        </w:trPr>
        <w:tc>
          <w:tcPr>
            <w:tcW w:w="2972" w:type="dxa"/>
            <w:vAlign w:val="center"/>
          </w:tcPr>
          <w:p w14:paraId="08B0014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Sous-traitant</w:t>
            </w:r>
          </w:p>
        </w:tc>
        <w:tc>
          <w:tcPr>
            <w:tcW w:w="3095" w:type="dxa"/>
            <w:vAlign w:val="center"/>
          </w:tcPr>
          <w:p w14:paraId="632DC01B"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Nature des prestations</w:t>
            </w:r>
          </w:p>
        </w:tc>
        <w:tc>
          <w:tcPr>
            <w:tcW w:w="1985" w:type="dxa"/>
            <w:vAlign w:val="center"/>
          </w:tcPr>
          <w:p w14:paraId="6D2FB84D"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HT</w:t>
            </w:r>
          </w:p>
        </w:tc>
        <w:tc>
          <w:tcPr>
            <w:tcW w:w="1984" w:type="dxa"/>
            <w:vAlign w:val="center"/>
          </w:tcPr>
          <w:p w14:paraId="5ABE62C6"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TTC</w:t>
            </w:r>
          </w:p>
        </w:tc>
      </w:tr>
      <w:tr w:rsidR="00BD447D" w:rsidRPr="00BC6239" w14:paraId="369C72C8" w14:textId="77777777" w:rsidTr="003C1DCA">
        <w:trPr>
          <w:trHeight w:val="398"/>
          <w:jc w:val="center"/>
        </w:trPr>
        <w:tc>
          <w:tcPr>
            <w:tcW w:w="2972" w:type="dxa"/>
            <w:vAlign w:val="center"/>
          </w:tcPr>
          <w:p w14:paraId="36940A34"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685839F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1BB59B9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211ED34A"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178F6E67" w14:textId="77777777" w:rsidTr="003C1DCA">
        <w:trPr>
          <w:trHeight w:val="398"/>
          <w:jc w:val="center"/>
        </w:trPr>
        <w:tc>
          <w:tcPr>
            <w:tcW w:w="2972" w:type="dxa"/>
            <w:vAlign w:val="center"/>
          </w:tcPr>
          <w:p w14:paraId="2AEC45A3"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538560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1D494641"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F18DAD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2C1E2294" w14:textId="77777777" w:rsidTr="003C1DCA">
        <w:trPr>
          <w:trHeight w:val="398"/>
          <w:jc w:val="center"/>
        </w:trPr>
        <w:tc>
          <w:tcPr>
            <w:tcW w:w="2972" w:type="dxa"/>
            <w:vAlign w:val="center"/>
          </w:tcPr>
          <w:p w14:paraId="748B1D29"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7EAB37F"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1F4BD8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45175B8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2E6E6855" w14:textId="77777777" w:rsidTr="003C1DCA">
        <w:trPr>
          <w:trHeight w:val="398"/>
          <w:jc w:val="center"/>
        </w:trPr>
        <w:tc>
          <w:tcPr>
            <w:tcW w:w="2972" w:type="dxa"/>
            <w:vAlign w:val="center"/>
          </w:tcPr>
          <w:p w14:paraId="1B2162E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6ADB26C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746BA6B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60E78F39"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8705CA8" w14:textId="77777777" w:rsidTr="003C1DCA">
        <w:trPr>
          <w:trHeight w:val="398"/>
          <w:jc w:val="center"/>
        </w:trPr>
        <w:tc>
          <w:tcPr>
            <w:tcW w:w="2972" w:type="dxa"/>
            <w:vAlign w:val="center"/>
          </w:tcPr>
          <w:p w14:paraId="5CA54A9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C2A4D4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0DE47EC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1DF8EA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010CF8CA" w14:textId="77777777" w:rsidTr="003C1DCA">
        <w:trPr>
          <w:trHeight w:val="363"/>
          <w:jc w:val="center"/>
        </w:trPr>
        <w:tc>
          <w:tcPr>
            <w:tcW w:w="2972" w:type="dxa"/>
            <w:vAlign w:val="center"/>
          </w:tcPr>
          <w:p w14:paraId="199F778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5B8DEAB"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7043062F"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6511E8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bl>
    <w:p w14:paraId="69B1056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728CD62"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p>
    <w:p w14:paraId="035BF7C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i/>
          <w:lang w:eastAsia="zh-CN"/>
        </w:rPr>
        <w:t>*</w:t>
      </w:r>
      <w:r w:rsidRPr="00BC6239">
        <w:rPr>
          <w:rFonts w:ascii="DIN Pro" w:eastAsia="Times New Roman" w:hAnsi="DIN Pro" w:cs="Univers"/>
          <w:b/>
          <w:i/>
          <w:lang w:eastAsia="zh-CN"/>
        </w:rPr>
        <w:t xml:space="preserve"> </w:t>
      </w:r>
      <w:r w:rsidRPr="00BC6239">
        <w:rPr>
          <w:rFonts w:ascii="DIN Pro" w:eastAsia="Times New Roman" w:hAnsi="DIN Pro" w:cs="Arial"/>
          <w:lang w:eastAsia="zh-CN"/>
        </w:rPr>
        <w:t>En cas de présentation d’un ou de plusieurs sous-traitants, le candidat fournit à l’appui (en annexe) du présent acte d’engagement un DC4 (</w:t>
      </w:r>
      <w:hyperlink r:id="rId9" w:history="1">
        <w:r w:rsidRPr="00BC6239">
          <w:rPr>
            <w:rFonts w:ascii="DIN Pro" w:eastAsia="Times New Roman" w:hAnsi="DIN Pro" w:cs="Arial"/>
            <w:color w:val="0000FF"/>
            <w:u w:val="single"/>
            <w:lang w:eastAsia="zh-CN"/>
          </w:rPr>
          <w:t>formulaire DC4</w:t>
        </w:r>
      </w:hyperlink>
      <w:r w:rsidRPr="00BC6239">
        <w:rPr>
          <w:rFonts w:ascii="DIN Pro" w:eastAsia="Times New Roman" w:hAnsi="DIN Pro" w:cs="Arial"/>
          <w:lang w:eastAsia="zh-CN"/>
        </w:rPr>
        <w:t xml:space="preserve"> à reproduire si nécessaire : </w:t>
      </w:r>
      <w:r w:rsidRPr="00BC6239">
        <w:rPr>
          <w:rFonts w:ascii="DIN Pro" w:eastAsia="Times New Roman" w:hAnsi="DIN Pro" w:cs="Arial"/>
          <w:b/>
          <w:lang w:eastAsia="zh-CN"/>
        </w:rPr>
        <w:t>1 exemplaire par sous-traitant</w:t>
      </w:r>
      <w:r w:rsidRPr="00BC6239">
        <w:rPr>
          <w:rFonts w:ascii="DIN Pro" w:eastAsia="Times New Roman" w:hAnsi="DIN Pro" w:cs="Arial"/>
          <w:lang w:eastAsia="zh-CN"/>
        </w:rPr>
        <w:t xml:space="preserve">) pour chacun des sous-traitants. En cas de recours à la sous-traitance, les opérateurs économiques devront joindre les déclarations exigées à l’article R2193-1 du Code de la commande publique. </w:t>
      </w:r>
    </w:p>
    <w:p w14:paraId="7A3E4D15" w14:textId="77777777" w:rsidR="00BD447D" w:rsidRDefault="00BD447D" w:rsidP="009E1061">
      <w:pPr>
        <w:suppressAutoHyphens/>
        <w:spacing w:after="0" w:line="240" w:lineRule="auto"/>
        <w:ind w:right="88"/>
        <w:jc w:val="both"/>
        <w:rPr>
          <w:rFonts w:ascii="DIN Pro" w:eastAsia="Times New Roman" w:hAnsi="DIN Pro" w:cs="Kartika"/>
          <w:i/>
          <w:iCs/>
          <w:lang w:eastAsia="zh-CN"/>
        </w:rPr>
      </w:pPr>
    </w:p>
    <w:p w14:paraId="4320281F" w14:textId="77777777" w:rsidR="00CC30B2" w:rsidRDefault="00CC30B2" w:rsidP="009E1061">
      <w:pPr>
        <w:suppressAutoHyphens/>
        <w:spacing w:after="0" w:line="240" w:lineRule="auto"/>
        <w:ind w:right="88"/>
        <w:jc w:val="both"/>
        <w:rPr>
          <w:rFonts w:ascii="DIN Pro" w:eastAsia="Times New Roman" w:hAnsi="DIN Pro" w:cs="Kartika"/>
          <w:i/>
          <w:iCs/>
          <w:lang w:eastAsia="zh-CN"/>
        </w:rPr>
      </w:pPr>
    </w:p>
    <w:p w14:paraId="43B01317" w14:textId="77777777" w:rsidR="00CC30B2" w:rsidRPr="00BC6239" w:rsidRDefault="00CC30B2" w:rsidP="009E1061">
      <w:pPr>
        <w:suppressAutoHyphens/>
        <w:spacing w:after="0" w:line="240" w:lineRule="auto"/>
        <w:ind w:right="88"/>
        <w:jc w:val="both"/>
        <w:rPr>
          <w:rFonts w:ascii="DIN Pro" w:eastAsia="Times New Roman" w:hAnsi="DIN Pro" w:cs="Kartika"/>
          <w:i/>
          <w:iCs/>
          <w:lang w:eastAsia="zh-CN"/>
        </w:rPr>
      </w:pPr>
    </w:p>
    <w:p w14:paraId="54D92D6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049CF8D" w14:textId="77777777" w:rsidTr="003C1DCA">
        <w:tc>
          <w:tcPr>
            <w:tcW w:w="10080" w:type="dxa"/>
            <w:shd w:val="clear" w:color="auto" w:fill="BDD6EE"/>
          </w:tcPr>
          <w:p w14:paraId="2AB080CC"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6 – Nantissement - Cession de créance</w:t>
            </w:r>
          </w:p>
        </w:tc>
      </w:tr>
    </w:tbl>
    <w:p w14:paraId="3AAC2BF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7A1F711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maximal de la créance que le titulaire pourrait céder ou présenter en nantissement est de</w:t>
      </w:r>
      <w:r w:rsidRPr="00BC6239">
        <w:rPr>
          <w:rFonts w:ascii="DIN Pro" w:eastAsia="Times New Roman" w:hAnsi="DIN Pro" w:cs="Arial"/>
          <w:i/>
          <w:lang w:eastAsia="zh-CN"/>
        </w:rPr>
        <w:t xml:space="preserve"> (montant total du marché diminué de la sous-traitance envisagée</w:t>
      </w:r>
      <w:r w:rsidRPr="00BC6239">
        <w:rPr>
          <w:rFonts w:ascii="DIN Pro" w:eastAsia="Times New Roman" w:hAnsi="DIN Pro" w:cs="Arial"/>
          <w:lang w:eastAsia="zh-CN"/>
        </w:rPr>
        <w:t>) :</w:t>
      </w:r>
    </w:p>
    <w:p w14:paraId="2342F28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A5DDC4F"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5DD9AB4C"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028D7255"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0767D3B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 xml:space="preserve">             ………………………………………………………..</w:t>
      </w:r>
    </w:p>
    <w:p w14:paraId="3530D23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2CFE740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8B6D1A8"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895DB55" w14:textId="77777777" w:rsidR="00D53119" w:rsidRDefault="00D53119"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80C1E01" w14:textId="77777777" w:rsidR="00F57D9D"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3E7C2D6" w14:textId="77777777" w:rsidR="00F57D9D" w:rsidRPr="00BC6239"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ED5734F" w14:textId="77777777" w:rsidTr="003C1DCA">
        <w:tc>
          <w:tcPr>
            <w:tcW w:w="10080" w:type="dxa"/>
            <w:shd w:val="clear" w:color="auto" w:fill="BDD6EE"/>
          </w:tcPr>
          <w:p w14:paraId="7D2A679A" w14:textId="456B7AEE"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 xml:space="preserve">Article </w:t>
            </w:r>
            <w:r w:rsidR="003A2B00" w:rsidRPr="00BC6239">
              <w:rPr>
                <w:rFonts w:ascii="DIN Pro" w:eastAsia="Times New Roman" w:hAnsi="DIN Pro" w:cs="Arial"/>
                <w:b/>
                <w:lang w:eastAsia="zh-CN"/>
              </w:rPr>
              <w:t>7 –</w:t>
            </w:r>
            <w:r w:rsidRPr="00BC6239">
              <w:rPr>
                <w:rFonts w:ascii="DIN Pro" w:eastAsia="Times New Roman" w:hAnsi="DIN Pro" w:cs="Arial"/>
                <w:b/>
                <w:lang w:eastAsia="zh-CN"/>
              </w:rPr>
              <w:t xml:space="preserve"> Durée du marché</w:t>
            </w:r>
          </w:p>
        </w:tc>
      </w:tr>
    </w:tbl>
    <w:p w14:paraId="3DB57AFC" w14:textId="77777777" w:rsidR="00BD447D" w:rsidRPr="00B02996"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63BF4DA" w14:textId="5A69A53F" w:rsidR="00BA5939" w:rsidRPr="008261DC" w:rsidRDefault="00BA5939" w:rsidP="00BA5939">
      <w:pPr>
        <w:pStyle w:val="Corpsdetexte2"/>
        <w:spacing w:line="276" w:lineRule="auto"/>
      </w:pPr>
      <w:r w:rsidRPr="000548B7">
        <w:t xml:space="preserve">Le </w:t>
      </w:r>
      <w:r w:rsidR="00A459F0">
        <w:t xml:space="preserve">présent </w:t>
      </w:r>
      <w:r w:rsidR="0045678B">
        <w:t>marché</w:t>
      </w:r>
      <w:r w:rsidRPr="00BA5939">
        <w:t xml:space="preserve"> </w:t>
      </w:r>
      <w:r>
        <w:t xml:space="preserve">relatif </w:t>
      </w:r>
      <w:r w:rsidR="00D52161">
        <w:t>à la fourniture et maintenance de l’infrastructure réseau de la Cité</w:t>
      </w:r>
      <w:r w:rsidR="003E53E8">
        <w:t xml:space="preserve"> est</w:t>
      </w:r>
      <w:r w:rsidRPr="000548B7">
        <w:t xml:space="preserve"> conclu </w:t>
      </w:r>
      <w:r w:rsidRPr="000548B7">
        <w:lastRenderedPageBreak/>
        <w:t xml:space="preserve">pour </w:t>
      </w:r>
      <w:r w:rsidRPr="00877B44">
        <w:t xml:space="preserve">une durée ferme </w:t>
      </w:r>
      <w:r w:rsidR="00D52161">
        <w:t>de quatre (4) années à compter de la date de notification du marché</w:t>
      </w:r>
      <w:r w:rsidR="005560A7">
        <w:t>.</w:t>
      </w:r>
      <w:r w:rsidRPr="000C2002">
        <w:t xml:space="preserve"> </w:t>
      </w:r>
    </w:p>
    <w:p w14:paraId="45AB15EC" w14:textId="5CF67F45" w:rsidR="00DE694F" w:rsidRPr="00F87111" w:rsidRDefault="00D52161" w:rsidP="00F57D9D">
      <w:pPr>
        <w:pStyle w:val="Ceqgarantinum1numanum-"/>
        <w:numPr>
          <w:ilvl w:val="0"/>
          <w:numId w:val="0"/>
        </w:numPr>
        <w:rPr>
          <w:rFonts w:ascii="DIN Pro" w:hAnsi="DIN Pro"/>
          <w:sz w:val="22"/>
        </w:rPr>
      </w:pPr>
      <w:r w:rsidRPr="00D52161">
        <w:rPr>
          <w:rFonts w:ascii="DIN Pro" w:eastAsia="SimSun" w:hAnsi="DIN Pro" w:cstheme="minorHAnsi"/>
          <w:kern w:val="3"/>
          <w:sz w:val="22"/>
          <w:szCs w:val="22"/>
          <w:lang w:eastAsia="en-US"/>
        </w:rPr>
        <w:t>La période d’exécution du présent marché part de la date de notification. La date de fin d’exécution du marché correspond à la date de fin de maintenance, 4 années après la décision d’admission des prestations.</w:t>
      </w:r>
    </w:p>
    <w:p w14:paraId="4F74CBD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661CDE1" w14:textId="77777777" w:rsidTr="003C1DCA">
        <w:tc>
          <w:tcPr>
            <w:tcW w:w="10080" w:type="dxa"/>
            <w:shd w:val="clear" w:color="auto" w:fill="BDD6EE"/>
          </w:tcPr>
          <w:p w14:paraId="4EBCA70F" w14:textId="44AB27D6"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 xml:space="preserve">Article </w:t>
            </w:r>
            <w:r w:rsidR="00876C9D" w:rsidRPr="00BC6239">
              <w:rPr>
                <w:rFonts w:ascii="DIN Pro" w:eastAsia="Times New Roman" w:hAnsi="DIN Pro" w:cs="Arial"/>
                <w:b/>
                <w:lang w:eastAsia="zh-CN"/>
              </w:rPr>
              <w:t>8 –</w:t>
            </w:r>
            <w:r w:rsidRPr="00BC6239">
              <w:rPr>
                <w:rFonts w:ascii="DIN Pro" w:eastAsia="Times New Roman" w:hAnsi="DIN Pro" w:cs="Arial"/>
                <w:b/>
                <w:lang w:eastAsia="zh-CN"/>
              </w:rPr>
              <w:t xml:space="preserve"> Paiement</w:t>
            </w:r>
          </w:p>
        </w:tc>
      </w:tr>
    </w:tbl>
    <w:p w14:paraId="61240C0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3EED3EFB" w14:textId="77777777" w:rsidR="00BD447D" w:rsidRPr="00BC6239" w:rsidRDefault="00BD447D" w:rsidP="009E1061">
      <w:pPr>
        <w:suppressAutoHyphens/>
        <w:spacing w:after="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8.1 - Compte à créditer</w:t>
      </w:r>
      <w:r w:rsidRPr="00BC6239">
        <w:rPr>
          <w:rFonts w:ascii="DIN Pro" w:eastAsia="Times New Roman" w:hAnsi="DIN Pro" w:cs="Arial"/>
          <w:b/>
          <w:bCs/>
          <w:lang w:eastAsia="zh-CN"/>
        </w:rPr>
        <w:t> </w:t>
      </w:r>
      <w:r w:rsidRPr="00BC6239">
        <w:rPr>
          <w:rFonts w:ascii="DIN Pro" w:eastAsia="Times New Roman" w:hAnsi="DIN Pro" w:cs="Arial"/>
          <w:bCs/>
          <w:i/>
          <w:color w:val="FF0000"/>
          <w:lang w:eastAsia="zh-CN"/>
        </w:rPr>
        <w:t>(fournir un RIB)</w:t>
      </w:r>
      <w:r w:rsidRPr="00BC6239">
        <w:rPr>
          <w:rFonts w:ascii="DIN Pro" w:eastAsia="Times New Roman" w:hAnsi="DIN Pro" w:cs="Arial"/>
          <w:b/>
          <w:bCs/>
          <w:lang w:eastAsia="zh-CN"/>
        </w:rPr>
        <w:t xml:space="preserve"> :</w:t>
      </w:r>
    </w:p>
    <w:p w14:paraId="2E95FB0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ACB0458" w14:textId="77777777" w:rsidR="00BD447D" w:rsidRPr="00E74A0B"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pouvoir adjudicateur se libérera des sommes dues au titre du présent marché en faisant porter le montant au crédit des bénéficiaires ci-dessous :</w:t>
      </w:r>
    </w:p>
    <w:p w14:paraId="69727989" w14:textId="77777777" w:rsidR="00BD447D" w:rsidRPr="00BC6239" w:rsidRDefault="00BD447D" w:rsidP="009E1061">
      <w:pPr>
        <w:suppressAutoHyphens/>
        <w:spacing w:before="240"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67AD673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25E93A3" w14:textId="75241B39"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xml:space="preserve">- du compte ouvert au nom </w:t>
      </w:r>
      <w:r w:rsidR="003A2B00" w:rsidRPr="00BC6239">
        <w:rPr>
          <w:rFonts w:ascii="DIN Pro" w:eastAsia="Times New Roman" w:hAnsi="DIN Pro" w:cs="Arial"/>
          <w:lang w:eastAsia="zh-CN"/>
        </w:rPr>
        <w:t>de :</w:t>
      </w:r>
      <w:r w:rsidRPr="00BC6239">
        <w:rPr>
          <w:rFonts w:ascii="DIN Pro" w:eastAsia="Times New Roman" w:hAnsi="DIN Pro" w:cs="Arial"/>
          <w:i/>
          <w:lang w:eastAsia="zh-CN"/>
        </w:rPr>
        <w:t xml:space="preserve"> </w:t>
      </w:r>
    </w:p>
    <w:p w14:paraId="01528D1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6FB59AA"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r w:rsidRPr="00BC6239">
        <w:rPr>
          <w:rFonts w:ascii="DIN Pro" w:eastAsia="Times New Roman" w:hAnsi="DIN Pro" w:cs="Arial"/>
          <w:lang w:eastAsia="zh-CN"/>
        </w:rPr>
        <w:t>- à l'établissement bancaire suivant :</w:t>
      </w:r>
      <w:r w:rsidRPr="00BC6239">
        <w:rPr>
          <w:rFonts w:ascii="DIN Pro" w:eastAsia="Times New Roman" w:hAnsi="DIN Pro" w:cs="Arial"/>
          <w:i/>
          <w:lang w:eastAsia="zh-CN"/>
        </w:rPr>
        <w:t xml:space="preserve"> </w:t>
      </w:r>
    </w:p>
    <w:p w14:paraId="03ABA2F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A97F77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sous le numéro de compte :</w:t>
      </w:r>
      <w:r w:rsidRPr="00BC6239">
        <w:rPr>
          <w:rFonts w:ascii="DIN Pro" w:eastAsia="Times New Roman" w:hAnsi="DIN Pro" w:cs="Arial"/>
          <w:i/>
          <w:lang w:eastAsia="zh-CN"/>
        </w:rPr>
        <w:t xml:space="preserve"> </w:t>
      </w:r>
    </w:p>
    <w:p w14:paraId="62FE1F65"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A074D3E"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code établissement :</w:t>
      </w:r>
      <w:r w:rsidRPr="00BC6239">
        <w:rPr>
          <w:rFonts w:ascii="DIN Pro" w:eastAsia="Times New Roman" w:hAnsi="DIN Pro" w:cs="Arial"/>
          <w:i/>
          <w:lang w:eastAsia="zh-CN"/>
        </w:rPr>
        <w:t xml:space="preserve"> </w:t>
      </w:r>
      <w:r w:rsidRPr="00BC6239">
        <w:rPr>
          <w:rFonts w:ascii="DIN Pro" w:eastAsia="Times New Roman" w:hAnsi="DIN Pro" w:cs="Arial"/>
          <w:b/>
          <w:i/>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code guichet :</w:t>
      </w:r>
      <w:r w:rsidRPr="00BC6239">
        <w:rPr>
          <w:rFonts w:ascii="DIN Pro" w:eastAsia="Times New Roman" w:hAnsi="DIN Pro" w:cs="Arial"/>
          <w:i/>
          <w:lang w:eastAsia="zh-CN"/>
        </w:rPr>
        <w:t xml:space="preserve"> </w:t>
      </w:r>
      <w:r w:rsidRPr="00BC6239">
        <w:rPr>
          <w:rFonts w:ascii="DIN Pro" w:eastAsia="Times New Roman" w:hAnsi="DIN Pro" w:cs="Arial"/>
          <w:lang w:eastAsia="zh-CN"/>
        </w:rPr>
        <w:t xml:space="preserve"> </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Clé RIB/RIP :</w:t>
      </w:r>
    </w:p>
    <w:p w14:paraId="152B1E6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BIC/IBAN</w:t>
      </w:r>
    </w:p>
    <w:p w14:paraId="323A88A6" w14:textId="77777777" w:rsidR="00CC30B2" w:rsidRPr="00BC6239" w:rsidRDefault="00CC30B2"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3AD0C582" w14:textId="77777777" w:rsidR="00F57D9D" w:rsidRPr="00BC6239" w:rsidRDefault="00F57D9D" w:rsidP="009E1061">
      <w:pPr>
        <w:tabs>
          <w:tab w:val="left" w:pos="426"/>
        </w:tabs>
        <w:spacing w:after="240" w:line="240" w:lineRule="auto"/>
        <w:ind w:right="88"/>
        <w:jc w:val="both"/>
        <w:rPr>
          <w:rFonts w:ascii="DIN Pro" w:eastAsia="Times New Roman" w:hAnsi="DIN Pro" w:cs="Univers"/>
          <w:lang w:eastAsia="zh-CN"/>
        </w:rPr>
      </w:pPr>
    </w:p>
    <w:p w14:paraId="7635E696" w14:textId="4B89617D" w:rsidR="00BD447D" w:rsidRPr="00BC623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BC6239">
        <w:rPr>
          <w:rFonts w:ascii="DIN Pro" w:eastAsia="Times New Roman" w:hAnsi="DIN Pro" w:cs="Arial"/>
          <w:b/>
          <w:lang w:eastAsia="zh-CN"/>
        </w:rPr>
        <w:t>Article 8.</w:t>
      </w:r>
      <w:r w:rsidR="009168F6">
        <w:rPr>
          <w:rFonts w:ascii="DIN Pro" w:eastAsia="Times New Roman" w:hAnsi="DIN Pro" w:cs="Arial"/>
          <w:b/>
          <w:lang w:eastAsia="zh-CN"/>
        </w:rPr>
        <w:t>2</w:t>
      </w:r>
      <w:r w:rsidRPr="00BC6239">
        <w:rPr>
          <w:rFonts w:ascii="DIN Pro" w:eastAsia="Times New Roman" w:hAnsi="DIN Pro" w:cs="Arial"/>
          <w:b/>
          <w:lang w:eastAsia="zh-CN"/>
        </w:rPr>
        <w:t xml:space="preserve"> - Désignation des cotraitants et répartition des prestations </w:t>
      </w:r>
      <w:r w:rsidRPr="00BC6239">
        <w:rPr>
          <w:rFonts w:ascii="DIN Pro" w:eastAsia="Times New Roman" w:hAnsi="DIN Pro" w:cs="Arial"/>
          <w:bCs/>
          <w:i/>
          <w:color w:val="FF0000"/>
          <w:lang w:eastAsia="zh-CN"/>
        </w:rPr>
        <w:t>(à compléter le cas échéant)</w:t>
      </w:r>
      <w:r w:rsidRPr="00BC6239">
        <w:rPr>
          <w:rFonts w:ascii="DIN Pro" w:eastAsia="Times New Roman" w:hAnsi="DIN Pro" w:cs="Arial"/>
          <w:b/>
          <w:lang w:eastAsia="zh-CN"/>
        </w:rPr>
        <w:t> :</w:t>
      </w:r>
    </w:p>
    <w:p w14:paraId="0CDC0AF2"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Pour l’exécution du marché public, le groupement d’opérateurs économiques est :</w:t>
      </w:r>
    </w:p>
    <w:p w14:paraId="709CA287" w14:textId="77777777" w:rsidR="00BD447D" w:rsidRPr="00DE694F"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44141339" w14:textId="77777777" w:rsidR="00077C99"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BC6239">
        <w:rPr>
          <w:rFonts w:ascii="DIN Pro" w:eastAsia="Times New Roman" w:hAnsi="DIN Pro" w:cs="Arial"/>
          <w:i/>
          <w:iCs/>
          <w:lang w:eastAsia="zh-CN"/>
        </w:rPr>
        <w:t>(Les membres du groupement conjoint indiquent dans le tableau ci-dessous la répartition des prestations que chacun d’entre eux s’engage à réaliser.)</w:t>
      </w:r>
    </w:p>
    <w:p w14:paraId="5132470D" w14:textId="77777777" w:rsidR="00077C99" w:rsidRPr="00BC6239" w:rsidRDefault="00077C99"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BC6239" w14:paraId="6597073A"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10DC934B"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Désignation des membres </w:t>
            </w:r>
          </w:p>
          <w:p w14:paraId="790B685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Univers"/>
                <w:b/>
                <w:lang w:eastAsia="zh-CN"/>
              </w:rPr>
            </w:pPr>
            <w:r w:rsidRPr="00BC6239">
              <w:rPr>
                <w:rFonts w:ascii="DIN Pro" w:eastAsia="Times New Roman" w:hAnsi="DIN Pro" w:cs="Arial"/>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AF492B" w14:textId="77777777" w:rsidR="00BD447D" w:rsidRPr="00BC623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Prestations exécutées par les membres</w:t>
            </w:r>
          </w:p>
          <w:p w14:paraId="7096D5DA" w14:textId="77777777" w:rsidR="00BD447D" w:rsidRPr="00BC623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du groupement conjoint</w:t>
            </w:r>
          </w:p>
        </w:tc>
      </w:tr>
      <w:tr w:rsidR="00BD447D" w:rsidRPr="00BC6239" w14:paraId="10DFD16A"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6DFD1FCC" w14:textId="77777777" w:rsidR="00BD447D" w:rsidRPr="00BC623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22B9CC3F"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DD5F8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Montant HT </w:t>
            </w:r>
          </w:p>
          <w:p w14:paraId="63A6CBA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lang w:eastAsia="zh-CN"/>
              </w:rPr>
            </w:pPr>
            <w:r w:rsidRPr="00BC6239">
              <w:rPr>
                <w:rFonts w:ascii="DIN Pro" w:eastAsia="Times New Roman" w:hAnsi="DIN Pro" w:cs="Arial"/>
                <w:b/>
                <w:lang w:eastAsia="zh-CN"/>
              </w:rPr>
              <w:t>de la prestation</w:t>
            </w:r>
          </w:p>
        </w:tc>
      </w:tr>
      <w:tr w:rsidR="00BD447D" w:rsidRPr="00BC6239" w14:paraId="7FC60173" w14:textId="77777777" w:rsidTr="003C1DCA">
        <w:trPr>
          <w:trHeight w:val="1021"/>
        </w:trPr>
        <w:tc>
          <w:tcPr>
            <w:tcW w:w="3420" w:type="dxa"/>
            <w:tcBorders>
              <w:top w:val="single" w:sz="4" w:space="0" w:color="000000"/>
              <w:left w:val="single" w:sz="4" w:space="0" w:color="000000"/>
            </w:tcBorders>
            <w:shd w:val="clear" w:color="auto" w:fill="DEEAF6"/>
          </w:tcPr>
          <w:p w14:paraId="757179C4"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1D593F2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03D7904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03D04756" w14:textId="77777777" w:rsidTr="003C1DCA">
        <w:trPr>
          <w:trHeight w:val="1021"/>
        </w:trPr>
        <w:tc>
          <w:tcPr>
            <w:tcW w:w="3420" w:type="dxa"/>
            <w:tcBorders>
              <w:left w:val="single" w:sz="4" w:space="0" w:color="000000"/>
            </w:tcBorders>
            <w:shd w:val="clear" w:color="auto" w:fill="auto"/>
          </w:tcPr>
          <w:p w14:paraId="6A3291E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tcBorders>
            <w:shd w:val="clear" w:color="auto" w:fill="auto"/>
          </w:tcPr>
          <w:p w14:paraId="31157317"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right w:val="single" w:sz="4" w:space="0" w:color="000000"/>
            </w:tcBorders>
            <w:shd w:val="clear" w:color="auto" w:fill="auto"/>
          </w:tcPr>
          <w:p w14:paraId="1EECF71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91F7061" w14:textId="77777777" w:rsidTr="003C1DCA">
        <w:trPr>
          <w:trHeight w:val="1021"/>
        </w:trPr>
        <w:tc>
          <w:tcPr>
            <w:tcW w:w="3420" w:type="dxa"/>
            <w:tcBorders>
              <w:left w:val="single" w:sz="4" w:space="0" w:color="000000"/>
              <w:bottom w:val="single" w:sz="4" w:space="0" w:color="000000"/>
            </w:tcBorders>
            <w:shd w:val="clear" w:color="auto" w:fill="DEEAF6"/>
          </w:tcPr>
          <w:p w14:paraId="684D6C2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7D3A2F8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3C3E9D25"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56270E35" w14:textId="77777777" w:rsidR="00CC30B2" w:rsidRPr="00BC6239" w:rsidRDefault="00CC30B2"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73A368AE" w14:textId="77777777" w:rsidTr="003C1DCA">
        <w:tc>
          <w:tcPr>
            <w:tcW w:w="10080" w:type="dxa"/>
            <w:shd w:val="clear" w:color="auto" w:fill="BDD6EE"/>
          </w:tcPr>
          <w:p w14:paraId="3358E058"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lastRenderedPageBreak/>
              <w:t>Article 9 – Signature du marché par le titulaire individuel ou, en cas groupement, le mandataire dûment habilité ou chaque membre du groupement</w:t>
            </w:r>
          </w:p>
        </w:tc>
      </w:tr>
    </w:tbl>
    <w:p w14:paraId="5EF3DDCF"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4C913F1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9.1 - Signature du marché public par le titulaire individuel :</w:t>
      </w:r>
    </w:p>
    <w:p w14:paraId="7B2F317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73FD9112"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5C89C50C"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2C595253"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79B80261"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0475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5122A2E7"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61B34FC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37088964"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5D8BA415"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38D059A0"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2C0B2392"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426066B7"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9.2 - Signature du marché public en cas de groupement :</w:t>
      </w:r>
    </w:p>
    <w:p w14:paraId="075149AF"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548471D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10"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1"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780F8EC8"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07E5746A"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8AFAD6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569BDFF2"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34EB221A"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3B881B75"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6F923370"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r w:rsidRPr="00BC6239">
        <w:rPr>
          <w:rFonts w:ascii="DIN Pro" w:eastAsia="Times New Roman" w:hAnsi="DIN Pro" w:cs="Arial"/>
          <w:lang w:eastAsia="zh-CN"/>
        </w:rPr>
        <w:t>pour signer le présent acte d’engagement en leur nom et pour leur compte, pour les représenter vis-à-vis de l’acheteur et pour coordonner l’ensemble des prestations ;</w:t>
      </w:r>
    </w:p>
    <w:p w14:paraId="56CC4B05"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(joindre les pouvoirs en annexe du présent document en cas de marché public autre que de défense ou de sécurité. Dans le cas contraire, ces documents ont déjà été fournis)</w:t>
      </w:r>
    </w:p>
    <w:p w14:paraId="7666D80E"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27B77BC"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r w:rsidRPr="00BC6239">
        <w:rPr>
          <w:rFonts w:ascii="DIN Pro" w:eastAsia="Times New Roman" w:hAnsi="DIN Pro" w:cs="Arial"/>
          <w:lang w:eastAsia="zh-CN"/>
        </w:rPr>
        <w:t>pour signer, en leur nom et pour leur compte, les modifications ultérieures du marché public ;</w:t>
      </w:r>
    </w:p>
    <w:p w14:paraId="35AD61CE"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(joindre les pouvoirs en annexe du présent document en cas de marché public autre que de défense ou de sécurité. Dans le cas contraire, ces documents ont déjà été fournis)</w:t>
      </w:r>
    </w:p>
    <w:p w14:paraId="578DF500"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7BFCE0AE"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t>ont donné mandat au mandataire dans les conditions définies par les pouvoirs joints en annexe.</w:t>
      </w:r>
    </w:p>
    <w:p w14:paraId="2F4471B1"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(hors cas des marchés de défense ou de sécurité dans lequel ces documents ont déjà été fournis).</w:t>
      </w:r>
    </w:p>
    <w:p w14:paraId="6FCA5E27"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418AE99E"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09311829"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3B78947E"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1BE57713"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r w:rsidRPr="00BC6239">
        <w:rPr>
          <w:rFonts w:ascii="DIN Pro" w:eastAsia="Times New Roman" w:hAnsi="DIN Pro" w:cs="Arial"/>
          <w:lang w:eastAsia="zh-CN"/>
        </w:rPr>
        <w:t>donnent mandat au mandataire, qui l’accepte, pour les représenter vis-à-vis de l’acheteur et pour coordonner l’ensemble des prestations ;</w:t>
      </w:r>
    </w:p>
    <w:p w14:paraId="4D15CA73"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5804809B"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t>donnent mandat au mandataire, qui l’accepte, pour signer, en leur nom et pour leur compte, les modifications ultérieures du marché public ;</w:t>
      </w:r>
    </w:p>
    <w:p w14:paraId="3FC6AA8D"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389C0CF"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80A7F">
        <w:rPr>
          <w:rFonts w:ascii="DIN Pro" w:eastAsia="Times New Roman" w:hAnsi="DIN Pro" w:cs="Univers"/>
          <w:lang w:eastAsia="zh-CN"/>
        </w:rPr>
      </w:r>
      <w:r w:rsidR="00C80A7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t>donnent mandat au mandataire dans les conditions définies ci-dessous :</w:t>
      </w:r>
    </w:p>
    <w:p w14:paraId="16B69A05" w14:textId="77777777"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763F7CF7" w14:textId="77777777" w:rsidR="00BA5939" w:rsidRDefault="00BA5939" w:rsidP="009E1061">
      <w:pPr>
        <w:tabs>
          <w:tab w:val="left" w:pos="851"/>
        </w:tabs>
        <w:suppressAutoHyphens/>
        <w:spacing w:after="0" w:line="240" w:lineRule="auto"/>
        <w:ind w:left="1134" w:right="88" w:hanging="850"/>
        <w:rPr>
          <w:rFonts w:ascii="DIN Pro" w:eastAsia="Times New Roman" w:hAnsi="DIN Pro" w:cs="Arial"/>
          <w:i/>
          <w:lang w:eastAsia="zh-CN"/>
        </w:rPr>
      </w:pPr>
    </w:p>
    <w:p w14:paraId="7CAA170C" w14:textId="77777777" w:rsidR="00BA5939" w:rsidRDefault="00BA5939" w:rsidP="009E1061">
      <w:pPr>
        <w:tabs>
          <w:tab w:val="left" w:pos="851"/>
        </w:tabs>
        <w:suppressAutoHyphens/>
        <w:spacing w:after="0" w:line="240" w:lineRule="auto"/>
        <w:ind w:left="1134" w:right="88" w:hanging="850"/>
        <w:rPr>
          <w:rFonts w:ascii="DIN Pro" w:eastAsia="Times New Roman" w:hAnsi="DIN Pro" w:cs="Arial"/>
          <w:i/>
          <w:lang w:eastAsia="zh-CN"/>
        </w:rPr>
      </w:pPr>
    </w:p>
    <w:p w14:paraId="2443295D" w14:textId="77777777" w:rsidR="003A5177" w:rsidRPr="00BC6239" w:rsidRDefault="003A5177"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04AC7272"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3F968DF5"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0DD0BA30"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1B83702C"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30C52"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268E3733" w14:textId="77777777" w:rsidTr="005E68EF">
        <w:trPr>
          <w:trHeight w:val="976"/>
        </w:trPr>
        <w:tc>
          <w:tcPr>
            <w:tcW w:w="3995" w:type="dxa"/>
            <w:tcBorders>
              <w:top w:val="single" w:sz="4" w:space="0" w:color="000000"/>
              <w:left w:val="single" w:sz="4" w:space="0" w:color="000000"/>
            </w:tcBorders>
            <w:shd w:val="clear" w:color="auto" w:fill="DEEAF6"/>
          </w:tcPr>
          <w:p w14:paraId="66AF2BE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6934D286"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2A7D5E0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0851E444" w14:textId="77777777" w:rsidTr="005E68EF">
        <w:trPr>
          <w:trHeight w:val="976"/>
        </w:trPr>
        <w:tc>
          <w:tcPr>
            <w:tcW w:w="3995" w:type="dxa"/>
            <w:tcBorders>
              <w:left w:val="single" w:sz="4" w:space="0" w:color="000000"/>
              <w:bottom w:val="single" w:sz="4" w:space="0" w:color="auto"/>
            </w:tcBorders>
            <w:shd w:val="clear" w:color="auto" w:fill="auto"/>
          </w:tcPr>
          <w:p w14:paraId="38E85986"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bottom w:val="single" w:sz="4" w:space="0" w:color="auto"/>
            </w:tcBorders>
            <w:shd w:val="clear" w:color="auto" w:fill="auto"/>
          </w:tcPr>
          <w:p w14:paraId="44BF33C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bottom w:val="single" w:sz="4" w:space="0" w:color="auto"/>
              <w:right w:val="single" w:sz="4" w:space="0" w:color="000000"/>
            </w:tcBorders>
            <w:shd w:val="clear" w:color="auto" w:fill="auto"/>
          </w:tcPr>
          <w:p w14:paraId="76327225"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48AEAAB1" w14:textId="77777777" w:rsidR="008B17A8"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6FD725A9"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2BCCAAAC"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06BE9FB5" w14:textId="77777777" w:rsidTr="003C1DCA">
        <w:tc>
          <w:tcPr>
            <w:tcW w:w="10080" w:type="dxa"/>
            <w:shd w:val="clear" w:color="auto" w:fill="BDD6EE"/>
          </w:tcPr>
          <w:p w14:paraId="65BC6013" w14:textId="77777777" w:rsidR="00BD447D" w:rsidRPr="00BC623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 xml:space="preserve">Article 10 – </w:t>
            </w:r>
            <w:r w:rsidR="000E39CB" w:rsidRPr="00BC6239">
              <w:rPr>
                <w:rFonts w:ascii="DIN Pro" w:eastAsia="Times New Roman" w:hAnsi="DIN Pro" w:cs="Arial"/>
                <w:b/>
                <w:bCs/>
                <w:lang w:eastAsia="zh-CN"/>
              </w:rPr>
              <w:t>Annexes</w:t>
            </w:r>
          </w:p>
        </w:tc>
      </w:tr>
    </w:tbl>
    <w:p w14:paraId="5A019E52"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B239924" w14:textId="77777777" w:rsidR="000E39CB" w:rsidRDefault="000E39CB" w:rsidP="009E1061">
      <w:pPr>
        <w:tabs>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Les documents suivants sont annexés au présent acte d’engagement et en font donc partie intégrante : </w:t>
      </w:r>
    </w:p>
    <w:p w14:paraId="6FB6BC63" w14:textId="77777777" w:rsidR="00BA5939" w:rsidRDefault="00BA5939" w:rsidP="009E1061">
      <w:pPr>
        <w:tabs>
          <w:tab w:val="left" w:pos="851"/>
        </w:tabs>
        <w:suppressAutoHyphens/>
        <w:spacing w:after="0" w:line="240" w:lineRule="auto"/>
        <w:ind w:right="88"/>
        <w:rPr>
          <w:rFonts w:ascii="DIN Pro" w:eastAsia="Times New Roman" w:hAnsi="DIN Pro" w:cs="Arial"/>
          <w:lang w:eastAsia="zh-CN"/>
        </w:rPr>
      </w:pPr>
    </w:p>
    <w:p w14:paraId="506618A7" w14:textId="3523C2DD" w:rsidR="00B02996" w:rsidRPr="003E53E8" w:rsidRDefault="00D52161"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D52161">
        <w:rPr>
          <w:rFonts w:ascii="DIN Pro" w:hAnsi="DIN Pro"/>
        </w:rPr>
        <w:t>L’annexe n°1 de l’acte d’engagement « Décomposition de prix global et forfaitaire – DPGF / Bordereau de Prix Unitaire - BPU »</w:t>
      </w:r>
      <w:r>
        <w:rPr>
          <w:rFonts w:ascii="DIN Pro" w:hAnsi="DIN Pro"/>
        </w:rPr>
        <w:t xml:space="preserve"> </w:t>
      </w:r>
      <w:r w:rsidR="00B02996" w:rsidRPr="003E53E8">
        <w:rPr>
          <w:rFonts w:ascii="DIN Pro" w:hAnsi="DIN Pro"/>
        </w:rPr>
        <w:t>;</w:t>
      </w:r>
    </w:p>
    <w:p w14:paraId="77CC8DB7" w14:textId="77777777" w:rsidR="00B02996" w:rsidRPr="003E53E8"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3E53E8">
        <w:rPr>
          <w:rFonts w:ascii="DIN Pro" w:hAnsi="DIN Pro"/>
        </w:rPr>
        <w:t xml:space="preserve">L’annexe </w:t>
      </w:r>
      <w:r w:rsidR="00BA5939" w:rsidRPr="003E53E8">
        <w:rPr>
          <w:rFonts w:ascii="DIN Pro" w:hAnsi="DIN Pro"/>
        </w:rPr>
        <w:t>n°2</w:t>
      </w:r>
      <w:r w:rsidRPr="003E53E8">
        <w:rPr>
          <w:rFonts w:ascii="DIN Pro" w:hAnsi="DIN Pro"/>
        </w:rPr>
        <w:t xml:space="preserve"> de l’acte d’engagement « Le </w:t>
      </w:r>
      <w:r w:rsidR="00BA5939" w:rsidRPr="003E53E8">
        <w:rPr>
          <w:rFonts w:ascii="DIN Pro" w:hAnsi="DIN Pro"/>
        </w:rPr>
        <w:t>mémoire</w:t>
      </w:r>
      <w:r w:rsidRPr="003E53E8">
        <w:rPr>
          <w:rFonts w:ascii="DIN Pro" w:hAnsi="DIN Pro"/>
        </w:rPr>
        <w:t xml:space="preserve"> technique » ;</w:t>
      </w:r>
    </w:p>
    <w:p w14:paraId="7D659785" w14:textId="77777777" w:rsidR="00B02996" w:rsidRPr="003E53E8" w:rsidRDefault="00BA5939"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3E53E8">
        <w:rPr>
          <w:rFonts w:ascii="DIN Pro" w:hAnsi="DIN Pro"/>
        </w:rPr>
        <w:t>L’annexe n°3</w:t>
      </w:r>
      <w:r w:rsidR="00B02996" w:rsidRPr="003E53E8">
        <w:rPr>
          <w:rFonts w:ascii="DIN Pro" w:hAnsi="DIN Pro"/>
        </w:rPr>
        <w:t xml:space="preserve"> de l’acte d’engagement « </w:t>
      </w:r>
      <w:r w:rsidR="00B02996" w:rsidRPr="003E53E8">
        <w:rPr>
          <w:rFonts w:ascii="DIN Pro" w:hAnsi="DIN Pro"/>
          <w:spacing w:val="-1"/>
        </w:rPr>
        <w:t>L’engagement de confidentialité » ;</w:t>
      </w:r>
    </w:p>
    <w:p w14:paraId="3D72B4D7" w14:textId="77777777" w:rsidR="00B02996" w:rsidRPr="003E53E8" w:rsidRDefault="00BA5939"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3E53E8">
        <w:rPr>
          <w:rFonts w:ascii="DIN Pro" w:hAnsi="DIN Pro"/>
        </w:rPr>
        <w:t>L’annexe n°4</w:t>
      </w:r>
      <w:r w:rsidR="00B02996" w:rsidRPr="003E53E8">
        <w:rPr>
          <w:rFonts w:ascii="DIN Pro" w:hAnsi="DIN Pro"/>
        </w:rPr>
        <w:t xml:space="preserve"> de l’acte d’engagement « </w:t>
      </w:r>
      <w:r w:rsidR="00B02996" w:rsidRPr="003E53E8">
        <w:rPr>
          <w:rFonts w:ascii="DIN Pro" w:hAnsi="DIN Pro"/>
          <w:spacing w:val="-1"/>
        </w:rPr>
        <w:t>L’attestation d’absence de conflit d’intérêt » ;</w:t>
      </w:r>
    </w:p>
    <w:p w14:paraId="749068C1" w14:textId="77777777" w:rsidR="00B02996" w:rsidRPr="003E53E8" w:rsidRDefault="00BA5939"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3E53E8">
        <w:rPr>
          <w:rFonts w:ascii="DIN Pro" w:hAnsi="DIN Pro"/>
        </w:rPr>
        <w:t>L’annexe n°5</w:t>
      </w:r>
      <w:r w:rsidR="00B02996" w:rsidRPr="003E53E8">
        <w:rPr>
          <w:rFonts w:ascii="DIN Pro" w:hAnsi="DIN Pro"/>
        </w:rPr>
        <w:t xml:space="preserve"> de l’acte d’engagement « </w:t>
      </w:r>
      <w:r w:rsidR="00B02996" w:rsidRPr="003E53E8">
        <w:rPr>
          <w:rFonts w:ascii="DIN Pro" w:hAnsi="DIN Pro"/>
          <w:spacing w:val="-1"/>
        </w:rPr>
        <w:t>L’attestation de respect des lois et principes régissant la République française » ;</w:t>
      </w:r>
    </w:p>
    <w:p w14:paraId="630FAD58" w14:textId="77777777" w:rsidR="00B02996" w:rsidRPr="003E53E8" w:rsidRDefault="00BA5939"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3E53E8">
        <w:rPr>
          <w:rFonts w:ascii="DIN Pro" w:hAnsi="DIN Pro"/>
        </w:rPr>
        <w:t>L’annexe n°6</w:t>
      </w:r>
      <w:r w:rsidR="00B02996" w:rsidRPr="003E53E8">
        <w:rPr>
          <w:rFonts w:ascii="DIN Pro" w:hAnsi="DIN Pro"/>
        </w:rPr>
        <w:t xml:space="preserve"> de l’acte d’engagement « Les clauses de sous-traitance et protection des données personnelles »</w:t>
      </w:r>
      <w:r w:rsidRPr="003E53E8">
        <w:rPr>
          <w:rFonts w:ascii="DIN Pro" w:hAnsi="DIN Pro"/>
        </w:rPr>
        <w:t>.</w:t>
      </w:r>
    </w:p>
    <w:p w14:paraId="6B7A0546"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1EF1BA42" w14:textId="77777777" w:rsidTr="006C511F">
        <w:tc>
          <w:tcPr>
            <w:tcW w:w="10080" w:type="dxa"/>
            <w:shd w:val="clear" w:color="auto" w:fill="BDD6EE"/>
          </w:tcPr>
          <w:p w14:paraId="43293562" w14:textId="77777777" w:rsidR="000E39CB" w:rsidRPr="00BC6239" w:rsidRDefault="000E39CB" w:rsidP="00BA5939">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 xml:space="preserve">Article 11 – Signature de </w:t>
            </w:r>
            <w:r w:rsidR="00BA5939">
              <w:rPr>
                <w:rFonts w:ascii="DIN Pro" w:eastAsia="Times New Roman" w:hAnsi="DIN Pro" w:cs="Arial"/>
                <w:b/>
                <w:bCs/>
                <w:lang w:eastAsia="zh-CN"/>
              </w:rPr>
              <w:t>la Cité de l’architecture et du patrimoine</w:t>
            </w:r>
          </w:p>
        </w:tc>
      </w:tr>
    </w:tbl>
    <w:p w14:paraId="3A833EA8"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58079436"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35CDCC03"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r w:rsidRPr="00BC6239">
        <w:rPr>
          <w:rFonts w:ascii="DIN Pro" w:eastAsia="Times New Roman" w:hAnsi="DIN Pro" w:cs="Arial"/>
          <w:b/>
          <w:lang w:eastAsia="zh-CN"/>
        </w:rPr>
        <w:t>Est acceptée la présente offre pour valoir acte d’engagement.</w:t>
      </w:r>
    </w:p>
    <w:p w14:paraId="33185440"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764E7D4"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51E7BEC"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A Paris, le …………………</w:t>
      </w:r>
    </w:p>
    <w:p w14:paraId="7D84C048"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68D18928"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4987BF3D"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 Représentant </w:t>
      </w:r>
      <w:r w:rsidR="00BA5939">
        <w:rPr>
          <w:rFonts w:ascii="DIN Pro" w:eastAsia="Times New Roman" w:hAnsi="DIN Pro" w:cs="Arial"/>
          <w:lang w:eastAsia="zh-CN"/>
        </w:rPr>
        <w:t>de la Cité de l’architecture et du patrimoine.</w:t>
      </w:r>
    </w:p>
    <w:p w14:paraId="77C05CBA"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55B1A" w14:textId="77777777" w:rsidR="0094610E" w:rsidRDefault="0094610E" w:rsidP="00BD447D">
      <w:pPr>
        <w:spacing w:after="0" w:line="240" w:lineRule="auto"/>
      </w:pPr>
      <w:r>
        <w:separator/>
      </w:r>
    </w:p>
  </w:endnote>
  <w:endnote w:type="continuationSeparator" w:id="0">
    <w:p w14:paraId="0C8C284A" w14:textId="77777777" w:rsidR="0094610E" w:rsidRDefault="0094610E"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Pro">
    <w:panose1 w:val="02000503040000020003"/>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6C511F" w14:paraId="19D23A44" w14:textId="77777777" w:rsidTr="003C1DCA">
      <w:trPr>
        <w:trHeight w:val="340"/>
        <w:tblHeader/>
      </w:trPr>
      <w:tc>
        <w:tcPr>
          <w:tcW w:w="3420" w:type="dxa"/>
          <w:shd w:val="clear" w:color="auto" w:fill="DEEAF6"/>
          <w:vAlign w:val="center"/>
        </w:tcPr>
        <w:p w14:paraId="2503D3F8" w14:textId="77777777" w:rsidR="006C511F" w:rsidRPr="00452E3C" w:rsidRDefault="006C511F"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1EE791C2" w14:textId="0732D48D" w:rsidR="006C511F" w:rsidRPr="00452E3C" w:rsidRDefault="00A459F0" w:rsidP="004E6B86">
          <w:pPr>
            <w:spacing w:after="0"/>
            <w:ind w:left="-4" w:firstLine="4"/>
            <w:jc w:val="center"/>
            <w:rPr>
              <w:rFonts w:ascii="DIN Pro" w:hAnsi="DIN Pro" w:cs="Arial"/>
              <w:b/>
            </w:rPr>
          </w:pPr>
          <w:r>
            <w:rPr>
              <w:rFonts w:ascii="DIN Pro" w:hAnsi="DIN Pro" w:cs="Arial"/>
              <w:b/>
              <w:bCs/>
              <w:iCs/>
            </w:rPr>
            <w:t>MAPA-202</w:t>
          </w:r>
          <w:r w:rsidR="0045678B">
            <w:rPr>
              <w:rFonts w:ascii="DIN Pro" w:hAnsi="DIN Pro" w:cs="Arial"/>
              <w:b/>
              <w:bCs/>
              <w:iCs/>
            </w:rPr>
            <w:t>5-0</w:t>
          </w:r>
          <w:r w:rsidR="00964CB2">
            <w:rPr>
              <w:rFonts w:ascii="DIN Pro" w:hAnsi="DIN Pro" w:cs="Arial"/>
              <w:b/>
              <w:bCs/>
              <w:iCs/>
            </w:rPr>
            <w:t>6</w:t>
          </w:r>
        </w:p>
      </w:tc>
      <w:tc>
        <w:tcPr>
          <w:tcW w:w="3240" w:type="dxa"/>
          <w:shd w:val="clear" w:color="auto" w:fill="DEEAF6"/>
          <w:vAlign w:val="center"/>
        </w:tcPr>
        <w:p w14:paraId="34CF8FF3" w14:textId="77777777" w:rsidR="006C511F" w:rsidRDefault="006C511F"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6C5CCE">
                    <w:rPr>
                      <w:b/>
                      <w:bCs/>
                      <w:noProof/>
                    </w:rPr>
                    <w:t>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C5CCE">
                    <w:rPr>
                      <w:b/>
                      <w:bCs/>
                      <w:noProof/>
                    </w:rPr>
                    <w:t>9</w:t>
                  </w:r>
                  <w:r>
                    <w:rPr>
                      <w:b/>
                      <w:bCs/>
                      <w:sz w:val="24"/>
                      <w:szCs w:val="24"/>
                    </w:rPr>
                    <w:fldChar w:fldCharType="end"/>
                  </w:r>
                </w:sdtContent>
              </w:sdt>
            </w:sdtContent>
          </w:sdt>
        </w:p>
      </w:tc>
    </w:tr>
  </w:tbl>
  <w:p w14:paraId="31120624" w14:textId="77777777" w:rsidR="006C511F" w:rsidRPr="00840934" w:rsidRDefault="006C511F"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0F58E" w14:textId="77777777" w:rsidR="0094610E" w:rsidRDefault="0094610E" w:rsidP="00BD447D">
      <w:pPr>
        <w:spacing w:after="0" w:line="240" w:lineRule="auto"/>
      </w:pPr>
      <w:r>
        <w:separator/>
      </w:r>
    </w:p>
  </w:footnote>
  <w:footnote w:type="continuationSeparator" w:id="0">
    <w:p w14:paraId="306E8FD0" w14:textId="77777777" w:rsidR="0094610E" w:rsidRDefault="0094610E"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32FB9"/>
    <w:multiLevelType w:val="multilevel"/>
    <w:tmpl w:val="0B5E7AA2"/>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D777BA4"/>
    <w:multiLevelType w:val="hybridMultilevel"/>
    <w:tmpl w:val="09ECF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5" w15:restartNumberingAfterBreak="0">
    <w:nsid w:val="59746DA4"/>
    <w:multiLevelType w:val="multilevel"/>
    <w:tmpl w:val="65A293E0"/>
    <w:lvl w:ilvl="0">
      <w:start w:val="1"/>
      <w:numFmt w:val="decimal"/>
      <w:pStyle w:val="Ceqgarantinum1numanum-"/>
      <w:lvlText w:val="%1."/>
      <w:lvlJc w:val="left"/>
      <w:pPr>
        <w:ind w:left="360" w:hanging="360"/>
      </w:pPr>
      <w:rPr>
        <w:rFonts w:hint="default"/>
      </w:rPr>
    </w:lvl>
    <w:lvl w:ilvl="1">
      <w:start w:val="1"/>
      <w:numFmt w:val="decimal"/>
      <w:lvlText w:val="%1.%2-"/>
      <w:lvlJc w:val="left"/>
      <w:pPr>
        <w:ind w:left="720" w:hanging="720"/>
      </w:pPr>
      <w:rPr>
        <w:rFonts w:ascii="Montserrat" w:hAnsi="Montserrat" w:hint="default"/>
        <w:b/>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AEB2AB9"/>
    <w:multiLevelType w:val="hybridMultilevel"/>
    <w:tmpl w:val="C5A000B2"/>
    <w:lvl w:ilvl="0" w:tplc="1DBE6BEA">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53323F"/>
    <w:multiLevelType w:val="hybridMultilevel"/>
    <w:tmpl w:val="AD4492B4"/>
    <w:lvl w:ilvl="0" w:tplc="2E52769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85582086">
    <w:abstractNumId w:val="2"/>
  </w:num>
  <w:num w:numId="2" w16cid:durableId="754404913">
    <w:abstractNumId w:val="8"/>
  </w:num>
  <w:num w:numId="3" w16cid:durableId="742069933">
    <w:abstractNumId w:val="3"/>
  </w:num>
  <w:num w:numId="4" w16cid:durableId="439033326">
    <w:abstractNumId w:val="4"/>
  </w:num>
  <w:num w:numId="5" w16cid:durableId="89815428">
    <w:abstractNumId w:val="6"/>
  </w:num>
  <w:num w:numId="6" w16cid:durableId="1719358743">
    <w:abstractNumId w:val="0"/>
  </w:num>
  <w:num w:numId="7" w16cid:durableId="1243181129">
    <w:abstractNumId w:val="7"/>
  </w:num>
  <w:num w:numId="8" w16cid:durableId="778985120">
    <w:abstractNumId w:val="5"/>
  </w:num>
  <w:num w:numId="9" w16cid:durableId="6674424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47D"/>
    <w:rsid w:val="00052CF3"/>
    <w:rsid w:val="0005497C"/>
    <w:rsid w:val="0005509E"/>
    <w:rsid w:val="00077C99"/>
    <w:rsid w:val="0008178F"/>
    <w:rsid w:val="00093D6A"/>
    <w:rsid w:val="00093F1A"/>
    <w:rsid w:val="000C2002"/>
    <w:rsid w:val="000D0CCF"/>
    <w:rsid w:val="000D2034"/>
    <w:rsid w:val="000E39CB"/>
    <w:rsid w:val="00164A7D"/>
    <w:rsid w:val="00167A4E"/>
    <w:rsid w:val="00184ED2"/>
    <w:rsid w:val="001A0D33"/>
    <w:rsid w:val="001B36DC"/>
    <w:rsid w:val="001D6B24"/>
    <w:rsid w:val="00221344"/>
    <w:rsid w:val="00227B46"/>
    <w:rsid w:val="002365D0"/>
    <w:rsid w:val="00277AF2"/>
    <w:rsid w:val="002F0C32"/>
    <w:rsid w:val="002F28BD"/>
    <w:rsid w:val="00307EC4"/>
    <w:rsid w:val="003247B9"/>
    <w:rsid w:val="00380524"/>
    <w:rsid w:val="003A2B00"/>
    <w:rsid w:val="003A5177"/>
    <w:rsid w:val="003B58AA"/>
    <w:rsid w:val="003C1DCA"/>
    <w:rsid w:val="003E53E8"/>
    <w:rsid w:val="00424473"/>
    <w:rsid w:val="0045678B"/>
    <w:rsid w:val="00456B40"/>
    <w:rsid w:val="00497836"/>
    <w:rsid w:val="004B5F99"/>
    <w:rsid w:val="004D14BE"/>
    <w:rsid w:val="004E6B86"/>
    <w:rsid w:val="004F3074"/>
    <w:rsid w:val="004F6C90"/>
    <w:rsid w:val="00555332"/>
    <w:rsid w:val="005560A7"/>
    <w:rsid w:val="00596135"/>
    <w:rsid w:val="005B112A"/>
    <w:rsid w:val="005E68EF"/>
    <w:rsid w:val="00604E49"/>
    <w:rsid w:val="00635F10"/>
    <w:rsid w:val="00643DEB"/>
    <w:rsid w:val="0065051F"/>
    <w:rsid w:val="0067024A"/>
    <w:rsid w:val="006A09CA"/>
    <w:rsid w:val="006C511F"/>
    <w:rsid w:val="006C5CCE"/>
    <w:rsid w:val="006E1053"/>
    <w:rsid w:val="00707546"/>
    <w:rsid w:val="007166C8"/>
    <w:rsid w:val="007555A0"/>
    <w:rsid w:val="00784ACC"/>
    <w:rsid w:val="007875BB"/>
    <w:rsid w:val="0079365C"/>
    <w:rsid w:val="007D448C"/>
    <w:rsid w:val="008141A9"/>
    <w:rsid w:val="0081726D"/>
    <w:rsid w:val="0085301A"/>
    <w:rsid w:val="00865FC6"/>
    <w:rsid w:val="00876C9D"/>
    <w:rsid w:val="00883046"/>
    <w:rsid w:val="00895899"/>
    <w:rsid w:val="008B17A8"/>
    <w:rsid w:val="008B30FE"/>
    <w:rsid w:val="00901194"/>
    <w:rsid w:val="009168F6"/>
    <w:rsid w:val="0094610E"/>
    <w:rsid w:val="00961ED5"/>
    <w:rsid w:val="00964CB2"/>
    <w:rsid w:val="009E1061"/>
    <w:rsid w:val="009E726E"/>
    <w:rsid w:val="00A27575"/>
    <w:rsid w:val="00A459F0"/>
    <w:rsid w:val="00A55DF8"/>
    <w:rsid w:val="00A60437"/>
    <w:rsid w:val="00A77D70"/>
    <w:rsid w:val="00AC562C"/>
    <w:rsid w:val="00AF0C83"/>
    <w:rsid w:val="00B02996"/>
    <w:rsid w:val="00B31B63"/>
    <w:rsid w:val="00B50EA4"/>
    <w:rsid w:val="00B85ECE"/>
    <w:rsid w:val="00BA5939"/>
    <w:rsid w:val="00BC6239"/>
    <w:rsid w:val="00BD447D"/>
    <w:rsid w:val="00BF7443"/>
    <w:rsid w:val="00C06DD8"/>
    <w:rsid w:val="00C11310"/>
    <w:rsid w:val="00C25739"/>
    <w:rsid w:val="00C340D8"/>
    <w:rsid w:val="00C56230"/>
    <w:rsid w:val="00C80A7F"/>
    <w:rsid w:val="00CC0F28"/>
    <w:rsid w:val="00CC30B2"/>
    <w:rsid w:val="00CD19E0"/>
    <w:rsid w:val="00CF3DBC"/>
    <w:rsid w:val="00D3690F"/>
    <w:rsid w:val="00D36C08"/>
    <w:rsid w:val="00D52161"/>
    <w:rsid w:val="00D53119"/>
    <w:rsid w:val="00D97509"/>
    <w:rsid w:val="00DA0441"/>
    <w:rsid w:val="00DE694F"/>
    <w:rsid w:val="00DF416F"/>
    <w:rsid w:val="00DF4F20"/>
    <w:rsid w:val="00E30364"/>
    <w:rsid w:val="00E519EE"/>
    <w:rsid w:val="00E6463A"/>
    <w:rsid w:val="00E74A0B"/>
    <w:rsid w:val="00EE2176"/>
    <w:rsid w:val="00F509BF"/>
    <w:rsid w:val="00F53D31"/>
    <w:rsid w:val="00F57D9D"/>
    <w:rsid w:val="00F72044"/>
    <w:rsid w:val="00F96E2D"/>
    <w:rsid w:val="00FB6100"/>
    <w:rsid w:val="00FC3D7F"/>
    <w:rsid w:val="00FC4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A9DFDED"/>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character" w:styleId="Marquedecommentaire">
    <w:name w:val="annotation reference"/>
    <w:basedOn w:val="Policepardfaut"/>
    <w:uiPriority w:val="99"/>
    <w:unhideWhenUsed/>
    <w:rsid w:val="00EE2176"/>
    <w:rPr>
      <w:sz w:val="16"/>
      <w:szCs w:val="16"/>
    </w:rPr>
  </w:style>
  <w:style w:type="paragraph" w:styleId="Commentaire">
    <w:name w:val="annotation text"/>
    <w:basedOn w:val="Normal"/>
    <w:link w:val="CommentaireCar"/>
    <w:uiPriority w:val="99"/>
    <w:unhideWhenUsed/>
    <w:rsid w:val="00EE2176"/>
    <w:pPr>
      <w:spacing w:line="240" w:lineRule="auto"/>
    </w:pPr>
    <w:rPr>
      <w:sz w:val="20"/>
      <w:szCs w:val="20"/>
    </w:rPr>
  </w:style>
  <w:style w:type="character" w:customStyle="1" w:styleId="CommentaireCar">
    <w:name w:val="Commentaire Car"/>
    <w:basedOn w:val="Policepardfaut"/>
    <w:link w:val="Commentaire"/>
    <w:uiPriority w:val="99"/>
    <w:rsid w:val="00EE2176"/>
    <w:rPr>
      <w:sz w:val="20"/>
      <w:szCs w:val="20"/>
    </w:rPr>
  </w:style>
  <w:style w:type="paragraph" w:styleId="Corpsdetexte2">
    <w:name w:val="Body Text 2"/>
    <w:basedOn w:val="Normal"/>
    <w:link w:val="Corpsdetexte2Car"/>
    <w:uiPriority w:val="99"/>
    <w:semiHidden/>
    <w:unhideWhenUsed/>
    <w:rsid w:val="00D53119"/>
    <w:pPr>
      <w:widowControl w:val="0"/>
      <w:suppressAutoHyphens/>
      <w:autoSpaceDN w:val="0"/>
      <w:spacing w:after="120" w:line="480" w:lineRule="auto"/>
      <w:ind w:right="-59"/>
      <w:jc w:val="both"/>
      <w:textAlignment w:val="baseline"/>
    </w:pPr>
    <w:rPr>
      <w:rFonts w:ascii="DIN Pro" w:eastAsia="SimSun" w:hAnsi="DIN Pro" w:cs="Arial"/>
      <w:kern w:val="3"/>
    </w:rPr>
  </w:style>
  <w:style w:type="character" w:customStyle="1" w:styleId="Corpsdetexte2Car">
    <w:name w:val="Corps de texte 2 Car"/>
    <w:basedOn w:val="Policepardfaut"/>
    <w:link w:val="Corpsdetexte2"/>
    <w:uiPriority w:val="99"/>
    <w:semiHidden/>
    <w:rsid w:val="00D53119"/>
    <w:rPr>
      <w:rFonts w:ascii="DIN Pro" w:eastAsia="SimSun" w:hAnsi="DIN Pro" w:cs="Arial"/>
      <w:kern w:val="3"/>
    </w:rPr>
  </w:style>
  <w:style w:type="character" w:styleId="Accentuation">
    <w:name w:val="Emphasis"/>
    <w:basedOn w:val="Policepardfaut"/>
    <w:qFormat/>
    <w:rsid w:val="005E68EF"/>
    <w:rPr>
      <w:i/>
      <w:iCs/>
    </w:rPr>
  </w:style>
  <w:style w:type="paragraph" w:customStyle="1" w:styleId="Ceqgarantinum1numanum-">
    <w:name w:val="..Ce q.. garanti / Énum 1) /  Énum a) / Énum -"/>
    <w:basedOn w:val="Normal"/>
    <w:rsid w:val="004B5F99"/>
    <w:pPr>
      <w:numPr>
        <w:numId w:val="8"/>
      </w:numPr>
      <w:spacing w:before="120" w:after="0" w:line="276" w:lineRule="auto"/>
      <w:jc w:val="both"/>
    </w:pPr>
    <w:rPr>
      <w:rFonts w:ascii="Arial" w:eastAsia="Times New Roman" w:hAnsi="Arial" w:cs="Times New Roman"/>
      <w:sz w:val="20"/>
      <w:szCs w:val="20"/>
      <w:lang w:eastAsia="fr-FR"/>
    </w:rPr>
  </w:style>
  <w:style w:type="character" w:customStyle="1" w:styleId="ParagraphedelisteCar">
    <w:name w:val="Paragraphe de liste Car"/>
    <w:basedOn w:val="Policepardfaut"/>
    <w:link w:val="Paragraphedeliste"/>
    <w:uiPriority w:val="34"/>
    <w:locked/>
    <w:rsid w:val="00221344"/>
  </w:style>
  <w:style w:type="paragraph" w:styleId="Rvision">
    <w:name w:val="Revision"/>
    <w:hidden/>
    <w:uiPriority w:val="99"/>
    <w:semiHidden/>
    <w:rsid w:val="00380524"/>
    <w:pPr>
      <w:spacing w:after="0" w:line="240" w:lineRule="auto"/>
    </w:pPr>
  </w:style>
  <w:style w:type="paragraph" w:styleId="Objetducommentaire">
    <w:name w:val="annotation subject"/>
    <w:basedOn w:val="Commentaire"/>
    <w:next w:val="Commentaire"/>
    <w:link w:val="ObjetducommentaireCar"/>
    <w:uiPriority w:val="99"/>
    <w:semiHidden/>
    <w:unhideWhenUsed/>
    <w:rsid w:val="00380524"/>
    <w:rPr>
      <w:b/>
      <w:bCs/>
    </w:rPr>
  </w:style>
  <w:style w:type="character" w:customStyle="1" w:styleId="ObjetducommentaireCar">
    <w:name w:val="Objet du commentaire Car"/>
    <w:basedOn w:val="CommentaireCar"/>
    <w:link w:val="Objetducommentaire"/>
    <w:uiPriority w:val="99"/>
    <w:semiHidden/>
    <w:rsid w:val="003805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3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2290</Words>
  <Characters>12595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AURIEL</dc:creator>
  <cp:keywords/>
  <dc:description/>
  <cp:lastModifiedBy>Clémence AURIEL</cp:lastModifiedBy>
  <cp:revision>3</cp:revision>
  <cp:lastPrinted>2025-03-06T15:15:00Z</cp:lastPrinted>
  <dcterms:created xsi:type="dcterms:W3CDTF">2025-03-26T15:59:00Z</dcterms:created>
  <dcterms:modified xsi:type="dcterms:W3CDTF">2025-04-14T10:14:00Z</dcterms:modified>
</cp:coreProperties>
</file>