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52" w:type="dxa"/>
        <w:tblLook w:val="04A0" w:firstRow="1" w:lastRow="0" w:firstColumn="1" w:lastColumn="0" w:noHBand="0" w:noVBand="1"/>
      </w:tblPr>
      <w:tblGrid>
        <w:gridCol w:w="1848"/>
        <w:gridCol w:w="9104"/>
      </w:tblGrid>
      <w:tr w:rsidR="006A05A6" w:rsidRPr="00975DE0" w14:paraId="53FBE5DB" w14:textId="77777777" w:rsidTr="0094172C">
        <w:tc>
          <w:tcPr>
            <w:tcW w:w="1701" w:type="dxa"/>
            <w:vMerge w:val="restart"/>
            <w:shd w:val="clear" w:color="auto" w:fill="auto"/>
          </w:tcPr>
          <w:p w14:paraId="0DD437C0" w14:textId="54440834" w:rsidR="006A05A6" w:rsidRPr="00975DE0" w:rsidRDefault="0041425D" w:rsidP="00150335">
            <w:pPr>
              <w:rPr>
                <w:b/>
                <w:noProof/>
              </w:rPr>
            </w:pPr>
            <w:r>
              <w:rPr>
                <w:b/>
                <w:noProof/>
              </w:rPr>
              <w:drawing>
                <wp:inline distT="0" distB="0" distL="0" distR="0" wp14:anchorId="6E6C8FA8" wp14:editId="3E8D7811">
                  <wp:extent cx="1036320" cy="1024255"/>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6320" cy="1024255"/>
                          </a:xfrm>
                          <a:prstGeom prst="rect">
                            <a:avLst/>
                          </a:prstGeom>
                          <a:noFill/>
                        </pic:spPr>
                      </pic:pic>
                    </a:graphicData>
                  </a:graphic>
                </wp:inline>
              </w:drawing>
            </w:r>
          </w:p>
        </w:tc>
        <w:tc>
          <w:tcPr>
            <w:tcW w:w="9251" w:type="dxa"/>
            <w:tcBorders>
              <w:bottom w:val="double" w:sz="4" w:space="0" w:color="auto"/>
            </w:tcBorders>
            <w:shd w:val="clear" w:color="auto" w:fill="auto"/>
          </w:tcPr>
          <w:p w14:paraId="216B87DC" w14:textId="77777777" w:rsidR="006A05A6" w:rsidRPr="00975DE0" w:rsidRDefault="006A05A6" w:rsidP="00150335">
            <w:pPr>
              <w:jc w:val="center"/>
              <w:rPr>
                <w:b/>
                <w:noProof/>
                <w:sz w:val="24"/>
                <w:szCs w:val="24"/>
              </w:rPr>
            </w:pPr>
            <w:r w:rsidRPr="00975DE0">
              <w:rPr>
                <w:b/>
                <w:noProof/>
                <w:sz w:val="24"/>
                <w:szCs w:val="24"/>
              </w:rPr>
              <w:t>LE CENTRE NATIONAL DE LA RECHERCHE SCIENTIFIQUE</w:t>
            </w:r>
          </w:p>
          <w:p w14:paraId="3547C4DC" w14:textId="77777777" w:rsidR="006A05A6" w:rsidRPr="00975DE0" w:rsidRDefault="00881400" w:rsidP="00150335">
            <w:pPr>
              <w:jc w:val="center"/>
              <w:rPr>
                <w:i/>
                <w:noProof/>
              </w:rPr>
            </w:pPr>
            <w:r>
              <w:rPr>
                <w:i/>
                <w:noProof/>
              </w:rPr>
              <w:t>N° SIRET</w:t>
            </w:r>
            <w:r w:rsidR="006A05A6" w:rsidRPr="00975DE0">
              <w:rPr>
                <w:i/>
                <w:noProof/>
              </w:rPr>
              <w:t xml:space="preserve"> : 180 089</w:t>
            </w:r>
            <w:r>
              <w:rPr>
                <w:i/>
                <w:noProof/>
              </w:rPr>
              <w:t> </w:t>
            </w:r>
            <w:r w:rsidR="006A05A6" w:rsidRPr="00975DE0">
              <w:rPr>
                <w:i/>
                <w:noProof/>
              </w:rPr>
              <w:t>013</w:t>
            </w:r>
            <w:r w:rsidR="00135CE2">
              <w:rPr>
                <w:i/>
                <w:noProof/>
              </w:rPr>
              <w:t xml:space="preserve"> </w:t>
            </w:r>
            <w:r w:rsidR="00886522">
              <w:rPr>
                <w:i/>
                <w:noProof/>
              </w:rPr>
              <w:t>00635</w:t>
            </w:r>
          </w:p>
          <w:p w14:paraId="1D57FFC5" w14:textId="77777777" w:rsidR="006A05A6" w:rsidRPr="00975DE0" w:rsidRDefault="006A05A6" w:rsidP="00150335">
            <w:pPr>
              <w:jc w:val="center"/>
              <w:rPr>
                <w:b/>
                <w:noProof/>
                <w:sz w:val="24"/>
                <w:szCs w:val="24"/>
              </w:rPr>
            </w:pPr>
          </w:p>
        </w:tc>
      </w:tr>
      <w:tr w:rsidR="006A05A6" w:rsidRPr="00975DE0" w14:paraId="7D5F1837" w14:textId="77777777" w:rsidTr="0094172C">
        <w:tc>
          <w:tcPr>
            <w:tcW w:w="1701" w:type="dxa"/>
            <w:vMerge/>
            <w:tcBorders>
              <w:right w:val="double" w:sz="4" w:space="0" w:color="auto"/>
            </w:tcBorders>
            <w:shd w:val="clear" w:color="auto" w:fill="auto"/>
          </w:tcPr>
          <w:p w14:paraId="01ADF2BB" w14:textId="77777777" w:rsidR="006A05A6" w:rsidRPr="00975DE0" w:rsidRDefault="006A05A6" w:rsidP="00150335">
            <w:pPr>
              <w:rPr>
                <w:b/>
                <w:noProof/>
              </w:rPr>
            </w:pPr>
          </w:p>
        </w:tc>
        <w:tc>
          <w:tcPr>
            <w:tcW w:w="9251" w:type="dxa"/>
            <w:tcBorders>
              <w:top w:val="double" w:sz="4" w:space="0" w:color="auto"/>
              <w:left w:val="double" w:sz="4" w:space="0" w:color="auto"/>
              <w:bottom w:val="double" w:sz="4" w:space="0" w:color="auto"/>
              <w:right w:val="double" w:sz="4" w:space="0" w:color="auto"/>
            </w:tcBorders>
            <w:shd w:val="clear" w:color="auto" w:fill="auto"/>
            <w:tcMar>
              <w:top w:w="85" w:type="dxa"/>
              <w:bottom w:w="85" w:type="dxa"/>
            </w:tcMar>
          </w:tcPr>
          <w:p w14:paraId="0945A031" w14:textId="39E14ADE" w:rsidR="006A05A6" w:rsidRDefault="006A05A6" w:rsidP="00150335">
            <w:pPr>
              <w:jc w:val="center"/>
              <w:rPr>
                <w:b/>
                <w:noProof/>
              </w:rPr>
            </w:pPr>
            <w:r w:rsidRPr="007A31BD">
              <w:rPr>
                <w:b/>
                <w:noProof/>
              </w:rPr>
              <w:t xml:space="preserve">MARCHE DE </w:t>
            </w:r>
            <w:r w:rsidR="003C12DE" w:rsidRPr="007A31BD">
              <w:rPr>
                <w:b/>
                <w:noProof/>
              </w:rPr>
              <w:t>TRAVAUX</w:t>
            </w:r>
            <w:r w:rsidRPr="007A31BD">
              <w:rPr>
                <w:b/>
                <w:noProof/>
              </w:rPr>
              <w:t xml:space="preserve"> </w:t>
            </w:r>
            <w:r w:rsidRPr="00975DE0">
              <w:rPr>
                <w:b/>
                <w:noProof/>
              </w:rPr>
              <w:t>EN PROCEDURE ADAPTÉE</w:t>
            </w:r>
            <w:r w:rsidR="00FC2803">
              <w:rPr>
                <w:b/>
                <w:noProof/>
              </w:rPr>
              <w:t xml:space="preserve"> </w:t>
            </w:r>
          </w:p>
          <w:p w14:paraId="13020463" w14:textId="7153BA55" w:rsidR="008C67AD" w:rsidRDefault="008C67AD" w:rsidP="00150335">
            <w:pPr>
              <w:jc w:val="center"/>
              <w:rPr>
                <w:b/>
                <w:noProof/>
              </w:rPr>
            </w:pPr>
            <w:r>
              <w:rPr>
                <w:i/>
                <w:noProof/>
              </w:rPr>
              <w:t>selon les articles L2123-1 et R2123-1 du code la commande publique</w:t>
            </w:r>
          </w:p>
          <w:p w14:paraId="79A9AD02" w14:textId="77777777" w:rsidR="006A05A6" w:rsidRPr="00975DE0" w:rsidRDefault="006A05A6" w:rsidP="00150335">
            <w:pPr>
              <w:jc w:val="center"/>
              <w:rPr>
                <w:b/>
                <w:noProof/>
                <w:sz w:val="24"/>
                <w:szCs w:val="24"/>
              </w:rPr>
            </w:pPr>
            <w:r w:rsidRPr="00975DE0">
              <w:rPr>
                <w:b/>
                <w:noProof/>
              </w:rPr>
              <w:t xml:space="preserve">REF CNRS : N° </w:t>
            </w:r>
            <w:r w:rsidRPr="00975DE0">
              <w:rPr>
                <w:b/>
                <w:noProof/>
              </w:rPr>
              <w:fldChar w:fldCharType="begin">
                <w:ffData>
                  <w:name w:val="Texte21"/>
                  <w:enabled/>
                  <w:calcOnExit w:val="0"/>
                  <w:textInput/>
                </w:ffData>
              </w:fldChar>
            </w:r>
            <w:r w:rsidRPr="00975DE0">
              <w:rPr>
                <w:b/>
                <w:noProof/>
              </w:rPr>
              <w:instrText xml:space="preserve"> FORMTEXT </w:instrText>
            </w:r>
            <w:r w:rsidRPr="00975DE0">
              <w:rPr>
                <w:b/>
                <w:noProof/>
              </w:rPr>
            </w:r>
            <w:r w:rsidRPr="00975DE0">
              <w:rPr>
                <w:b/>
                <w:noProof/>
              </w:rPr>
              <w:fldChar w:fldCharType="separate"/>
            </w:r>
            <w:r w:rsidRPr="00975DE0">
              <w:rPr>
                <w:b/>
                <w:noProof/>
              </w:rPr>
              <w:t> </w:t>
            </w:r>
            <w:r w:rsidRPr="00975DE0">
              <w:rPr>
                <w:b/>
                <w:noProof/>
              </w:rPr>
              <w:t> </w:t>
            </w:r>
            <w:r w:rsidRPr="00975DE0">
              <w:rPr>
                <w:b/>
                <w:noProof/>
              </w:rPr>
              <w:t> </w:t>
            </w:r>
            <w:r w:rsidRPr="00975DE0">
              <w:rPr>
                <w:b/>
                <w:noProof/>
              </w:rPr>
              <w:t> </w:t>
            </w:r>
            <w:r w:rsidRPr="00975DE0">
              <w:rPr>
                <w:b/>
                <w:noProof/>
              </w:rPr>
              <w:t> </w:t>
            </w:r>
            <w:r w:rsidRPr="00975DE0">
              <w:rPr>
                <w:b/>
                <w:noProof/>
              </w:rPr>
              <w:fldChar w:fldCharType="end"/>
            </w:r>
            <w:r w:rsidR="00FD72FC">
              <w:rPr>
                <w:b/>
                <w:noProof/>
              </w:rPr>
              <w:t xml:space="preserve">          Notifié le : </w:t>
            </w:r>
          </w:p>
        </w:tc>
      </w:tr>
    </w:tbl>
    <w:p w14:paraId="4430E4CD" w14:textId="77777777" w:rsidR="006143FC" w:rsidRPr="004B4849" w:rsidRDefault="006143FC" w:rsidP="00B32600"/>
    <w:p w14:paraId="3B0D55F2" w14:textId="7B1D43A6" w:rsidR="00B71125" w:rsidRDefault="00B71125" w:rsidP="00A95D00">
      <w:pPr>
        <w:tabs>
          <w:tab w:val="left" w:pos="6096"/>
        </w:tabs>
        <w:rPr>
          <w:b/>
        </w:rPr>
      </w:pPr>
    </w:p>
    <w:p w14:paraId="217755B4" w14:textId="77777777" w:rsidR="00B71125" w:rsidRPr="004B4849" w:rsidRDefault="00B71125" w:rsidP="00A95D00">
      <w:pPr>
        <w:tabs>
          <w:tab w:val="left" w:pos="6096"/>
        </w:tabs>
        <w:rPr>
          <w:b/>
        </w:rPr>
        <w:sectPr w:rsidR="00B71125" w:rsidRPr="004B4849" w:rsidSect="00A46A22">
          <w:footerReference w:type="default" r:id="rId12"/>
          <w:type w:val="continuous"/>
          <w:pgSz w:w="11909" w:h="16834"/>
          <w:pgMar w:top="567" w:right="427" w:bottom="720" w:left="567" w:header="720" w:footer="720" w:gutter="0"/>
          <w:cols w:space="720" w:equalWidth="0">
            <w:col w:w="10915" w:space="242"/>
          </w:cols>
        </w:sectPr>
      </w:pPr>
    </w:p>
    <w:p w14:paraId="2E4A7404" w14:textId="77777777" w:rsidR="006143FC" w:rsidRPr="004B4849" w:rsidRDefault="006143FC" w:rsidP="00CC1B2D">
      <w:pPr>
        <w:pStyle w:val="Titre1"/>
      </w:pPr>
      <w:bookmarkStart w:id="0" w:name="_Toc503600815"/>
      <w:r w:rsidRPr="008C67AD">
        <w:t>PARTIES</w:t>
      </w:r>
      <w:r w:rsidRPr="004B4849">
        <w:t> :</w:t>
      </w:r>
      <w:r w:rsidR="00CC15C2" w:rsidRPr="00CC15C2">
        <w:rPr>
          <w:noProof/>
        </w:rPr>
        <w:t xml:space="preserve"> </w:t>
      </w:r>
    </w:p>
    <w:p w14:paraId="6C19BCEB" w14:textId="11005ABC" w:rsidR="00192548" w:rsidRDefault="00CE7033" w:rsidP="00D9067E">
      <w:pPr>
        <w:jc w:val="both"/>
        <w:rPr>
          <w:noProof/>
        </w:rPr>
      </w:pPr>
      <w:r>
        <w:rPr>
          <w:noProof/>
        </w:rPr>
        <w:t>L</w:t>
      </w:r>
      <w:r w:rsidR="008C67AD">
        <w:rPr>
          <w:noProof/>
        </w:rPr>
        <w:t>’acheteur représenté par M. Benoît FORET, délégué régional du</w:t>
      </w:r>
      <w:r>
        <w:rPr>
          <w:noProof/>
        </w:rPr>
        <w:t xml:space="preserve"> </w:t>
      </w:r>
      <w:r w:rsidRPr="00861B99">
        <w:rPr>
          <w:b/>
          <w:noProof/>
        </w:rPr>
        <w:t>CNRS</w:t>
      </w:r>
      <w:r>
        <w:rPr>
          <w:noProof/>
        </w:rPr>
        <w:t xml:space="preserve"> </w:t>
      </w:r>
      <w:r w:rsidR="008C67AD">
        <w:rPr>
          <w:noProof/>
        </w:rPr>
        <w:t xml:space="preserve">de Gif sur Yvette </w:t>
      </w:r>
      <w:r>
        <w:rPr>
          <w:noProof/>
        </w:rPr>
        <w:t>(</w:t>
      </w:r>
      <w:r w:rsidR="008C67AD">
        <w:rPr>
          <w:noProof/>
        </w:rPr>
        <w:t xml:space="preserve">par </w:t>
      </w:r>
      <w:r w:rsidR="00192548">
        <w:rPr>
          <w:noProof/>
        </w:rPr>
        <w:t>décision n°190902DAJ du 16/01/2020)</w:t>
      </w:r>
      <w:r w:rsidR="008C67AD">
        <w:rPr>
          <w:noProof/>
        </w:rPr>
        <w:t>.</w:t>
      </w:r>
    </w:p>
    <w:p w14:paraId="20609798" w14:textId="77777777" w:rsidR="00EA09B5" w:rsidRDefault="00EA09B5" w:rsidP="00CE7033">
      <w:pPr>
        <w:rPr>
          <w:noProof/>
        </w:rPr>
      </w:pPr>
    </w:p>
    <w:p w14:paraId="34A461E9" w14:textId="77777777" w:rsidR="00340E04" w:rsidRDefault="00CE7033" w:rsidP="00CE7033">
      <w:pPr>
        <w:rPr>
          <w:noProof/>
        </w:rPr>
      </w:pPr>
      <w:r>
        <w:rPr>
          <w:noProof/>
        </w:rPr>
        <w:t>Adresse :</w:t>
      </w:r>
      <w:r w:rsidR="00340E04">
        <w:rPr>
          <w:noProof/>
        </w:rPr>
        <w:t xml:space="preserve"> </w:t>
      </w:r>
    </w:p>
    <w:p w14:paraId="05A2A61A" w14:textId="67FC62AF" w:rsidR="0095094D" w:rsidRDefault="0095094D" w:rsidP="00CE7033">
      <w:pPr>
        <w:rPr>
          <w:noProof/>
        </w:rPr>
      </w:pPr>
      <w:r>
        <w:rPr>
          <w:noProof/>
        </w:rPr>
        <w:t xml:space="preserve">Délélgation Régionale Ile-de-France </w:t>
      </w:r>
      <w:r w:rsidR="009F1020">
        <w:rPr>
          <w:noProof/>
        </w:rPr>
        <w:t>Gif sur Yvette</w:t>
      </w:r>
    </w:p>
    <w:p w14:paraId="214CEA42" w14:textId="4AF20E0E" w:rsidR="00340E04" w:rsidRDefault="00340E04" w:rsidP="00CE7033">
      <w:pPr>
        <w:rPr>
          <w:noProof/>
        </w:rPr>
      </w:pPr>
      <w:r>
        <w:rPr>
          <w:noProof/>
        </w:rPr>
        <w:t>S</w:t>
      </w:r>
      <w:r w:rsidR="0095094D">
        <w:rPr>
          <w:noProof/>
        </w:rPr>
        <w:t xml:space="preserve">ervice </w:t>
      </w:r>
      <w:r>
        <w:rPr>
          <w:noProof/>
        </w:rPr>
        <w:t>T</w:t>
      </w:r>
      <w:r w:rsidR="0095094D">
        <w:rPr>
          <w:noProof/>
        </w:rPr>
        <w:t xml:space="preserve">echnique et </w:t>
      </w:r>
      <w:r>
        <w:rPr>
          <w:noProof/>
        </w:rPr>
        <w:t>L</w:t>
      </w:r>
      <w:r w:rsidR="0095094D">
        <w:rPr>
          <w:noProof/>
        </w:rPr>
        <w:t>ogisitique</w:t>
      </w:r>
    </w:p>
    <w:p w14:paraId="1EC3ABD0" w14:textId="279E7672" w:rsidR="00CE7033" w:rsidRDefault="00340E04" w:rsidP="00CE7033">
      <w:pPr>
        <w:rPr>
          <w:noProof/>
        </w:rPr>
      </w:pPr>
      <w:r>
        <w:rPr>
          <w:noProof/>
        </w:rPr>
        <w:t>B</w:t>
      </w:r>
      <w:r w:rsidR="00100D53">
        <w:rPr>
          <w:noProof/>
        </w:rPr>
        <w:t>at 1</w:t>
      </w:r>
      <w:r w:rsidR="009F1020">
        <w:rPr>
          <w:noProof/>
        </w:rPr>
        <w:t>3</w:t>
      </w:r>
    </w:p>
    <w:p w14:paraId="30A2042A" w14:textId="5F7EE224" w:rsidR="00100D53" w:rsidRDefault="00100D53" w:rsidP="00CE7033">
      <w:pPr>
        <w:rPr>
          <w:noProof/>
        </w:rPr>
      </w:pPr>
      <w:r>
        <w:rPr>
          <w:noProof/>
        </w:rPr>
        <w:t xml:space="preserve">Avenue de la terrasse </w:t>
      </w:r>
      <w:r w:rsidR="008C67AD">
        <w:rPr>
          <w:noProof/>
        </w:rPr>
        <w:t xml:space="preserve">- </w:t>
      </w:r>
      <w:r>
        <w:rPr>
          <w:noProof/>
        </w:rPr>
        <w:t xml:space="preserve">91190 Gif sur </w:t>
      </w:r>
      <w:r w:rsidR="00A44E05">
        <w:rPr>
          <w:noProof/>
        </w:rPr>
        <w:t>Y</w:t>
      </w:r>
      <w:r>
        <w:rPr>
          <w:noProof/>
        </w:rPr>
        <w:t>vette</w:t>
      </w:r>
    </w:p>
    <w:p w14:paraId="52869C8B" w14:textId="77777777" w:rsidR="006D1714" w:rsidRDefault="006D1714" w:rsidP="00CE7033">
      <w:pPr>
        <w:rPr>
          <w:noProof/>
        </w:rPr>
      </w:pPr>
    </w:p>
    <w:p w14:paraId="11305FCF" w14:textId="77777777" w:rsidR="00CE7033" w:rsidRDefault="00CE7033" w:rsidP="00CE7033">
      <w:pPr>
        <w:rPr>
          <w:noProof/>
        </w:rPr>
      </w:pPr>
      <w:r>
        <w:rPr>
          <w:noProof/>
        </w:rPr>
        <w:t>et</w:t>
      </w:r>
    </w:p>
    <w:p w14:paraId="07D83D7A" w14:textId="3B527D33" w:rsidR="00CE7033" w:rsidRDefault="00CE7033" w:rsidP="00CE7033">
      <w:pPr>
        <w:rPr>
          <w:noProof/>
        </w:rPr>
      </w:pPr>
    </w:p>
    <w:p w14:paraId="36B010F4" w14:textId="77777777" w:rsidR="008C67AD" w:rsidRDefault="008C67AD" w:rsidP="008C67AD">
      <w:pPr>
        <w:rPr>
          <w:noProof/>
        </w:rPr>
      </w:pPr>
      <w:r>
        <w:rPr>
          <w:noProof/>
        </w:rPr>
        <w:t>Le Titulaire représenté par :</w:t>
      </w:r>
    </w:p>
    <w:p w14:paraId="0DBB2A6B" w14:textId="77777777" w:rsidR="00CE7033" w:rsidRDefault="00CE7033" w:rsidP="00CE7033">
      <w:pPr>
        <w:rPr>
          <w:noProof/>
        </w:rPr>
      </w:pPr>
      <w:r>
        <w:rPr>
          <w:noProof/>
        </w:rPr>
        <w:t xml:space="preserve">La société </w:t>
      </w:r>
      <w:r>
        <w:rPr>
          <w:noProof/>
        </w:rPr>
        <w:fldChar w:fldCharType="begin">
          <w:ffData>
            <w:name w:val="Texte3"/>
            <w:enabled/>
            <w:calcOnExit w:val="0"/>
            <w:textInput/>
          </w:ffData>
        </w:fldChar>
      </w:r>
      <w:r>
        <w:rPr>
          <w:noProof/>
        </w:rPr>
        <w:instrText xml:space="preserve"> FORMTEXT </w:instrText>
      </w:r>
      <w:r>
        <w:rPr>
          <w:noProof/>
        </w:rPr>
      </w:r>
      <w:r>
        <w:rPr>
          <w:noProof/>
        </w:rPr>
        <w:fldChar w:fldCharType="separate"/>
      </w:r>
      <w:r>
        <w:rPr>
          <w:noProof/>
        </w:rPr>
        <w:t> </w:t>
      </w:r>
      <w:r>
        <w:rPr>
          <w:noProof/>
        </w:rPr>
        <w:t> </w:t>
      </w:r>
      <w:r>
        <w:rPr>
          <w:noProof/>
        </w:rPr>
        <w:t> </w:t>
      </w:r>
      <w:r>
        <w:rPr>
          <w:noProof/>
        </w:rPr>
        <w:t> </w:t>
      </w:r>
      <w:r>
        <w:rPr>
          <w:noProof/>
        </w:rPr>
        <w:t> </w:t>
      </w:r>
      <w:r>
        <w:rPr>
          <w:noProof/>
        </w:rPr>
        <w:fldChar w:fldCharType="end"/>
      </w:r>
    </w:p>
    <w:p w14:paraId="60570E15" w14:textId="77777777" w:rsidR="00CE7033" w:rsidRDefault="00CE7033" w:rsidP="00CE7033">
      <w:pPr>
        <w:rPr>
          <w:noProof/>
        </w:rPr>
      </w:pPr>
    </w:p>
    <w:p w14:paraId="06C412D9" w14:textId="77777777" w:rsidR="00CE7033" w:rsidRDefault="00CE7033" w:rsidP="00CE7033">
      <w:pPr>
        <w:rPr>
          <w:noProof/>
        </w:rPr>
      </w:pPr>
      <w:r>
        <w:rPr>
          <w:noProof/>
        </w:rPr>
        <w:t>Adresse</w:t>
      </w:r>
      <w:r>
        <w:rPr>
          <w:noProof/>
        </w:rPr>
        <w:fldChar w:fldCharType="begin">
          <w:ffData>
            <w:name w:val="Texte4"/>
            <w:enabled/>
            <w:calcOnExit w:val="0"/>
            <w:textInput/>
          </w:ffData>
        </w:fldChar>
      </w:r>
      <w:r>
        <w:rPr>
          <w:noProof/>
        </w:rPr>
        <w:instrText xml:space="preserve"> FORMTEXT </w:instrText>
      </w:r>
      <w:r>
        <w:rPr>
          <w:noProof/>
        </w:rPr>
      </w:r>
      <w:r>
        <w:rPr>
          <w:noProof/>
        </w:rPr>
        <w:fldChar w:fldCharType="separate"/>
      </w:r>
      <w:r>
        <w:rPr>
          <w:noProof/>
        </w:rPr>
        <w:t> </w:t>
      </w:r>
      <w:r>
        <w:rPr>
          <w:noProof/>
        </w:rPr>
        <w:t> </w:t>
      </w:r>
      <w:r>
        <w:rPr>
          <w:noProof/>
        </w:rPr>
        <w:t> </w:t>
      </w:r>
      <w:r>
        <w:rPr>
          <w:noProof/>
        </w:rPr>
        <w:t> </w:t>
      </w:r>
      <w:r>
        <w:rPr>
          <w:noProof/>
        </w:rPr>
        <w:t> </w:t>
      </w:r>
      <w:r>
        <w:rPr>
          <w:noProof/>
        </w:rPr>
        <w:fldChar w:fldCharType="end"/>
      </w:r>
    </w:p>
    <w:p w14:paraId="2B13D2CB" w14:textId="77777777" w:rsidR="00CE7033" w:rsidRDefault="00CE7033" w:rsidP="00CE7033">
      <w:pPr>
        <w:rPr>
          <w:noProof/>
        </w:rPr>
      </w:pPr>
    </w:p>
    <w:p w14:paraId="328A85EC" w14:textId="77777777" w:rsidR="00CE7033" w:rsidRDefault="00CE7033" w:rsidP="00CE7033">
      <w:pPr>
        <w:rPr>
          <w:noProof/>
        </w:rPr>
      </w:pPr>
      <w:r>
        <w:rPr>
          <w:noProof/>
        </w:rPr>
        <w:t>N° SIRET : ___ ___ ___ _____ – APE :____</w:t>
      </w:r>
    </w:p>
    <w:p w14:paraId="07406FDA" w14:textId="77777777" w:rsidR="00CE7033" w:rsidRDefault="00CE7033" w:rsidP="00CE7033">
      <w:pPr>
        <w:rPr>
          <w:noProof/>
        </w:rPr>
      </w:pPr>
    </w:p>
    <w:p w14:paraId="4E0FABC0" w14:textId="4EF8D1D4" w:rsidR="006143FC" w:rsidRDefault="006143FC" w:rsidP="00CC1B2D">
      <w:pPr>
        <w:pStyle w:val="Titre1"/>
      </w:pPr>
      <w:r w:rsidRPr="004B4849">
        <w:t>1) OBJET</w:t>
      </w:r>
      <w:bookmarkEnd w:id="0"/>
    </w:p>
    <w:p w14:paraId="00C690BE" w14:textId="1BBB31DE" w:rsidR="00F06230" w:rsidRPr="00F06230" w:rsidRDefault="00CE7033" w:rsidP="00F06230">
      <w:pPr>
        <w:tabs>
          <w:tab w:val="left" w:pos="7560"/>
        </w:tabs>
        <w:jc w:val="both"/>
        <w:rPr>
          <w:noProof/>
        </w:rPr>
      </w:pPr>
      <w:r w:rsidRPr="00F06230">
        <w:rPr>
          <w:noProof/>
          <w:u w:val="single"/>
        </w:rPr>
        <w:t>Le présent marché a pour objet</w:t>
      </w:r>
      <w:r w:rsidRPr="001362F0">
        <w:rPr>
          <w:noProof/>
        </w:rPr>
        <w:t xml:space="preserve"> </w:t>
      </w:r>
      <w:r w:rsidR="00A44E05">
        <w:rPr>
          <w:noProof/>
        </w:rPr>
        <w:t>le</w:t>
      </w:r>
      <w:r w:rsidR="005D1A14" w:rsidRPr="00F06230">
        <w:rPr>
          <w:noProof/>
        </w:rPr>
        <w:t xml:space="preserve"> </w:t>
      </w:r>
      <w:r w:rsidR="00A44E05">
        <w:rPr>
          <w:noProof/>
        </w:rPr>
        <w:t>r</w:t>
      </w:r>
      <w:r w:rsidR="00A44E05" w:rsidRPr="00A44E05">
        <w:rPr>
          <w:noProof/>
        </w:rPr>
        <w:t xml:space="preserve">emplacement d’une verrière et mise en place d’exutoires de fumée à commande électrique au Bâtiment GIF 310 </w:t>
      </w:r>
      <w:r w:rsidR="00A44E05">
        <w:rPr>
          <w:noProof/>
        </w:rPr>
        <w:t>du CNRS de Gif sur Yvette.</w:t>
      </w:r>
    </w:p>
    <w:p w14:paraId="2E844C62" w14:textId="77777777" w:rsidR="00975AF1" w:rsidRPr="005C567A" w:rsidRDefault="00975AF1" w:rsidP="008374E7">
      <w:pPr>
        <w:jc w:val="both"/>
        <w:rPr>
          <w:b/>
          <w:noProof/>
        </w:rPr>
      </w:pPr>
    </w:p>
    <w:p w14:paraId="19EC5B90" w14:textId="1CCFF446" w:rsidR="00CE7033" w:rsidRPr="00CE7033" w:rsidRDefault="00CE7033" w:rsidP="00CE7033">
      <w:pPr>
        <w:jc w:val="both"/>
        <w:rPr>
          <w:noProof/>
        </w:rPr>
      </w:pPr>
      <w:r w:rsidRPr="00CE7033">
        <w:rPr>
          <w:noProof/>
        </w:rPr>
        <w:t>Le</w:t>
      </w:r>
      <w:r w:rsidR="00CC1B2D">
        <w:rPr>
          <w:noProof/>
        </w:rPr>
        <w:t>s</w:t>
      </w:r>
      <w:r w:rsidRPr="00CE7033">
        <w:rPr>
          <w:noProof/>
        </w:rPr>
        <w:t xml:space="preserve"> code</w:t>
      </w:r>
      <w:r w:rsidR="00CC1B2D">
        <w:rPr>
          <w:noProof/>
        </w:rPr>
        <w:t>s</w:t>
      </w:r>
      <w:r w:rsidRPr="00CE7033">
        <w:rPr>
          <w:noProof/>
        </w:rPr>
        <w:t xml:space="preserve"> de la nomenclature </w:t>
      </w:r>
      <w:r w:rsidRPr="00CC1B2D">
        <w:rPr>
          <w:noProof/>
        </w:rPr>
        <w:t>CPV</w:t>
      </w:r>
      <w:r w:rsidRPr="00CE7033">
        <w:rPr>
          <w:noProof/>
        </w:rPr>
        <w:t xml:space="preserve"> sont les suivants : </w:t>
      </w:r>
      <w:r w:rsidR="00BF30C2" w:rsidRPr="00A44E05">
        <w:rPr>
          <w:noProof/>
        </w:rPr>
        <w:t>45261420,  45261410</w:t>
      </w:r>
      <w:r w:rsidR="00D7634B" w:rsidRPr="00A44E05">
        <w:rPr>
          <w:noProof/>
        </w:rPr>
        <w:t>, 44112500</w:t>
      </w:r>
      <w:r w:rsidR="00CC1B2D" w:rsidRPr="00A44E05">
        <w:rPr>
          <w:noProof/>
        </w:rPr>
        <w:t>.</w:t>
      </w:r>
    </w:p>
    <w:p w14:paraId="1B8153F2" w14:textId="64CFF079" w:rsidR="00CE7033" w:rsidRPr="00CE7033" w:rsidRDefault="004C6580" w:rsidP="00CE7033">
      <w:pPr>
        <w:jc w:val="both"/>
        <w:rPr>
          <w:noProof/>
        </w:rPr>
      </w:pPr>
      <w:r>
        <w:rPr>
          <w:noProof/>
        </w:rPr>
        <w:t xml:space="preserve">Le code nacre est le suivant : </w:t>
      </w:r>
      <w:r w:rsidR="005D1A14" w:rsidRPr="00A44E05">
        <w:rPr>
          <w:noProof/>
        </w:rPr>
        <w:t>B</w:t>
      </w:r>
      <w:r w:rsidR="007E7CDC" w:rsidRPr="00A44E05">
        <w:rPr>
          <w:noProof/>
        </w:rPr>
        <w:t>E.</w:t>
      </w:r>
      <w:r w:rsidR="00260887" w:rsidRPr="00A44E05">
        <w:rPr>
          <w:noProof/>
        </w:rPr>
        <w:t>03</w:t>
      </w:r>
    </w:p>
    <w:p w14:paraId="78BC732D" w14:textId="77777777" w:rsidR="008C67AD" w:rsidRDefault="008C67AD" w:rsidP="008C67AD">
      <w:pPr>
        <w:jc w:val="both"/>
        <w:rPr>
          <w:noProof/>
        </w:rPr>
      </w:pPr>
    </w:p>
    <w:p w14:paraId="0DA48F2C" w14:textId="2BCFFAA9" w:rsidR="00A44E05" w:rsidRDefault="008C67AD" w:rsidP="00A44E05">
      <w:pPr>
        <w:rPr>
          <w:noProof/>
        </w:rPr>
      </w:pPr>
      <w:r w:rsidRPr="00CE7033">
        <w:rPr>
          <w:noProof/>
        </w:rPr>
        <w:t xml:space="preserve">L’adresse d’exécution est la suivante : </w:t>
      </w:r>
      <w:r w:rsidR="00A44E05">
        <w:rPr>
          <w:noProof/>
        </w:rPr>
        <w:t>CNRS Bat 31</w:t>
      </w:r>
    </w:p>
    <w:p w14:paraId="7D153C5C" w14:textId="77777777" w:rsidR="00A44E05" w:rsidRDefault="00A44E05" w:rsidP="00A44E05">
      <w:pPr>
        <w:rPr>
          <w:noProof/>
        </w:rPr>
      </w:pPr>
      <w:r>
        <w:rPr>
          <w:noProof/>
        </w:rPr>
        <w:t>Avenue de la terrasse - 91190 Gif sur Yvette</w:t>
      </w:r>
    </w:p>
    <w:p w14:paraId="05DAAF98" w14:textId="13E08E03" w:rsidR="008C67AD" w:rsidRDefault="008C67AD" w:rsidP="003849D3">
      <w:pPr>
        <w:jc w:val="both"/>
        <w:rPr>
          <w:noProof/>
        </w:rPr>
      </w:pPr>
    </w:p>
    <w:p w14:paraId="3FB71BA1" w14:textId="77777777" w:rsidR="006D1714" w:rsidRDefault="006D1714" w:rsidP="00CE7033">
      <w:pPr>
        <w:jc w:val="both"/>
        <w:rPr>
          <w:noProof/>
        </w:rPr>
      </w:pPr>
    </w:p>
    <w:p w14:paraId="51377797" w14:textId="77777777" w:rsidR="00FD494A" w:rsidRPr="008C67AD" w:rsidRDefault="00B72876" w:rsidP="00CE7033">
      <w:pPr>
        <w:jc w:val="both"/>
        <w:rPr>
          <w:noProof/>
          <w:u w:val="single"/>
        </w:rPr>
      </w:pPr>
      <w:r w:rsidRPr="008C67AD">
        <w:rPr>
          <w:noProof/>
          <w:u w:val="single"/>
        </w:rPr>
        <w:t>Définition des acteurs :</w:t>
      </w:r>
    </w:p>
    <w:p w14:paraId="57F3B7A4" w14:textId="77777777" w:rsidR="00B72876" w:rsidRDefault="00B72876" w:rsidP="008C67AD">
      <w:pPr>
        <w:ind w:firstLine="709"/>
        <w:jc w:val="both"/>
        <w:rPr>
          <w:noProof/>
        </w:rPr>
      </w:pPr>
      <w:r>
        <w:rPr>
          <w:noProof/>
        </w:rPr>
        <w:t>Maître d’Ouvrage :</w:t>
      </w:r>
    </w:p>
    <w:p w14:paraId="3BD8FBF9" w14:textId="360EE7F6" w:rsidR="00B72876" w:rsidRDefault="00B72876" w:rsidP="00B72876">
      <w:pPr>
        <w:jc w:val="both"/>
        <w:rPr>
          <w:noProof/>
        </w:rPr>
      </w:pPr>
      <w:r>
        <w:rPr>
          <w:noProof/>
        </w:rPr>
        <w:t xml:space="preserve">CNRS -Délégation Ile-de-France </w:t>
      </w:r>
      <w:r w:rsidR="009F1020">
        <w:rPr>
          <w:noProof/>
        </w:rPr>
        <w:t>Gif sur Yvette</w:t>
      </w:r>
    </w:p>
    <w:p w14:paraId="0E4760CB" w14:textId="77777777" w:rsidR="00B72876" w:rsidRDefault="00B72876" w:rsidP="00B72876">
      <w:pPr>
        <w:jc w:val="both"/>
        <w:rPr>
          <w:noProof/>
        </w:rPr>
      </w:pPr>
      <w:r>
        <w:rPr>
          <w:noProof/>
        </w:rPr>
        <w:t>Avenue de la Terrasse - Bâtiment 10A</w:t>
      </w:r>
    </w:p>
    <w:p w14:paraId="6358FD59" w14:textId="77777777" w:rsidR="00B72876" w:rsidRDefault="00B72876" w:rsidP="00B72876">
      <w:pPr>
        <w:jc w:val="both"/>
        <w:rPr>
          <w:noProof/>
        </w:rPr>
      </w:pPr>
      <w:r>
        <w:rPr>
          <w:noProof/>
        </w:rPr>
        <w:t>91190 Gif sur Yvette</w:t>
      </w:r>
    </w:p>
    <w:p w14:paraId="67FC229C" w14:textId="77777777" w:rsidR="00B72876" w:rsidRDefault="00B72876" w:rsidP="00B72876">
      <w:pPr>
        <w:jc w:val="both"/>
        <w:rPr>
          <w:noProof/>
        </w:rPr>
      </w:pPr>
    </w:p>
    <w:p w14:paraId="4EC8AE5C" w14:textId="77777777" w:rsidR="00B72876" w:rsidRDefault="00B72876" w:rsidP="008C67AD">
      <w:pPr>
        <w:ind w:firstLine="709"/>
        <w:jc w:val="both"/>
        <w:rPr>
          <w:noProof/>
        </w:rPr>
      </w:pPr>
      <w:r>
        <w:rPr>
          <w:noProof/>
        </w:rPr>
        <w:t xml:space="preserve">Maître d’œuvre :  </w:t>
      </w:r>
    </w:p>
    <w:p w14:paraId="03D5EAA6" w14:textId="6D6D05A8" w:rsidR="00B72876" w:rsidRDefault="00B72876" w:rsidP="00B72876">
      <w:pPr>
        <w:jc w:val="both"/>
        <w:rPr>
          <w:noProof/>
        </w:rPr>
      </w:pPr>
      <w:r>
        <w:rPr>
          <w:noProof/>
        </w:rPr>
        <w:t xml:space="preserve">CNRS -Délégation Ile-de-France </w:t>
      </w:r>
      <w:r w:rsidR="009F1020" w:rsidRPr="009F1020">
        <w:rPr>
          <w:noProof/>
        </w:rPr>
        <w:t>Gif sur Yvette</w:t>
      </w:r>
    </w:p>
    <w:p w14:paraId="40979302" w14:textId="77777777" w:rsidR="00B72876" w:rsidRDefault="00B72876" w:rsidP="00B72876">
      <w:pPr>
        <w:jc w:val="both"/>
        <w:rPr>
          <w:noProof/>
        </w:rPr>
      </w:pPr>
      <w:r>
        <w:rPr>
          <w:noProof/>
        </w:rPr>
        <w:t>Service Technique et Logistique (STL)</w:t>
      </w:r>
    </w:p>
    <w:p w14:paraId="11EF901E" w14:textId="64D9A97D" w:rsidR="00B72876" w:rsidRDefault="00B72876" w:rsidP="00B72876">
      <w:pPr>
        <w:jc w:val="both"/>
        <w:rPr>
          <w:noProof/>
        </w:rPr>
      </w:pPr>
      <w:r>
        <w:rPr>
          <w:noProof/>
        </w:rPr>
        <w:t>Avenue de la Terrasse - Bâtiment 1</w:t>
      </w:r>
      <w:r w:rsidR="009F1020">
        <w:rPr>
          <w:noProof/>
        </w:rPr>
        <w:t>3</w:t>
      </w:r>
    </w:p>
    <w:p w14:paraId="2E7880F4" w14:textId="77777777" w:rsidR="00B72876" w:rsidRDefault="00B72876" w:rsidP="00B72876">
      <w:pPr>
        <w:jc w:val="both"/>
        <w:rPr>
          <w:noProof/>
        </w:rPr>
      </w:pPr>
      <w:r>
        <w:rPr>
          <w:noProof/>
        </w:rPr>
        <w:t>91190 Gif sur Yvette</w:t>
      </w:r>
    </w:p>
    <w:p w14:paraId="5FF7D101" w14:textId="77777777" w:rsidR="00B72876" w:rsidRDefault="00B72876" w:rsidP="00B72876">
      <w:pPr>
        <w:jc w:val="both"/>
        <w:rPr>
          <w:noProof/>
        </w:rPr>
      </w:pPr>
    </w:p>
    <w:p w14:paraId="4119EE54" w14:textId="77777777" w:rsidR="00B72876" w:rsidRDefault="00B72876" w:rsidP="008C67AD">
      <w:pPr>
        <w:ind w:firstLine="709"/>
        <w:jc w:val="both"/>
        <w:rPr>
          <w:noProof/>
        </w:rPr>
      </w:pPr>
      <w:r>
        <w:rPr>
          <w:noProof/>
        </w:rPr>
        <w:t xml:space="preserve">Suivi technique : </w:t>
      </w:r>
    </w:p>
    <w:p w14:paraId="1AD8D3A0" w14:textId="2F02A052" w:rsidR="00B72876" w:rsidRDefault="00B72876" w:rsidP="00B72876">
      <w:pPr>
        <w:jc w:val="both"/>
        <w:rPr>
          <w:noProof/>
        </w:rPr>
      </w:pPr>
      <w:r>
        <w:rPr>
          <w:noProof/>
        </w:rPr>
        <w:t xml:space="preserve">CNRS -Délégation Ile-de-France </w:t>
      </w:r>
      <w:r w:rsidR="009F1020" w:rsidRPr="009F1020">
        <w:rPr>
          <w:noProof/>
        </w:rPr>
        <w:t>Gif sur Yvette</w:t>
      </w:r>
    </w:p>
    <w:p w14:paraId="0B3B6311" w14:textId="77777777" w:rsidR="00B72876" w:rsidRDefault="00B72876" w:rsidP="00B72876">
      <w:pPr>
        <w:jc w:val="both"/>
        <w:rPr>
          <w:noProof/>
        </w:rPr>
      </w:pPr>
      <w:r>
        <w:rPr>
          <w:noProof/>
        </w:rPr>
        <w:t>Service Technique et Logistique (STL)</w:t>
      </w:r>
    </w:p>
    <w:p w14:paraId="005430A9" w14:textId="2232030E" w:rsidR="00B72876" w:rsidRDefault="00B72876" w:rsidP="00B72876">
      <w:pPr>
        <w:jc w:val="both"/>
        <w:rPr>
          <w:noProof/>
        </w:rPr>
      </w:pPr>
      <w:r>
        <w:rPr>
          <w:noProof/>
        </w:rPr>
        <w:t>Avenue de la Terrasse - Bâtiment 1</w:t>
      </w:r>
      <w:r w:rsidR="009F1020">
        <w:rPr>
          <w:noProof/>
        </w:rPr>
        <w:t>3</w:t>
      </w:r>
    </w:p>
    <w:p w14:paraId="38DB80B0" w14:textId="630FC4D9" w:rsidR="00B72876" w:rsidRDefault="00B72876" w:rsidP="00B72876">
      <w:pPr>
        <w:jc w:val="both"/>
        <w:rPr>
          <w:noProof/>
        </w:rPr>
      </w:pPr>
      <w:r>
        <w:rPr>
          <w:noProof/>
        </w:rPr>
        <w:t>91190 Gif sur Yvette</w:t>
      </w:r>
    </w:p>
    <w:p w14:paraId="6EFFAB3F" w14:textId="3F7172E3" w:rsidR="008C67AD" w:rsidRDefault="008C67AD" w:rsidP="00B72876">
      <w:pPr>
        <w:jc w:val="both"/>
        <w:rPr>
          <w:noProof/>
        </w:rPr>
      </w:pPr>
    </w:p>
    <w:p w14:paraId="7E514A8C" w14:textId="48DEA33D" w:rsidR="00712BB7" w:rsidRDefault="00712BB7" w:rsidP="00B72876">
      <w:pPr>
        <w:jc w:val="both"/>
        <w:rPr>
          <w:noProof/>
        </w:rPr>
      </w:pPr>
    </w:p>
    <w:p w14:paraId="20293C7F" w14:textId="690285BD" w:rsidR="00712BB7" w:rsidRDefault="00712BB7" w:rsidP="00B72876">
      <w:pPr>
        <w:jc w:val="both"/>
        <w:rPr>
          <w:noProof/>
        </w:rPr>
      </w:pPr>
    </w:p>
    <w:p w14:paraId="20D186F1" w14:textId="77777777" w:rsidR="00712BB7" w:rsidRDefault="00712BB7" w:rsidP="00B72876">
      <w:pPr>
        <w:jc w:val="both"/>
        <w:rPr>
          <w:noProof/>
        </w:rPr>
      </w:pPr>
    </w:p>
    <w:p w14:paraId="57E4A9BE" w14:textId="77777777" w:rsidR="006143FC" w:rsidRPr="00831775" w:rsidRDefault="006143FC" w:rsidP="00CC1B2D">
      <w:pPr>
        <w:pStyle w:val="Titre1"/>
      </w:pPr>
      <w:r w:rsidRPr="00831775">
        <w:t>2) DOCUMENTS CONTRACTUELS</w:t>
      </w:r>
    </w:p>
    <w:p w14:paraId="75D8C8BD" w14:textId="05D23E70" w:rsidR="00831775" w:rsidRDefault="00831775" w:rsidP="00831775">
      <w:pPr>
        <w:rPr>
          <w:noProof/>
        </w:rPr>
      </w:pPr>
      <w:r w:rsidRPr="00831775">
        <w:rPr>
          <w:noProof/>
        </w:rPr>
        <w:t>Par dérogation à l’article 4.1 du CCAG/T</w:t>
      </w:r>
      <w:r w:rsidR="001362F0">
        <w:rPr>
          <w:noProof/>
        </w:rPr>
        <w:t>ravaux</w:t>
      </w:r>
      <w:r w:rsidRPr="00831775">
        <w:rPr>
          <w:noProof/>
        </w:rPr>
        <w:t xml:space="preserve">, les pièces contractuelles constitutives du présent marché sont les suivantes par ordre de priorité décroissante : </w:t>
      </w:r>
    </w:p>
    <w:p w14:paraId="3CE79F08" w14:textId="2E3332D1" w:rsidR="00F4058E" w:rsidRPr="00F4058E" w:rsidRDefault="00CE7033" w:rsidP="00F4058E">
      <w:pPr>
        <w:jc w:val="both"/>
        <w:rPr>
          <w:noProof/>
        </w:rPr>
      </w:pPr>
      <w:r>
        <w:rPr>
          <w:noProof/>
        </w:rPr>
        <w:t>- Le présent document qui définit les clauses administratives</w:t>
      </w:r>
      <w:r w:rsidR="00340110">
        <w:rPr>
          <w:noProof/>
        </w:rPr>
        <w:t xml:space="preserve"> et financières</w:t>
      </w:r>
      <w:r w:rsidR="00340E04">
        <w:rPr>
          <w:noProof/>
        </w:rPr>
        <w:t xml:space="preserve"> particulières applicables aux</w:t>
      </w:r>
      <w:r>
        <w:rPr>
          <w:noProof/>
        </w:rPr>
        <w:t xml:space="preserve"> </w:t>
      </w:r>
      <w:r w:rsidR="00100D53">
        <w:rPr>
          <w:noProof/>
        </w:rPr>
        <w:t>travaux</w:t>
      </w:r>
      <w:r>
        <w:rPr>
          <w:noProof/>
        </w:rPr>
        <w:t xml:space="preserve"> </w:t>
      </w:r>
      <w:r w:rsidR="00831775" w:rsidRPr="00831775">
        <w:rPr>
          <w:noProof/>
        </w:rPr>
        <w:t>et son annexe n°1 DPGF (décomposition du prix global et forfaitaire)</w:t>
      </w:r>
    </w:p>
    <w:p w14:paraId="1CCCC34F" w14:textId="64F539CE" w:rsidR="00F4058E" w:rsidRPr="00F4058E" w:rsidRDefault="00F4058E" w:rsidP="00F4058E">
      <w:pPr>
        <w:jc w:val="both"/>
        <w:rPr>
          <w:noProof/>
        </w:rPr>
      </w:pPr>
      <w:r w:rsidRPr="00F4058E">
        <w:rPr>
          <w:noProof/>
        </w:rPr>
        <w:t xml:space="preserve"> - Le CCAG-T</w:t>
      </w:r>
      <w:r w:rsidR="00F15EAB">
        <w:rPr>
          <w:noProof/>
        </w:rPr>
        <w:t>ravaux</w:t>
      </w:r>
      <w:r w:rsidRPr="00F4058E">
        <w:rPr>
          <w:noProof/>
        </w:rPr>
        <w:t xml:space="preserve"> (CCAG/Tx) approuvé par Arrêté du 30 mars 2021, publié au Journal Officiel du 1er avril 2021 </w:t>
      </w:r>
    </w:p>
    <w:p w14:paraId="52DD681B" w14:textId="79FD99BE" w:rsidR="00F4058E" w:rsidRDefault="00F4058E" w:rsidP="00F4058E">
      <w:pPr>
        <w:jc w:val="both"/>
        <w:rPr>
          <w:noProof/>
        </w:rPr>
      </w:pPr>
      <w:r w:rsidRPr="00F4058E">
        <w:rPr>
          <w:noProof/>
        </w:rPr>
        <w:t>(</w:t>
      </w:r>
      <w:hyperlink r:id="rId13" w:history="1">
        <w:r w:rsidRPr="00395198">
          <w:rPr>
            <w:rStyle w:val="Lienhypertexte"/>
            <w:noProof/>
          </w:rPr>
          <w:t>https://www.economie.gouv.fr/daj/cahiers-clauses-administratives-generales-et-techniques</w:t>
        </w:r>
      </w:hyperlink>
      <w:r w:rsidRPr="00F4058E">
        <w:rPr>
          <w:noProof/>
        </w:rPr>
        <w:t>)</w:t>
      </w:r>
    </w:p>
    <w:p w14:paraId="24D1B42E" w14:textId="2E3D8627" w:rsidR="00CE7033" w:rsidRDefault="00831775" w:rsidP="00831775">
      <w:pPr>
        <w:jc w:val="both"/>
        <w:rPr>
          <w:noProof/>
        </w:rPr>
      </w:pPr>
      <w:r>
        <w:rPr>
          <w:noProof/>
        </w:rPr>
        <w:t>- le</w:t>
      </w:r>
      <w:r w:rsidR="00CE7033">
        <w:rPr>
          <w:noProof/>
        </w:rPr>
        <w:t xml:space="preserve"> </w:t>
      </w:r>
      <w:r>
        <w:rPr>
          <w:noProof/>
        </w:rPr>
        <w:t>cahier</w:t>
      </w:r>
      <w:r w:rsidR="004C6580">
        <w:rPr>
          <w:noProof/>
        </w:rPr>
        <w:t xml:space="preserve"> des </w:t>
      </w:r>
      <w:r>
        <w:rPr>
          <w:noProof/>
        </w:rPr>
        <w:t>clauses</w:t>
      </w:r>
      <w:r w:rsidR="00CE7033">
        <w:rPr>
          <w:noProof/>
        </w:rPr>
        <w:t xml:space="preserve"> </w:t>
      </w:r>
      <w:r w:rsidR="00F10D11">
        <w:rPr>
          <w:noProof/>
        </w:rPr>
        <w:t xml:space="preserve">techniques </w:t>
      </w:r>
      <w:r w:rsidR="00CE7033">
        <w:rPr>
          <w:noProof/>
        </w:rPr>
        <w:t>particulières (C</w:t>
      </w:r>
      <w:r w:rsidR="004C6580">
        <w:rPr>
          <w:noProof/>
        </w:rPr>
        <w:t>C</w:t>
      </w:r>
      <w:r w:rsidR="00F10D11">
        <w:rPr>
          <w:noProof/>
        </w:rPr>
        <w:t>T</w:t>
      </w:r>
      <w:r w:rsidR="00CE7033">
        <w:rPr>
          <w:noProof/>
        </w:rPr>
        <w:t>P) afférentes au présent marché</w:t>
      </w:r>
      <w:r w:rsidR="005D1A14">
        <w:rPr>
          <w:noProof/>
        </w:rPr>
        <w:t xml:space="preserve"> et </w:t>
      </w:r>
      <w:r w:rsidR="00F044E4" w:rsidRPr="00432A01">
        <w:rPr>
          <w:noProof/>
        </w:rPr>
        <w:t xml:space="preserve">son </w:t>
      </w:r>
      <w:r w:rsidR="00F044E4" w:rsidRPr="00222F05">
        <w:rPr>
          <w:noProof/>
        </w:rPr>
        <w:t>annexe 1</w:t>
      </w:r>
      <w:r w:rsidR="00222F05" w:rsidRPr="00222F05">
        <w:rPr>
          <w:noProof/>
        </w:rPr>
        <w:t xml:space="preserve"> (</w:t>
      </w:r>
      <w:r w:rsidR="00432A01" w:rsidRPr="00222F05">
        <w:rPr>
          <w:noProof/>
        </w:rPr>
        <w:t>Avis technique</w:t>
      </w:r>
      <w:r w:rsidR="00222F05">
        <w:rPr>
          <w:noProof/>
        </w:rPr>
        <w:t>)</w:t>
      </w:r>
      <w:r w:rsidR="00432A01" w:rsidRPr="00222F05">
        <w:rPr>
          <w:noProof/>
        </w:rPr>
        <w:t>.</w:t>
      </w:r>
      <w:r w:rsidR="00F044E4">
        <w:rPr>
          <w:noProof/>
        </w:rPr>
        <w:t xml:space="preserve"> </w:t>
      </w:r>
    </w:p>
    <w:p w14:paraId="068CF3BF" w14:textId="77777777" w:rsidR="00CD3BE5" w:rsidRDefault="00A15A56" w:rsidP="00F4058E">
      <w:pPr>
        <w:jc w:val="both"/>
      </w:pPr>
      <w:r>
        <w:rPr>
          <w:noProof/>
        </w:rPr>
        <w:t xml:space="preserve">- </w:t>
      </w:r>
      <w:r>
        <w:t xml:space="preserve">L’offre technique du titulaire composé </w:t>
      </w:r>
      <w:r w:rsidR="00CD3BE5">
        <w:t>des documents contractuels énumérés ci-dessous par ordre décroissante de priorité</w:t>
      </w:r>
    </w:p>
    <w:p w14:paraId="70933DF3" w14:textId="296CD8C8" w:rsidR="00A15A56" w:rsidRDefault="00CD3BE5" w:rsidP="00CD3BE5">
      <w:pPr>
        <w:pStyle w:val="Paragraphedeliste"/>
        <w:numPr>
          <w:ilvl w:val="0"/>
          <w:numId w:val="18"/>
        </w:numPr>
        <w:ind w:left="567"/>
        <w:jc w:val="both"/>
      </w:pPr>
      <w:proofErr w:type="gramStart"/>
      <w:r>
        <w:t>le</w:t>
      </w:r>
      <w:proofErr w:type="gramEnd"/>
      <w:r w:rsidR="00A15A56">
        <w:t xml:space="preserve"> cadre de réponse technique (CRT) </w:t>
      </w:r>
      <w:r>
        <w:t>dûment complété</w:t>
      </w:r>
      <w:r w:rsidR="00A15A56">
        <w:t xml:space="preserve"> et ses éventuelles annexes.</w:t>
      </w:r>
    </w:p>
    <w:p w14:paraId="4FC52C73" w14:textId="007C0A06" w:rsidR="00CD3BE5" w:rsidRDefault="00CD3BE5" w:rsidP="00CD3BE5">
      <w:pPr>
        <w:pStyle w:val="Paragraphedeliste"/>
        <w:numPr>
          <w:ilvl w:val="0"/>
          <w:numId w:val="18"/>
        </w:numPr>
        <w:ind w:left="567"/>
        <w:jc w:val="both"/>
        <w:rPr>
          <w:noProof/>
        </w:rPr>
      </w:pPr>
      <w:r>
        <w:rPr>
          <w:noProof/>
        </w:rPr>
        <w:t>le mémoire technique des éléments relatifs aux exigences du CCTP.</w:t>
      </w:r>
    </w:p>
    <w:p w14:paraId="7E9E3B35" w14:textId="77777777" w:rsidR="00CE7033" w:rsidRDefault="00CE7033" w:rsidP="00CE7033">
      <w:pPr>
        <w:rPr>
          <w:noProof/>
        </w:rPr>
      </w:pPr>
    </w:p>
    <w:p w14:paraId="17525DFD" w14:textId="0CAF1CBE" w:rsidR="00CE7033" w:rsidRDefault="00CE7033" w:rsidP="00135CE2">
      <w:pPr>
        <w:jc w:val="both"/>
        <w:rPr>
          <w:noProof/>
        </w:rPr>
      </w:pPr>
      <w:r>
        <w:rPr>
          <w:noProof/>
        </w:rPr>
        <w:t>Toute clause portée dans la proposition du titulaire et contr</w:t>
      </w:r>
      <w:r w:rsidR="0057237A">
        <w:rPr>
          <w:noProof/>
        </w:rPr>
        <w:t>aire aux dispositions des</w:t>
      </w:r>
      <w:r>
        <w:rPr>
          <w:noProof/>
        </w:rPr>
        <w:t xml:space="preserve"> pièces du marché est réputée non écrite. </w:t>
      </w:r>
    </w:p>
    <w:p w14:paraId="4DEC5E98" w14:textId="77777777" w:rsidR="00C1657D" w:rsidRDefault="00C1657D" w:rsidP="00CE7033">
      <w:pPr>
        <w:rPr>
          <w:noProof/>
        </w:rPr>
      </w:pPr>
    </w:p>
    <w:p w14:paraId="7FF5C315" w14:textId="0FA5E622" w:rsidR="004C0A44" w:rsidRDefault="00C1657D" w:rsidP="00B72876">
      <w:pPr>
        <w:jc w:val="both"/>
        <w:rPr>
          <w:noProof/>
        </w:rPr>
      </w:pPr>
      <w:r w:rsidRPr="00C1657D">
        <w:rPr>
          <w:noProof/>
        </w:rPr>
        <w:t>Par déroga</w:t>
      </w:r>
      <w:r>
        <w:rPr>
          <w:noProof/>
        </w:rPr>
        <w:t>tion à l’article 4.2</w:t>
      </w:r>
      <w:r w:rsidRPr="00C1657D">
        <w:rPr>
          <w:noProof/>
        </w:rPr>
        <w:t xml:space="preserve"> du CCAG/</w:t>
      </w:r>
      <w:r w:rsidR="008E1258">
        <w:rPr>
          <w:noProof/>
        </w:rPr>
        <w:t>T</w:t>
      </w:r>
      <w:r w:rsidR="00A27B52">
        <w:rPr>
          <w:noProof/>
        </w:rPr>
        <w:t>ravaux</w:t>
      </w:r>
      <w:r w:rsidRPr="00C1657D">
        <w:rPr>
          <w:noProof/>
        </w:rPr>
        <w:t xml:space="preserve">, </w:t>
      </w:r>
      <w:r w:rsidR="008C67AD">
        <w:rPr>
          <w:noProof/>
        </w:rPr>
        <w:t>l</w:t>
      </w:r>
      <w:r w:rsidR="008C67AD" w:rsidRPr="002A4F2D">
        <w:rPr>
          <w:noProof/>
        </w:rPr>
        <w:t>a notification du marché consiste en la remise</w:t>
      </w:r>
      <w:r w:rsidR="008C67AD" w:rsidRPr="00C1657D">
        <w:rPr>
          <w:noProof/>
        </w:rPr>
        <w:t xml:space="preserve">, sans frais, au titulaire d’une copie du présent document signé par </w:t>
      </w:r>
      <w:r w:rsidR="008C67AD">
        <w:rPr>
          <w:noProof/>
        </w:rPr>
        <w:t>l’acheteur</w:t>
      </w:r>
      <w:r w:rsidR="00225820">
        <w:rPr>
          <w:noProof/>
        </w:rPr>
        <w:t xml:space="preserve"> (en cas de signature manuscrite ou l’original en cas de signature électronique)</w:t>
      </w:r>
      <w:r w:rsidR="008C67AD" w:rsidRPr="00C1657D">
        <w:rPr>
          <w:noProof/>
        </w:rPr>
        <w:t xml:space="preserve">. Cette remise </w:t>
      </w:r>
      <w:r w:rsidR="008C67AD">
        <w:rPr>
          <w:noProof/>
        </w:rPr>
        <w:t>est opérée par</w:t>
      </w:r>
      <w:r w:rsidR="008C67AD" w:rsidRPr="00EF3EEF">
        <w:rPr>
          <w:noProof/>
        </w:rPr>
        <w:t xml:space="preserve"> voie dématérialisée </w:t>
      </w:r>
      <w:r w:rsidR="008C67AD">
        <w:rPr>
          <w:noProof/>
        </w:rPr>
        <w:t>via le profil acheteur P</w:t>
      </w:r>
      <w:r w:rsidR="00225820">
        <w:rPr>
          <w:noProof/>
        </w:rPr>
        <w:t>LACE</w:t>
      </w:r>
      <w:r w:rsidRPr="00C1657D">
        <w:rPr>
          <w:noProof/>
        </w:rPr>
        <w:t xml:space="preserve">. </w:t>
      </w:r>
    </w:p>
    <w:p w14:paraId="6A7A50D5" w14:textId="717BFB34" w:rsidR="00712BB7" w:rsidRDefault="00712BB7" w:rsidP="00B72876">
      <w:pPr>
        <w:jc w:val="both"/>
        <w:rPr>
          <w:noProof/>
        </w:rPr>
      </w:pPr>
    </w:p>
    <w:p w14:paraId="124A02FA" w14:textId="77777777" w:rsidR="004C50FD" w:rsidRDefault="004C0A44" w:rsidP="00CC1B2D">
      <w:pPr>
        <w:pStyle w:val="Titre1"/>
      </w:pPr>
      <w:r>
        <w:t>3</w:t>
      </w:r>
      <w:r w:rsidRPr="004B4849">
        <w:t xml:space="preserve">) </w:t>
      </w:r>
      <w:r w:rsidR="004C50FD">
        <w:t>FORME DU MARCHE</w:t>
      </w:r>
    </w:p>
    <w:p w14:paraId="70111C04" w14:textId="7C76CD8E" w:rsidR="004C50FD" w:rsidRPr="00E35354" w:rsidRDefault="00F512AF" w:rsidP="004C50FD">
      <w:r>
        <w:t>I</w:t>
      </w:r>
      <w:r w:rsidR="004C50FD">
        <w:t xml:space="preserve">l s’agit d’un </w:t>
      </w:r>
      <w:r w:rsidR="004C50FD" w:rsidRPr="00E35354">
        <w:t xml:space="preserve">marché </w:t>
      </w:r>
      <w:r w:rsidR="0095094D" w:rsidRPr="00E35354">
        <w:t xml:space="preserve">forfaitaire </w:t>
      </w:r>
      <w:r w:rsidR="004C50FD" w:rsidRPr="00E35354">
        <w:t>de travaux</w:t>
      </w:r>
      <w:r w:rsidR="001362F0">
        <w:t>.</w:t>
      </w:r>
    </w:p>
    <w:p w14:paraId="5B6CAE47" w14:textId="5BE390B9" w:rsidR="004C0A44" w:rsidRPr="00E35354" w:rsidRDefault="004C50FD" w:rsidP="00CC1B2D">
      <w:pPr>
        <w:pStyle w:val="Titre1"/>
      </w:pPr>
      <w:r w:rsidRPr="00E35354">
        <w:t>4)</w:t>
      </w:r>
      <w:r w:rsidR="001E5FC5" w:rsidRPr="00E35354">
        <w:t xml:space="preserve"> </w:t>
      </w:r>
      <w:r w:rsidR="004C0A44" w:rsidRPr="00E35354">
        <w:t xml:space="preserve">DURÉE GLOBALE </w:t>
      </w:r>
    </w:p>
    <w:p w14:paraId="46B297C4" w14:textId="39838562" w:rsidR="008E1258" w:rsidRPr="00E35354" w:rsidRDefault="004C0A44" w:rsidP="005C567A">
      <w:pPr>
        <w:jc w:val="both"/>
        <w:rPr>
          <w:i/>
        </w:rPr>
      </w:pPr>
      <w:r w:rsidRPr="00E35354">
        <w:t>Le marché prend effet à compter de sa date de notification pour s’achever</w:t>
      </w:r>
      <w:r w:rsidRPr="00E35354">
        <w:rPr>
          <w:vertAlign w:val="superscript"/>
        </w:rPr>
        <w:t xml:space="preserve"> </w:t>
      </w:r>
      <w:r w:rsidRPr="00E35354">
        <w:t xml:space="preserve">à la fin de </w:t>
      </w:r>
      <w:r w:rsidR="00225820">
        <w:t xml:space="preserve">la </w:t>
      </w:r>
      <w:r w:rsidR="0076393D" w:rsidRPr="00E35354">
        <w:t xml:space="preserve">garantie de parfait </w:t>
      </w:r>
      <w:r w:rsidR="005C7CE0" w:rsidRPr="00E35354">
        <w:t>achèvement</w:t>
      </w:r>
      <w:r w:rsidR="00B10CC5">
        <w:t>.</w:t>
      </w:r>
      <w:r w:rsidR="005D1A14">
        <w:rPr>
          <w:i/>
        </w:rPr>
        <w:t xml:space="preserve"> </w:t>
      </w:r>
    </w:p>
    <w:p w14:paraId="3416EB13" w14:textId="77777777" w:rsidR="00261B4B" w:rsidRPr="00261B4B" w:rsidRDefault="004C0A44" w:rsidP="00CC1B2D">
      <w:pPr>
        <w:pStyle w:val="Titre1"/>
      </w:pPr>
      <w:r w:rsidRPr="004B4849">
        <w:t xml:space="preserve">5) MODALITES D’EXECUTION </w:t>
      </w:r>
    </w:p>
    <w:p w14:paraId="7FDE3143" w14:textId="77777777" w:rsidR="00225820" w:rsidRDefault="00215A4B" w:rsidP="005C567A">
      <w:pPr>
        <w:jc w:val="both"/>
        <w:rPr>
          <w:noProof/>
        </w:rPr>
      </w:pPr>
      <w:r w:rsidRPr="001362F0">
        <w:t>Le</w:t>
      </w:r>
      <w:r w:rsidR="001362F0" w:rsidRPr="001362F0">
        <w:t xml:space="preserve"> </w:t>
      </w:r>
      <w:r w:rsidRPr="001362F0">
        <w:t>délai</w:t>
      </w:r>
      <w:r w:rsidR="005877D4">
        <w:t xml:space="preserve"> d'exécution du </w:t>
      </w:r>
      <w:r w:rsidR="005877D4" w:rsidRPr="00CC1B2D">
        <w:t xml:space="preserve">marché comprend la période de préparation et </w:t>
      </w:r>
      <w:r w:rsidRPr="00CC1B2D">
        <w:t>la durée</w:t>
      </w:r>
      <w:r w:rsidR="005877D4" w:rsidRPr="00CC1B2D">
        <w:t xml:space="preserve"> d'exécution des travaux. Le délai d'exécution des travaux est celui imparti pour</w:t>
      </w:r>
      <w:r w:rsidR="005877D4">
        <w:t xml:space="preserve"> la réalisation des travaux incombant au titulaire, y compris le repliement des installations de chantier et la remise en</w:t>
      </w:r>
      <w:r w:rsidR="00261B4B">
        <w:t xml:space="preserve"> état des terrains et des lieux</w:t>
      </w:r>
      <w:r w:rsidR="005877D4">
        <w:t>.</w:t>
      </w:r>
      <w:r w:rsidR="00225820" w:rsidRPr="00225820">
        <w:rPr>
          <w:noProof/>
        </w:rPr>
        <w:t xml:space="preserve"> </w:t>
      </w:r>
    </w:p>
    <w:p w14:paraId="6E44F4E4" w14:textId="4393F7D0" w:rsidR="005877D4" w:rsidRDefault="00225820" w:rsidP="005C567A">
      <w:pPr>
        <w:jc w:val="both"/>
        <w:rPr>
          <w:noProof/>
        </w:rPr>
      </w:pPr>
      <w:r w:rsidRPr="00323FFB">
        <w:rPr>
          <w:b/>
          <w:noProof/>
        </w:rPr>
        <w:t xml:space="preserve">Ce délai ne pourra </w:t>
      </w:r>
      <w:r w:rsidRPr="00C81E25">
        <w:rPr>
          <w:b/>
          <w:noProof/>
        </w:rPr>
        <w:t xml:space="preserve">pas exéder </w:t>
      </w:r>
      <w:r w:rsidR="00864F5C" w:rsidRPr="00C81E25">
        <w:rPr>
          <w:b/>
          <w:noProof/>
        </w:rPr>
        <w:t>12 semaines</w:t>
      </w:r>
      <w:bookmarkStart w:id="1" w:name="_GoBack"/>
      <w:bookmarkEnd w:id="1"/>
      <w:r w:rsidR="00A44E05" w:rsidRPr="00A44E05">
        <w:rPr>
          <w:b/>
          <w:noProof/>
        </w:rPr>
        <w:t xml:space="preserve"> à</w:t>
      </w:r>
      <w:r w:rsidR="00A44E05" w:rsidRPr="00A44E05">
        <w:rPr>
          <w:noProof/>
        </w:rPr>
        <w:t xml:space="preserve"> compter de </w:t>
      </w:r>
      <w:r>
        <w:rPr>
          <w:noProof/>
        </w:rPr>
        <w:t>la notification du marché au titulaire.</w:t>
      </w:r>
    </w:p>
    <w:p w14:paraId="62AB9CC6" w14:textId="77777777" w:rsidR="00225820" w:rsidRDefault="00225820" w:rsidP="005C567A">
      <w:pPr>
        <w:jc w:val="both"/>
      </w:pPr>
    </w:p>
    <w:p w14:paraId="6673C97C" w14:textId="1507FC2C" w:rsidR="00E37881" w:rsidRPr="00E37881" w:rsidRDefault="00215A4B" w:rsidP="001362F0">
      <w:pPr>
        <w:jc w:val="both"/>
      </w:pPr>
      <w:r>
        <w:t>Dans le silence du CC</w:t>
      </w:r>
      <w:r w:rsidR="001362F0">
        <w:t>T</w:t>
      </w:r>
      <w:r>
        <w:t>P</w:t>
      </w:r>
      <w:r w:rsidR="00E37881" w:rsidRPr="00E37881">
        <w:t xml:space="preserve">, le titulaire </w:t>
      </w:r>
      <w:r>
        <w:t xml:space="preserve">doit </w:t>
      </w:r>
      <w:r w:rsidR="00E37881" w:rsidRPr="00E37881">
        <w:t>se conforme</w:t>
      </w:r>
      <w:r>
        <w:t>r</w:t>
      </w:r>
      <w:r w:rsidRPr="00215A4B">
        <w:t xml:space="preserve"> </w:t>
      </w:r>
      <w:r>
        <w:t>à</w:t>
      </w:r>
      <w:r w:rsidRPr="00215A4B">
        <w:t xml:space="preserve"> minima</w:t>
      </w:r>
      <w:r w:rsidR="00E37881" w:rsidRPr="00E37881">
        <w:t xml:space="preserve"> </w:t>
      </w:r>
      <w:r w:rsidR="001859E1">
        <w:t>aux articles</w:t>
      </w:r>
      <w:r w:rsidR="00E37881" w:rsidRPr="00E37881">
        <w:t xml:space="preserve"> 31 </w:t>
      </w:r>
      <w:r w:rsidR="00B50E32">
        <w:t>à</w:t>
      </w:r>
      <w:r w:rsidR="00E37881" w:rsidRPr="00E37881">
        <w:t xml:space="preserve"> 36 du CCAG travaux pour l’installation, </w:t>
      </w:r>
      <w:r>
        <w:t>l’</w:t>
      </w:r>
      <w:r w:rsidR="00E37881" w:rsidRPr="00E37881">
        <w:t xml:space="preserve">organisation, </w:t>
      </w:r>
      <w:r>
        <w:t xml:space="preserve">la </w:t>
      </w:r>
      <w:r w:rsidR="00E37881" w:rsidRPr="00E37881">
        <w:t xml:space="preserve">sécurité et </w:t>
      </w:r>
      <w:r>
        <w:t>l’</w:t>
      </w:r>
      <w:r w:rsidR="00E37881" w:rsidRPr="00E37881">
        <w:t>hygiène du chantier</w:t>
      </w:r>
      <w:r w:rsidR="00D8657A">
        <w:t>.</w:t>
      </w:r>
    </w:p>
    <w:p w14:paraId="04B66C93" w14:textId="77777777" w:rsidR="00225820" w:rsidRDefault="00225820" w:rsidP="00B5316D">
      <w:pPr>
        <w:pStyle w:val="Paragraphedeliste"/>
        <w:ind w:left="0"/>
        <w:rPr>
          <w:noProof/>
        </w:rPr>
      </w:pPr>
    </w:p>
    <w:p w14:paraId="56D25704" w14:textId="501C7E73" w:rsidR="003C799D" w:rsidRPr="00B5316D" w:rsidRDefault="00225820" w:rsidP="00225820">
      <w:pPr>
        <w:pStyle w:val="Paragraphedeliste"/>
        <w:ind w:left="0"/>
        <w:jc w:val="both"/>
      </w:pPr>
      <w:r>
        <w:t>Conformément à l’article 29 du CCAG/travaux, le titulaire établit, d'après les documents particuliers du marché, notamment d'après les éléments de définition du projet, les documents nécessaires à la réalisation des ouvrages, tels que les plans d'exécution, notes de calculs et études de détail</w:t>
      </w:r>
      <w:r w:rsidR="00A44E05">
        <w:t xml:space="preserve"> comme précisé </w:t>
      </w:r>
      <w:r w:rsidR="00A44E05" w:rsidRPr="00864F5C">
        <w:t xml:space="preserve">à l’article </w:t>
      </w:r>
      <w:r w:rsidR="00222F05" w:rsidRPr="00864F5C">
        <w:t>6</w:t>
      </w:r>
      <w:r w:rsidR="00A44E05" w:rsidRPr="00864F5C">
        <w:t xml:space="preserve"> du CCTP</w:t>
      </w:r>
      <w:r w:rsidR="00222F05" w:rsidRPr="00864F5C">
        <w:t xml:space="preserve"> et dans l’annexe 1</w:t>
      </w:r>
      <w:r w:rsidR="00E248B9" w:rsidRPr="00864F5C">
        <w:t>.</w:t>
      </w:r>
    </w:p>
    <w:p w14:paraId="0DA0A16D" w14:textId="77777777" w:rsidR="004C0A44" w:rsidRPr="00CE7033" w:rsidRDefault="004C0A44" w:rsidP="00225820">
      <w:pPr>
        <w:jc w:val="both"/>
        <w:rPr>
          <w:noProof/>
        </w:rPr>
      </w:pPr>
    </w:p>
    <w:p w14:paraId="665D859F" w14:textId="06C13109" w:rsidR="004C0A44" w:rsidRDefault="004C0A44" w:rsidP="00225820">
      <w:pPr>
        <w:jc w:val="both"/>
        <w:rPr>
          <w:noProof/>
        </w:rPr>
      </w:pPr>
      <w:r w:rsidRPr="00CE7033">
        <w:rPr>
          <w:noProof/>
        </w:rPr>
        <w:t xml:space="preserve">Le titulaire est responsable de tous les dommages matériels et/ou corporels du fait de l’exécution des </w:t>
      </w:r>
      <w:r w:rsidR="00827B70">
        <w:rPr>
          <w:noProof/>
        </w:rPr>
        <w:t>travaux</w:t>
      </w:r>
      <w:r w:rsidRPr="00CE7033">
        <w:rPr>
          <w:noProof/>
        </w:rPr>
        <w:t xml:space="preserve"> objet du marché.</w:t>
      </w:r>
    </w:p>
    <w:p w14:paraId="2CDC195A" w14:textId="4B580AF9" w:rsidR="006143FC" w:rsidRDefault="00247492" w:rsidP="00CC1B2D">
      <w:pPr>
        <w:pStyle w:val="Titre1"/>
      </w:pPr>
      <w:r>
        <w:t>6</w:t>
      </w:r>
      <w:r w:rsidR="006143FC" w:rsidRPr="004B4849">
        <w:t xml:space="preserve">) </w:t>
      </w:r>
      <w:r w:rsidR="00597814">
        <w:t>PR</w:t>
      </w:r>
      <w:r w:rsidR="00C22015" w:rsidRPr="004B4849">
        <w:t>IX</w:t>
      </w:r>
      <w:r w:rsidR="006143FC" w:rsidRPr="004B4849">
        <w:t xml:space="preserve"> DU MARCHÉ</w:t>
      </w:r>
    </w:p>
    <w:p w14:paraId="0BA9C3FC" w14:textId="77777777" w:rsidR="00A15A56" w:rsidRPr="00A15A56" w:rsidRDefault="00A15A56" w:rsidP="00A15A56"/>
    <w:p w14:paraId="12C55D73" w14:textId="77777777" w:rsidR="0013480E" w:rsidRPr="002B0913" w:rsidRDefault="006A05A6" w:rsidP="006A05A6">
      <w:pPr>
        <w:tabs>
          <w:tab w:val="left" w:pos="284"/>
        </w:tabs>
        <w:jc w:val="both"/>
        <w:rPr>
          <w:b/>
          <w:bCs/>
        </w:rPr>
      </w:pPr>
      <w:r>
        <w:rPr>
          <w:b/>
          <w:bCs/>
        </w:rPr>
        <w:tab/>
      </w:r>
      <w:r w:rsidR="009254FE" w:rsidRPr="004B4849">
        <w:rPr>
          <w:b/>
          <w:bCs/>
        </w:rPr>
        <w:t>A)</w:t>
      </w:r>
      <w:r w:rsidR="002B0913">
        <w:rPr>
          <w:b/>
          <w:bCs/>
        </w:rPr>
        <w:t xml:space="preserve"> </w:t>
      </w:r>
      <w:r w:rsidR="0013480E" w:rsidRPr="0013480E">
        <w:rPr>
          <w:bCs/>
        </w:rPr>
        <w:t xml:space="preserve">Conformément à l’article 10 du CCAG travaux, </w:t>
      </w:r>
      <w:r w:rsidR="0013480E">
        <w:rPr>
          <w:bCs/>
        </w:rPr>
        <w:t>l</w:t>
      </w:r>
      <w:r w:rsidR="0013480E" w:rsidRPr="0013480E">
        <w:rPr>
          <w:bCs/>
        </w:rPr>
        <w:t>es prix sont réputés comprendre toutes les dépenses résultant de l'exécution des travaux, y compris les frais généraux, impôts et taxes, et assurer au titulaire une marge pour risques et bénéfice. Toutefois, les prix sont indiqués dans le marché hors taxe à la valeur ajoutée (TVA).</w:t>
      </w:r>
      <w:r w:rsidR="0013480E" w:rsidRPr="0013480E">
        <w:t xml:space="preserve"> </w:t>
      </w:r>
      <w:r w:rsidR="0013480E" w:rsidRPr="0013480E">
        <w:rPr>
          <w:bCs/>
        </w:rPr>
        <w:t>Les prix sont réputés avoir été établis en considérant qu'aucune prestation</w:t>
      </w:r>
      <w:r w:rsidR="00713920">
        <w:rPr>
          <w:bCs/>
        </w:rPr>
        <w:t xml:space="preserve"> ou travaux</w:t>
      </w:r>
      <w:r w:rsidR="0013480E" w:rsidRPr="0013480E">
        <w:rPr>
          <w:bCs/>
        </w:rPr>
        <w:t xml:space="preserve"> n'est à fournir par le maître de l'ouvrage.</w:t>
      </w:r>
    </w:p>
    <w:p w14:paraId="389ED0C1" w14:textId="77777777" w:rsidR="00FC791C" w:rsidRDefault="00FC791C" w:rsidP="006A05A6">
      <w:pPr>
        <w:tabs>
          <w:tab w:val="left" w:pos="284"/>
        </w:tabs>
        <w:jc w:val="both"/>
        <w:rPr>
          <w:bCs/>
        </w:rPr>
      </w:pPr>
    </w:p>
    <w:p w14:paraId="3FBB5CFF" w14:textId="1CE703E9" w:rsidR="00FC791C" w:rsidRDefault="00FC791C" w:rsidP="00EF123E">
      <w:pPr>
        <w:tabs>
          <w:tab w:val="left" w:pos="284"/>
        </w:tabs>
        <w:ind w:right="-142"/>
        <w:jc w:val="both"/>
        <w:rPr>
          <w:bCs/>
        </w:rPr>
      </w:pPr>
      <w:r w:rsidRPr="00FC791C">
        <w:rPr>
          <w:bCs/>
        </w:rPr>
        <w:t xml:space="preserve">Les prix comprennent toutes les prescriptions, garanties, sujétions et obligations résultant </w:t>
      </w:r>
      <w:r w:rsidR="00307311">
        <w:rPr>
          <w:bCs/>
        </w:rPr>
        <w:t>du marché</w:t>
      </w:r>
      <w:r w:rsidRPr="00FC791C">
        <w:rPr>
          <w:bCs/>
          <w:color w:val="FF0000"/>
        </w:rPr>
        <w:t xml:space="preserve"> </w:t>
      </w:r>
      <w:r w:rsidRPr="00FC791C">
        <w:rPr>
          <w:bCs/>
        </w:rPr>
        <w:t>de toutes les charges et aléas pouvant résulter de l’exécution des travaux notamment</w:t>
      </w:r>
      <w:r w:rsidR="00EF123E">
        <w:rPr>
          <w:bCs/>
        </w:rPr>
        <w:t xml:space="preserve"> </w:t>
      </w:r>
      <w:r w:rsidRPr="00FC791C">
        <w:rPr>
          <w:bCs/>
        </w:rPr>
        <w:t xml:space="preserve">: </w:t>
      </w:r>
    </w:p>
    <w:p w14:paraId="0B65B3FB" w14:textId="77777777" w:rsidR="00EF123E" w:rsidRPr="00FC791C" w:rsidRDefault="00EF123E" w:rsidP="00EF123E">
      <w:pPr>
        <w:tabs>
          <w:tab w:val="left" w:pos="284"/>
        </w:tabs>
        <w:ind w:right="-142"/>
        <w:jc w:val="both"/>
        <w:rPr>
          <w:bCs/>
        </w:rPr>
      </w:pPr>
    </w:p>
    <w:p w14:paraId="4AC7DB48" w14:textId="7D274661" w:rsidR="00A15A56" w:rsidRPr="00A15A56" w:rsidRDefault="00692DD7" w:rsidP="00A15A56">
      <w:pPr>
        <w:tabs>
          <w:tab w:val="left" w:pos="284"/>
        </w:tabs>
        <w:ind w:right="-142"/>
        <w:jc w:val="both"/>
        <w:rPr>
          <w:bCs/>
        </w:rPr>
      </w:pPr>
      <w:r>
        <w:rPr>
          <w:bCs/>
        </w:rPr>
        <w:t xml:space="preserve">- </w:t>
      </w:r>
      <w:r w:rsidR="00A15A56" w:rsidRPr="00A15A56">
        <w:rPr>
          <w:bCs/>
        </w:rPr>
        <w:t xml:space="preserve">les éléments indiqués dans le CCTP ; </w:t>
      </w:r>
    </w:p>
    <w:p w14:paraId="70343072" w14:textId="77777777" w:rsidR="00A15A56" w:rsidRPr="00A15A56" w:rsidRDefault="00A15A56" w:rsidP="00A15A56">
      <w:pPr>
        <w:tabs>
          <w:tab w:val="left" w:pos="284"/>
        </w:tabs>
        <w:ind w:right="-142"/>
        <w:jc w:val="both"/>
        <w:rPr>
          <w:bCs/>
        </w:rPr>
      </w:pPr>
      <w:r w:rsidRPr="00A15A56">
        <w:rPr>
          <w:bCs/>
        </w:rPr>
        <w:t xml:space="preserve">- toutes les charges fiscales, parafiscales ou autres frappant obligatoirement les travaux ; </w:t>
      </w:r>
    </w:p>
    <w:p w14:paraId="1D3376B5" w14:textId="19364F7F" w:rsidR="00A15A56" w:rsidRPr="00A15A56" w:rsidRDefault="00A15A56" w:rsidP="00A15A56">
      <w:pPr>
        <w:tabs>
          <w:tab w:val="left" w:pos="284"/>
        </w:tabs>
        <w:ind w:right="-142"/>
        <w:jc w:val="both"/>
        <w:rPr>
          <w:bCs/>
        </w:rPr>
      </w:pPr>
      <w:r w:rsidRPr="00A15A56">
        <w:rPr>
          <w:bCs/>
        </w:rPr>
        <w:t>- l’assurance ;</w:t>
      </w:r>
    </w:p>
    <w:p w14:paraId="5A5DC9CE" w14:textId="77777777" w:rsidR="00A15A56" w:rsidRPr="00A15A56" w:rsidRDefault="00A15A56" w:rsidP="00A15A56">
      <w:pPr>
        <w:tabs>
          <w:tab w:val="left" w:pos="284"/>
        </w:tabs>
        <w:ind w:right="-142"/>
        <w:jc w:val="both"/>
        <w:rPr>
          <w:bCs/>
        </w:rPr>
      </w:pPr>
      <w:r w:rsidRPr="00A15A56">
        <w:rPr>
          <w:bCs/>
        </w:rPr>
        <w:t xml:space="preserve">- les frais de réalisation et d’envoi des documentations techniques; </w:t>
      </w:r>
    </w:p>
    <w:p w14:paraId="5B13CBAF" w14:textId="77777777" w:rsidR="00A15A56" w:rsidRPr="00A15A56" w:rsidRDefault="00A15A56" w:rsidP="00A15A56">
      <w:pPr>
        <w:tabs>
          <w:tab w:val="left" w:pos="284"/>
        </w:tabs>
        <w:ind w:right="-142"/>
        <w:jc w:val="both"/>
        <w:rPr>
          <w:bCs/>
        </w:rPr>
      </w:pPr>
      <w:r w:rsidRPr="00A15A56">
        <w:rPr>
          <w:bCs/>
        </w:rPr>
        <w:t xml:space="preserve">- Les dégâts causés aux voies publiques dont la réparation est à la charge du titulaire responsable </w:t>
      </w:r>
    </w:p>
    <w:p w14:paraId="2179EF56" w14:textId="77777777" w:rsidR="00A15A56" w:rsidRPr="00A15A56" w:rsidRDefault="00A15A56" w:rsidP="00A15A56">
      <w:pPr>
        <w:tabs>
          <w:tab w:val="left" w:pos="284"/>
        </w:tabs>
        <w:ind w:right="-142"/>
        <w:jc w:val="both"/>
        <w:rPr>
          <w:bCs/>
        </w:rPr>
      </w:pPr>
      <w:r w:rsidRPr="00A15A56">
        <w:rPr>
          <w:bCs/>
        </w:rPr>
        <w:t xml:space="preserve">- les frais de manutention, de transport et d’envoi qui naîtraient de l’ajournement ou du rejet des travaux, </w:t>
      </w:r>
    </w:p>
    <w:p w14:paraId="769E6413" w14:textId="19C7869F" w:rsidR="00287832" w:rsidRDefault="00A15A56" w:rsidP="00F62E79">
      <w:pPr>
        <w:rPr>
          <w:bCs/>
        </w:rPr>
      </w:pPr>
      <w:r w:rsidRPr="00A15A56">
        <w:rPr>
          <w:bCs/>
        </w:rPr>
        <w:t xml:space="preserve">- la garantie. </w:t>
      </w:r>
    </w:p>
    <w:p w14:paraId="16844FC4" w14:textId="6CF4C90C" w:rsidR="001362F0" w:rsidRDefault="001362F0" w:rsidP="00F62E79">
      <w:pPr>
        <w:rPr>
          <w:noProof/>
        </w:rPr>
      </w:pPr>
    </w:p>
    <w:p w14:paraId="6F05F927" w14:textId="43438A23" w:rsidR="00513FE1" w:rsidRPr="00513FE1" w:rsidRDefault="00CE7033" w:rsidP="00F62E79">
      <w:pPr>
        <w:rPr>
          <w:b/>
          <w:noProof/>
        </w:rPr>
      </w:pPr>
      <w:bookmarkStart w:id="2" w:name="_Hlk175063326"/>
      <w:r w:rsidRPr="00513FE1">
        <w:rPr>
          <w:b/>
          <w:noProof/>
        </w:rPr>
        <w:t>Le marché est traité à prix global et fo</w:t>
      </w:r>
      <w:r w:rsidR="0043618D" w:rsidRPr="00513FE1">
        <w:rPr>
          <w:b/>
          <w:noProof/>
        </w:rPr>
        <w:t>rfaitaire</w:t>
      </w:r>
      <w:r w:rsidR="00513FE1">
        <w:rPr>
          <w:b/>
          <w:noProof/>
        </w:rPr>
        <w:t xml:space="preserve"> : </w:t>
      </w:r>
    </w:p>
    <w:p w14:paraId="186C488E" w14:textId="77777777" w:rsidR="00513FE1" w:rsidRDefault="00513FE1" w:rsidP="00F62E79">
      <w:pPr>
        <w:rPr>
          <w:noProof/>
        </w:rPr>
      </w:pPr>
    </w:p>
    <w:p w14:paraId="7BB1B229" w14:textId="4B6AC80E" w:rsidR="001362F0" w:rsidRDefault="0043618D" w:rsidP="00513FE1">
      <w:pPr>
        <w:pStyle w:val="Paragraphedeliste"/>
        <w:numPr>
          <w:ilvl w:val="0"/>
          <w:numId w:val="16"/>
        </w:numPr>
        <w:ind w:left="284"/>
        <w:rPr>
          <w:noProof/>
        </w:rPr>
      </w:pPr>
      <w:r w:rsidRPr="002B0913">
        <w:rPr>
          <w:noProof/>
        </w:rPr>
        <w:t xml:space="preserve">pour </w:t>
      </w:r>
      <w:r w:rsidR="00225820">
        <w:rPr>
          <w:noProof/>
        </w:rPr>
        <w:t xml:space="preserve">l’offre de base </w:t>
      </w:r>
      <w:r w:rsidR="00513FE1">
        <w:rPr>
          <w:noProof/>
        </w:rPr>
        <w:t>d’un</w:t>
      </w:r>
      <w:r w:rsidRPr="002B0913">
        <w:rPr>
          <w:noProof/>
        </w:rPr>
        <w:t xml:space="preserve"> montant </w:t>
      </w:r>
      <w:r w:rsidR="001362F0">
        <w:rPr>
          <w:noProof/>
        </w:rPr>
        <w:t xml:space="preserve">de : </w:t>
      </w:r>
    </w:p>
    <w:p w14:paraId="35721906" w14:textId="78FE955B" w:rsidR="00CE7033" w:rsidRPr="002B0913" w:rsidRDefault="001362F0" w:rsidP="00F62E79">
      <w:pPr>
        <w:rPr>
          <w:noProof/>
        </w:rPr>
      </w:pPr>
      <w:r>
        <w:rPr>
          <w:noProof/>
        </w:rPr>
        <w:t xml:space="preserve">Montant </w:t>
      </w:r>
      <w:r w:rsidR="0043618D" w:rsidRPr="002B0913">
        <w:rPr>
          <w:noProof/>
        </w:rPr>
        <w:t xml:space="preserve">HT </w:t>
      </w:r>
      <w:r w:rsidR="00CE7033" w:rsidRPr="002B0913">
        <w:rPr>
          <w:noProof/>
        </w:rPr>
        <w:t xml:space="preserve">: </w:t>
      </w:r>
    </w:p>
    <w:p w14:paraId="7536D936" w14:textId="59B4B918" w:rsidR="00CE7033" w:rsidRPr="002B0913" w:rsidRDefault="001362F0" w:rsidP="00CE7033">
      <w:pPr>
        <w:rPr>
          <w:noProof/>
        </w:rPr>
      </w:pPr>
      <w:r>
        <w:rPr>
          <w:noProof/>
        </w:rPr>
        <w:t xml:space="preserve">Montant </w:t>
      </w:r>
      <w:r w:rsidR="00CE7033" w:rsidRPr="002B0913">
        <w:rPr>
          <w:noProof/>
        </w:rPr>
        <w:t>TVA</w:t>
      </w:r>
      <w:r w:rsidR="0043618D" w:rsidRPr="002B0913">
        <w:rPr>
          <w:noProof/>
        </w:rPr>
        <w:t xml:space="preserve"> : </w:t>
      </w:r>
    </w:p>
    <w:p w14:paraId="5437EB3F" w14:textId="052DC36F" w:rsidR="00CE7033" w:rsidRPr="002B0913" w:rsidRDefault="001362F0" w:rsidP="00CE7033">
      <w:pPr>
        <w:rPr>
          <w:noProof/>
        </w:rPr>
      </w:pPr>
      <w:r>
        <w:rPr>
          <w:noProof/>
        </w:rPr>
        <w:t xml:space="preserve">Montant </w:t>
      </w:r>
      <w:r w:rsidR="00CE7033" w:rsidRPr="002B0913">
        <w:rPr>
          <w:noProof/>
        </w:rPr>
        <w:t>T.T.C</w:t>
      </w:r>
      <w:r w:rsidR="0043618D" w:rsidRPr="002B0913">
        <w:rPr>
          <w:noProof/>
        </w:rPr>
        <w:t xml:space="preserve"> : </w:t>
      </w:r>
      <w:r w:rsidR="00CE7033" w:rsidRPr="002B0913">
        <w:rPr>
          <w:noProof/>
        </w:rPr>
        <w:t xml:space="preserve"> </w:t>
      </w:r>
    </w:p>
    <w:p w14:paraId="0048A8D5" w14:textId="3603B73D" w:rsidR="00F62E79" w:rsidRPr="002B0913" w:rsidRDefault="00FC7DE8" w:rsidP="000A3D1F">
      <w:pPr>
        <w:rPr>
          <w:noProof/>
        </w:rPr>
      </w:pPr>
      <w:r w:rsidRPr="002B0913">
        <w:rPr>
          <w:noProof/>
        </w:rPr>
        <w:t>Montant TTC arrêté en toutes lettres : ……………………………..</w:t>
      </w:r>
    </w:p>
    <w:p w14:paraId="63BC9196" w14:textId="3A6D7373" w:rsidR="00C00085" w:rsidRPr="002B0913" w:rsidRDefault="00C00085" w:rsidP="003722FB">
      <w:pPr>
        <w:jc w:val="both"/>
      </w:pPr>
    </w:p>
    <w:bookmarkEnd w:id="2"/>
    <w:p w14:paraId="4CA92B3A" w14:textId="77777777" w:rsidR="00597814" w:rsidRPr="002B0913" w:rsidRDefault="00CE7033" w:rsidP="00130179">
      <w:pPr>
        <w:ind w:firstLine="142"/>
        <w:rPr>
          <w:b/>
          <w:noProof/>
        </w:rPr>
      </w:pPr>
      <w:r w:rsidRPr="002B0913">
        <w:rPr>
          <w:b/>
          <w:noProof/>
        </w:rPr>
        <w:t>B</w:t>
      </w:r>
      <w:r w:rsidR="009540B7" w:rsidRPr="002B0913">
        <w:rPr>
          <w:b/>
          <w:noProof/>
        </w:rPr>
        <w:t xml:space="preserve">) les prix </w:t>
      </w:r>
    </w:p>
    <w:p w14:paraId="4ED16429" w14:textId="2BF12AF2" w:rsidR="00CE7033" w:rsidRPr="002B0913" w:rsidRDefault="00C25AE9" w:rsidP="001362F0">
      <w:pPr>
        <w:rPr>
          <w:b/>
          <w:noProof/>
        </w:rPr>
      </w:pPr>
      <w:r w:rsidRPr="002B0913">
        <w:rPr>
          <w:noProof/>
        </w:rPr>
        <w:t>Le</w:t>
      </w:r>
      <w:r w:rsidR="00513FE1">
        <w:rPr>
          <w:noProof/>
        </w:rPr>
        <w:t>s</w:t>
      </w:r>
      <w:r w:rsidRPr="002B0913">
        <w:rPr>
          <w:noProof/>
        </w:rPr>
        <w:t xml:space="preserve"> prix </w:t>
      </w:r>
      <w:r w:rsidR="00513FE1">
        <w:rPr>
          <w:noProof/>
        </w:rPr>
        <w:t>sont</w:t>
      </w:r>
      <w:r w:rsidRPr="002B0913">
        <w:rPr>
          <w:noProof/>
        </w:rPr>
        <w:t xml:space="preserve"> ferme</w:t>
      </w:r>
      <w:r w:rsidR="00513FE1">
        <w:rPr>
          <w:noProof/>
        </w:rPr>
        <w:t>s</w:t>
      </w:r>
      <w:r w:rsidRPr="002B0913">
        <w:rPr>
          <w:noProof/>
        </w:rPr>
        <w:t xml:space="preserve"> pendant toute la durée du marché</w:t>
      </w:r>
      <w:r w:rsidR="00CE7033" w:rsidRPr="002B0913">
        <w:rPr>
          <w:noProof/>
        </w:rPr>
        <w:t>.</w:t>
      </w:r>
    </w:p>
    <w:p w14:paraId="51FC6038" w14:textId="77777777" w:rsidR="00CE7033" w:rsidRPr="002B0913" w:rsidRDefault="00CE7033" w:rsidP="00CE7033">
      <w:pPr>
        <w:rPr>
          <w:noProof/>
        </w:rPr>
      </w:pPr>
    </w:p>
    <w:p w14:paraId="7065A835" w14:textId="77777777" w:rsidR="00FC791C" w:rsidRPr="002B0913" w:rsidRDefault="00EA3361" w:rsidP="00FC791C">
      <w:pPr>
        <w:jc w:val="both"/>
        <w:rPr>
          <w:noProof/>
        </w:rPr>
      </w:pPr>
      <w:r w:rsidRPr="002B0913">
        <w:rPr>
          <w:noProof/>
        </w:rPr>
        <w:t xml:space="preserve">La monnaie de référence </w:t>
      </w:r>
      <w:r w:rsidR="00FC791C" w:rsidRPr="002B0913">
        <w:rPr>
          <w:noProof/>
        </w:rPr>
        <w:t>est l'euro.</w:t>
      </w:r>
    </w:p>
    <w:p w14:paraId="06F2F869" w14:textId="77777777" w:rsidR="00FC791C" w:rsidRPr="002B0913" w:rsidRDefault="00FC791C" w:rsidP="00FC791C">
      <w:pPr>
        <w:jc w:val="both"/>
        <w:rPr>
          <w:noProof/>
        </w:rPr>
      </w:pPr>
      <w:r w:rsidRPr="002B0913">
        <w:rPr>
          <w:noProof/>
        </w:rPr>
        <w:t>Les montants des factures seront calculés en appliquant les taux de la T.V.A. en vigueur lors de l'établissement des pièces de mandatement.</w:t>
      </w:r>
    </w:p>
    <w:p w14:paraId="32309110" w14:textId="2E04691E" w:rsidR="00CE7033" w:rsidRDefault="00247492" w:rsidP="00CC1B2D">
      <w:pPr>
        <w:pStyle w:val="Titre1"/>
      </w:pPr>
      <w:r>
        <w:t>7</w:t>
      </w:r>
      <w:r w:rsidR="00AC2BF2" w:rsidRPr="002B0913">
        <w:t>) AVANCE</w:t>
      </w:r>
    </w:p>
    <w:p w14:paraId="16B09342" w14:textId="34BD9611" w:rsidR="00135CE2" w:rsidRDefault="00513FE1" w:rsidP="00135CE2">
      <w:pPr>
        <w:jc w:val="both"/>
        <w:rPr>
          <w:noProof/>
        </w:rPr>
      </w:pPr>
      <w:r>
        <w:rPr>
          <w:noProof/>
        </w:rPr>
        <w:t>U</w:t>
      </w:r>
      <w:r w:rsidR="00C44607" w:rsidRPr="002B0913">
        <w:rPr>
          <w:noProof/>
        </w:rPr>
        <w:t xml:space="preserve">ne avance </w:t>
      </w:r>
      <w:r w:rsidR="001362F0" w:rsidRPr="001362F0">
        <w:rPr>
          <w:noProof/>
        </w:rPr>
        <w:t xml:space="preserve">de </w:t>
      </w:r>
      <w:r w:rsidR="003175BB">
        <w:rPr>
          <w:noProof/>
        </w:rPr>
        <w:t>20</w:t>
      </w:r>
      <w:r w:rsidR="001362F0" w:rsidRPr="001362F0">
        <w:rPr>
          <w:noProof/>
        </w:rPr>
        <w:t xml:space="preserve"> %</w:t>
      </w:r>
      <w:r w:rsidR="00C44607" w:rsidRPr="001362F0">
        <w:rPr>
          <w:noProof/>
        </w:rPr>
        <w:t xml:space="preserve"> </w:t>
      </w:r>
      <w:r w:rsidR="00C44607" w:rsidRPr="002B0913">
        <w:rPr>
          <w:noProof/>
        </w:rPr>
        <w:t xml:space="preserve">du montant toutes taxes comprises du marché </w:t>
      </w:r>
      <w:r w:rsidR="00FD72FC" w:rsidRPr="002B0913">
        <w:rPr>
          <w:noProof/>
        </w:rPr>
        <w:t xml:space="preserve">est proposée </w:t>
      </w:r>
      <w:r w:rsidR="00C44607" w:rsidRPr="002B0913">
        <w:rPr>
          <w:noProof/>
        </w:rPr>
        <w:t>au titulaire si le montant du marché forfaitaire est supérieur à 50 000€HT</w:t>
      </w:r>
      <w:r w:rsidR="00135CE2" w:rsidRPr="002B0913">
        <w:rPr>
          <w:noProof/>
        </w:rPr>
        <w:t xml:space="preserve"> </w:t>
      </w:r>
      <w:r w:rsidR="00886522" w:rsidRPr="002B0913">
        <w:rPr>
          <w:noProof/>
        </w:rPr>
        <w:t>et le délai d’exécution supérieur à 2 mois conformément</w:t>
      </w:r>
      <w:r w:rsidR="00135CE2" w:rsidRPr="002B0913">
        <w:rPr>
          <w:noProof/>
        </w:rPr>
        <w:t xml:space="preserve"> </w:t>
      </w:r>
      <w:r w:rsidR="00403B4D" w:rsidRPr="002B0913">
        <w:rPr>
          <w:noProof/>
        </w:rPr>
        <w:t xml:space="preserve">à l’article R2191-3 </w:t>
      </w:r>
      <w:r w:rsidR="00135CE2" w:rsidRPr="002B0913">
        <w:rPr>
          <w:noProof/>
        </w:rPr>
        <w:t xml:space="preserve">du </w:t>
      </w:r>
      <w:r w:rsidR="00C411C2" w:rsidRPr="002B0913">
        <w:rPr>
          <w:noProof/>
        </w:rPr>
        <w:t>code de la commande publique</w:t>
      </w:r>
      <w:r w:rsidR="0041533F" w:rsidRPr="002B0913">
        <w:rPr>
          <w:noProof/>
        </w:rPr>
        <w:t>.</w:t>
      </w:r>
    </w:p>
    <w:p w14:paraId="0F0E0101" w14:textId="77777777" w:rsidR="00415F8D" w:rsidRPr="002B0913" w:rsidRDefault="00415F8D" w:rsidP="00415F8D">
      <w:pPr>
        <w:jc w:val="both"/>
        <w:rPr>
          <w:noProof/>
        </w:rPr>
      </w:pPr>
    </w:p>
    <w:p w14:paraId="2DB0D04F" w14:textId="77777777" w:rsidR="00C44607" w:rsidRPr="002B0913" w:rsidRDefault="00C44607" w:rsidP="00C44607">
      <w:pPr>
        <w:jc w:val="both"/>
        <w:rPr>
          <w:noProof/>
        </w:rPr>
      </w:pPr>
      <w:r w:rsidRPr="002B0913">
        <w:rPr>
          <w:noProof/>
        </w:rPr>
        <w:t xml:space="preserve">Le titulaire : </w:t>
      </w:r>
    </w:p>
    <w:p w14:paraId="733430A7" w14:textId="77777777" w:rsidR="00C44607" w:rsidRPr="002B0913" w:rsidRDefault="00C44607" w:rsidP="00C44607">
      <w:pPr>
        <w:ind w:firstLine="709"/>
        <w:jc w:val="both"/>
        <w:rPr>
          <w:noProof/>
        </w:rPr>
      </w:pPr>
      <w:r w:rsidRPr="002B0913">
        <w:rPr>
          <w:noProof/>
        </w:rPr>
        <w:fldChar w:fldCharType="begin">
          <w:ffData>
            <w:name w:val="CaseACocher11"/>
            <w:enabled/>
            <w:calcOnExit w:val="0"/>
            <w:checkBox>
              <w:sizeAuto/>
              <w:default w:val="0"/>
            </w:checkBox>
          </w:ffData>
        </w:fldChar>
      </w:r>
      <w:r w:rsidRPr="002B0913">
        <w:rPr>
          <w:noProof/>
        </w:rPr>
        <w:instrText xml:space="preserve"> FORMCHECKBOX </w:instrText>
      </w:r>
      <w:r w:rsidR="00C81E25">
        <w:rPr>
          <w:noProof/>
        </w:rPr>
      </w:r>
      <w:r w:rsidR="00C81E25">
        <w:rPr>
          <w:noProof/>
        </w:rPr>
        <w:fldChar w:fldCharType="separate"/>
      </w:r>
      <w:r w:rsidRPr="002B0913">
        <w:rPr>
          <w:noProof/>
        </w:rPr>
        <w:fldChar w:fldCharType="end"/>
      </w:r>
      <w:r w:rsidRPr="002B0913">
        <w:rPr>
          <w:noProof/>
        </w:rPr>
        <w:t xml:space="preserve"> Accepte l’avance, </w:t>
      </w:r>
    </w:p>
    <w:p w14:paraId="343B5B39" w14:textId="77777777" w:rsidR="00C44607" w:rsidRPr="002B0913" w:rsidRDefault="00C44607" w:rsidP="00C44607">
      <w:pPr>
        <w:ind w:firstLine="709"/>
        <w:jc w:val="both"/>
        <w:rPr>
          <w:noProof/>
        </w:rPr>
      </w:pPr>
      <w:r w:rsidRPr="002B0913">
        <w:rPr>
          <w:noProof/>
        </w:rPr>
        <w:fldChar w:fldCharType="begin">
          <w:ffData>
            <w:name w:val="CaseACocher11"/>
            <w:enabled/>
            <w:calcOnExit w:val="0"/>
            <w:checkBox>
              <w:sizeAuto/>
              <w:default w:val="0"/>
            </w:checkBox>
          </w:ffData>
        </w:fldChar>
      </w:r>
      <w:r w:rsidRPr="002B0913">
        <w:rPr>
          <w:noProof/>
        </w:rPr>
        <w:instrText xml:space="preserve"> FORMCHECKBOX </w:instrText>
      </w:r>
      <w:r w:rsidR="00C81E25">
        <w:rPr>
          <w:noProof/>
        </w:rPr>
      </w:r>
      <w:r w:rsidR="00C81E25">
        <w:rPr>
          <w:noProof/>
        </w:rPr>
        <w:fldChar w:fldCharType="separate"/>
      </w:r>
      <w:r w:rsidRPr="002B0913">
        <w:rPr>
          <w:noProof/>
        </w:rPr>
        <w:fldChar w:fldCharType="end"/>
      </w:r>
      <w:r w:rsidRPr="002B0913">
        <w:rPr>
          <w:noProof/>
        </w:rPr>
        <w:t xml:space="preserve"> Refuse l’avance.</w:t>
      </w:r>
    </w:p>
    <w:p w14:paraId="4D55ABB2" w14:textId="77777777" w:rsidR="00513FE1" w:rsidRPr="002B0913" w:rsidRDefault="00513FE1" w:rsidP="00C44607">
      <w:pPr>
        <w:jc w:val="both"/>
        <w:rPr>
          <w:noProof/>
        </w:rPr>
      </w:pPr>
    </w:p>
    <w:p w14:paraId="572FA30D" w14:textId="77777777" w:rsidR="00614193" w:rsidRPr="002B0913" w:rsidRDefault="00614193" w:rsidP="00C44607">
      <w:pPr>
        <w:jc w:val="both"/>
        <w:rPr>
          <w:b/>
          <w:noProof/>
        </w:rPr>
      </w:pPr>
      <w:r w:rsidRPr="002B0913">
        <w:rPr>
          <w:b/>
          <w:noProof/>
        </w:rPr>
        <w:t xml:space="preserve">Modalité de paiement de l’avance : </w:t>
      </w:r>
    </w:p>
    <w:p w14:paraId="5DD64500" w14:textId="744B9457" w:rsidR="00C44607" w:rsidRPr="002B0913" w:rsidRDefault="00C44607" w:rsidP="00C44607">
      <w:pPr>
        <w:jc w:val="both"/>
        <w:rPr>
          <w:noProof/>
        </w:rPr>
      </w:pPr>
      <w:r w:rsidRPr="002B0913">
        <w:rPr>
          <w:noProof/>
        </w:rPr>
        <w:t>Cette avance sera versée au titulaire dans un délai de 30 jours à partir de la notification du marché</w:t>
      </w:r>
      <w:r w:rsidR="0076393D">
        <w:rPr>
          <w:noProof/>
        </w:rPr>
        <w:t xml:space="preserve"> le cas échéant</w:t>
      </w:r>
      <w:r w:rsidRPr="002B0913">
        <w:rPr>
          <w:noProof/>
        </w:rPr>
        <w:t>.</w:t>
      </w:r>
    </w:p>
    <w:p w14:paraId="002203B8" w14:textId="77777777" w:rsidR="00614193" w:rsidRPr="002B0913" w:rsidRDefault="00614193" w:rsidP="00C44607">
      <w:pPr>
        <w:jc w:val="both"/>
        <w:rPr>
          <w:noProof/>
        </w:rPr>
      </w:pPr>
    </w:p>
    <w:p w14:paraId="1F0DBFDC" w14:textId="36C625FC" w:rsidR="002F3421" w:rsidRPr="008C4685" w:rsidRDefault="00C44607" w:rsidP="00C44607">
      <w:pPr>
        <w:jc w:val="both"/>
        <w:rPr>
          <w:noProof/>
        </w:rPr>
      </w:pPr>
      <w:r w:rsidRPr="002B0913">
        <w:rPr>
          <w:noProof/>
        </w:rPr>
        <w:t xml:space="preserve">Le remboursement de l'avance </w:t>
      </w:r>
      <w:r w:rsidR="00042B64">
        <w:rPr>
          <w:noProof/>
        </w:rPr>
        <w:t xml:space="preserve">est </w:t>
      </w:r>
      <w:r w:rsidRPr="002B0913">
        <w:rPr>
          <w:noProof/>
        </w:rPr>
        <w:t xml:space="preserve">effectué </w:t>
      </w:r>
      <w:r w:rsidR="009B0D69" w:rsidRPr="002B0913">
        <w:rPr>
          <w:noProof/>
        </w:rPr>
        <w:t>en une fois par précompte sur les</w:t>
      </w:r>
      <w:r w:rsidRPr="002B0913">
        <w:rPr>
          <w:noProof/>
        </w:rPr>
        <w:t xml:space="preserve"> somme</w:t>
      </w:r>
      <w:r w:rsidR="009B0D69" w:rsidRPr="002B0913">
        <w:rPr>
          <w:noProof/>
        </w:rPr>
        <w:t>s</w:t>
      </w:r>
      <w:r w:rsidRPr="002B0913">
        <w:rPr>
          <w:noProof/>
        </w:rPr>
        <w:t xml:space="preserve"> due</w:t>
      </w:r>
      <w:r w:rsidR="009B0D69" w:rsidRPr="002B0913">
        <w:rPr>
          <w:noProof/>
        </w:rPr>
        <w:t>s</w:t>
      </w:r>
      <w:r w:rsidRPr="002B0913">
        <w:rPr>
          <w:noProof/>
        </w:rPr>
        <w:t xml:space="preserve"> au titre</w:t>
      </w:r>
      <w:r w:rsidR="009B0D69" w:rsidRPr="002B0913">
        <w:rPr>
          <w:noProof/>
        </w:rPr>
        <w:t xml:space="preserve"> d’acomptes ou du solde</w:t>
      </w:r>
      <w:r w:rsidR="007A7154">
        <w:rPr>
          <w:noProof/>
        </w:rPr>
        <w:t xml:space="preserve"> du présent marché lorsque </w:t>
      </w:r>
      <w:r w:rsidR="00685E74" w:rsidRPr="008C4685">
        <w:rPr>
          <w:noProof/>
        </w:rPr>
        <w:t xml:space="preserve">le montant des </w:t>
      </w:r>
      <w:r w:rsidR="007A7154" w:rsidRPr="008C4685">
        <w:rPr>
          <w:noProof/>
        </w:rPr>
        <w:t>travaux exécuté</w:t>
      </w:r>
      <w:r w:rsidR="00685E74" w:rsidRPr="008C4685">
        <w:rPr>
          <w:noProof/>
        </w:rPr>
        <w:t>s atteint 5</w:t>
      </w:r>
      <w:r w:rsidR="002258B6">
        <w:rPr>
          <w:noProof/>
        </w:rPr>
        <w:t>0</w:t>
      </w:r>
      <w:r w:rsidR="00685E74" w:rsidRPr="008C4685">
        <w:rPr>
          <w:noProof/>
        </w:rPr>
        <w:t xml:space="preserve"> % du montant toutes taxes comprises du marché.</w:t>
      </w:r>
      <w:r w:rsidR="00FB3511" w:rsidRPr="008C4685">
        <w:rPr>
          <w:noProof/>
        </w:rPr>
        <w:t xml:space="preserve"> </w:t>
      </w:r>
    </w:p>
    <w:p w14:paraId="6790FE62" w14:textId="6AA8A2BA" w:rsidR="007A7154" w:rsidRDefault="007A7154" w:rsidP="00C44607">
      <w:pPr>
        <w:jc w:val="both"/>
        <w:rPr>
          <w:b/>
          <w:noProof/>
        </w:rPr>
      </w:pPr>
    </w:p>
    <w:p w14:paraId="6277BC52" w14:textId="77777777" w:rsidR="00513FE1" w:rsidRPr="00B50E32" w:rsidRDefault="00513FE1" w:rsidP="00C44607">
      <w:pPr>
        <w:jc w:val="both"/>
        <w:rPr>
          <w:b/>
          <w:noProof/>
        </w:rPr>
      </w:pPr>
    </w:p>
    <w:p w14:paraId="407BDB81" w14:textId="57CE719A" w:rsidR="007A7154" w:rsidRPr="00CC1B2D" w:rsidRDefault="00247492" w:rsidP="00C44607">
      <w:pPr>
        <w:jc w:val="both"/>
        <w:rPr>
          <w:b/>
          <w:noProof/>
        </w:rPr>
      </w:pPr>
      <w:r>
        <w:rPr>
          <w:b/>
          <w:noProof/>
        </w:rPr>
        <w:t>8</w:t>
      </w:r>
      <w:r w:rsidR="007A7154" w:rsidRPr="00B50E32">
        <w:rPr>
          <w:b/>
          <w:noProof/>
        </w:rPr>
        <w:t>) DOCUMEN</w:t>
      </w:r>
      <w:r w:rsidR="00513FE1">
        <w:rPr>
          <w:b/>
          <w:noProof/>
        </w:rPr>
        <w:t xml:space="preserve">TS à </w:t>
      </w:r>
      <w:r w:rsidR="00513FE1" w:rsidRPr="00CC1B2D">
        <w:rPr>
          <w:b/>
          <w:noProof/>
        </w:rPr>
        <w:t>fournir après exécution</w:t>
      </w:r>
    </w:p>
    <w:p w14:paraId="0822D008" w14:textId="274A9CD1" w:rsidR="008C4685" w:rsidRPr="00CC1B2D" w:rsidRDefault="008C4685" w:rsidP="00513FE1">
      <w:pPr>
        <w:autoSpaceDE w:val="0"/>
        <w:autoSpaceDN w:val="0"/>
        <w:adjustRightInd w:val="0"/>
        <w:jc w:val="both"/>
        <w:rPr>
          <w:color w:val="000000"/>
        </w:rPr>
      </w:pPr>
      <w:r w:rsidRPr="00CC1B2D">
        <w:rPr>
          <w:color w:val="000000"/>
        </w:rPr>
        <w:t>Par dérogation à l’article 40 du CCAG/T</w:t>
      </w:r>
      <w:r w:rsidR="001362F0" w:rsidRPr="00CC1B2D">
        <w:rPr>
          <w:color w:val="000000"/>
        </w:rPr>
        <w:t>ravaux</w:t>
      </w:r>
      <w:r w:rsidRPr="00CC1B2D">
        <w:rPr>
          <w:color w:val="000000"/>
        </w:rPr>
        <w:t>, le titulaire remet au maître d'</w:t>
      </w:r>
      <w:r w:rsidR="001362F0" w:rsidRPr="00CC1B2D">
        <w:rPr>
          <w:color w:val="000000"/>
        </w:rPr>
        <w:t>œuvre</w:t>
      </w:r>
      <w:r w:rsidRPr="00CC1B2D">
        <w:rPr>
          <w:color w:val="000000"/>
        </w:rPr>
        <w:t xml:space="preserve"> (CNRS)</w:t>
      </w:r>
      <w:r w:rsidR="00CC1B2D">
        <w:rPr>
          <w:color w:val="000000"/>
        </w:rPr>
        <w:t xml:space="preserve"> </w:t>
      </w:r>
      <w:r w:rsidRPr="00CC1B2D">
        <w:rPr>
          <w:color w:val="000000"/>
        </w:rPr>
        <w:t xml:space="preserve">: </w:t>
      </w:r>
    </w:p>
    <w:p w14:paraId="5E604CBC" w14:textId="1D107FE6" w:rsidR="008C4685" w:rsidRPr="001362F0" w:rsidRDefault="001362F0" w:rsidP="00513FE1">
      <w:pPr>
        <w:autoSpaceDE w:val="0"/>
        <w:autoSpaceDN w:val="0"/>
        <w:adjustRightInd w:val="0"/>
        <w:jc w:val="both"/>
        <w:rPr>
          <w:color w:val="000000"/>
        </w:rPr>
      </w:pPr>
      <w:r w:rsidRPr="00CC1B2D">
        <w:rPr>
          <w:color w:val="000000"/>
        </w:rPr>
        <w:t>- Le</w:t>
      </w:r>
      <w:r w:rsidR="008C4685" w:rsidRPr="00CC1B2D">
        <w:rPr>
          <w:color w:val="000000"/>
        </w:rPr>
        <w:t xml:space="preserve"> jour des opérations de réception : les spécifications de pose, les notices de fonctionnement, les prescriptions de maintenance des éléments d'équipement mis en </w:t>
      </w:r>
      <w:r w:rsidRPr="00CC1B2D">
        <w:rPr>
          <w:color w:val="000000"/>
        </w:rPr>
        <w:t>œuvre</w:t>
      </w:r>
      <w:r w:rsidR="008C4685" w:rsidRPr="00CC1B2D">
        <w:rPr>
          <w:color w:val="000000"/>
        </w:rPr>
        <w:t>, les conditions de garantie des fabricants attachées à ces</w:t>
      </w:r>
      <w:r w:rsidR="008C4685" w:rsidRPr="001362F0">
        <w:rPr>
          <w:color w:val="000000"/>
        </w:rPr>
        <w:t xml:space="preserve"> équipements, ainsi que les constats d'évacuation des déchets ; </w:t>
      </w:r>
    </w:p>
    <w:p w14:paraId="5C232B47" w14:textId="55712437" w:rsidR="008C4685" w:rsidRPr="008C4685" w:rsidRDefault="001362F0" w:rsidP="00513FE1">
      <w:pPr>
        <w:autoSpaceDE w:val="0"/>
        <w:autoSpaceDN w:val="0"/>
        <w:adjustRightInd w:val="0"/>
        <w:jc w:val="both"/>
        <w:rPr>
          <w:color w:val="000000"/>
        </w:rPr>
      </w:pPr>
      <w:r>
        <w:t xml:space="preserve">- </w:t>
      </w:r>
      <w:r w:rsidRPr="008C4685">
        <w:t>Le</w:t>
      </w:r>
      <w:r w:rsidR="008C4685" w:rsidRPr="008C4685">
        <w:t xml:space="preserve"> jour des opérations de </w:t>
      </w:r>
      <w:r w:rsidRPr="008C4685">
        <w:t>réception :</w:t>
      </w:r>
      <w:r w:rsidR="008C4685" w:rsidRPr="008C4685">
        <w:t xml:space="preserve"> les autres éléments du dossier des ouvrages exécutés (DOE) </w:t>
      </w:r>
    </w:p>
    <w:p w14:paraId="332B3467" w14:textId="47CB4502" w:rsidR="00FC791C" w:rsidRDefault="00247492" w:rsidP="00CC1B2D">
      <w:pPr>
        <w:pStyle w:val="Titre1"/>
      </w:pPr>
      <w:r>
        <w:t>9</w:t>
      </w:r>
      <w:r w:rsidR="006E5288" w:rsidRPr="00CC1B2D">
        <w:rPr>
          <w:noProof/>
        </w:rPr>
        <w:t>) PENALITES</w:t>
      </w:r>
    </w:p>
    <w:p w14:paraId="3A9782F5" w14:textId="3F3C7651" w:rsidR="008C4685" w:rsidRDefault="008C4685" w:rsidP="001362F0">
      <w:pPr>
        <w:pStyle w:val="Default"/>
        <w:jc w:val="both"/>
        <w:rPr>
          <w:sz w:val="20"/>
          <w:szCs w:val="20"/>
        </w:rPr>
      </w:pPr>
      <w:r>
        <w:rPr>
          <w:sz w:val="20"/>
          <w:szCs w:val="20"/>
        </w:rPr>
        <w:t>Par dérogation à l’article 19 du CCAG/T</w:t>
      </w:r>
      <w:r w:rsidR="001362F0">
        <w:rPr>
          <w:sz w:val="20"/>
          <w:szCs w:val="20"/>
        </w:rPr>
        <w:t>ravaux</w:t>
      </w:r>
      <w:r>
        <w:rPr>
          <w:sz w:val="20"/>
          <w:szCs w:val="20"/>
        </w:rPr>
        <w:t xml:space="preserve">, le titulaire encourt, dans les cas énumérés ci-après, à défaut par le titulaire de remplir ses obligations qui lui sont imposées dans le cadre du marché, des pénalités pourront lui être infligées, sans préjudice s’il y a lieu des dommages et intérêts envers les tiers. Les pénalités sont encourues du simple fait de la constatation du retard par le responsable habilité du CNRS. </w:t>
      </w:r>
    </w:p>
    <w:p w14:paraId="0D93DA12" w14:textId="77777777" w:rsidR="001362F0" w:rsidRDefault="001362F0" w:rsidP="001362F0">
      <w:pPr>
        <w:pStyle w:val="Default"/>
        <w:jc w:val="both"/>
        <w:rPr>
          <w:sz w:val="20"/>
          <w:szCs w:val="20"/>
        </w:rPr>
      </w:pPr>
    </w:p>
    <w:p w14:paraId="6187CB11" w14:textId="7C219371" w:rsidR="008C4685" w:rsidRDefault="008C4685" w:rsidP="001362F0">
      <w:pPr>
        <w:pStyle w:val="Default"/>
        <w:jc w:val="both"/>
        <w:rPr>
          <w:sz w:val="20"/>
          <w:szCs w:val="20"/>
        </w:rPr>
      </w:pPr>
      <w:r>
        <w:rPr>
          <w:sz w:val="20"/>
          <w:szCs w:val="20"/>
        </w:rPr>
        <w:t xml:space="preserve">Les pénalités suivantes pourront être appliquées : </w:t>
      </w:r>
    </w:p>
    <w:p w14:paraId="318631C1" w14:textId="77777777" w:rsidR="008C4685" w:rsidRPr="00222F05" w:rsidRDefault="008C4685" w:rsidP="001362F0">
      <w:pPr>
        <w:pStyle w:val="Default"/>
        <w:jc w:val="both"/>
        <w:rPr>
          <w:sz w:val="20"/>
          <w:szCs w:val="20"/>
        </w:rPr>
      </w:pPr>
      <w:r w:rsidRPr="00222F05">
        <w:rPr>
          <w:sz w:val="20"/>
          <w:szCs w:val="20"/>
        </w:rPr>
        <w:t xml:space="preserve">• 1000 € HT/jour de retard pour le démarrage des travaux. </w:t>
      </w:r>
    </w:p>
    <w:p w14:paraId="042F8625" w14:textId="0227EAD6" w:rsidR="008C4685" w:rsidRPr="00222F05" w:rsidRDefault="008C4685" w:rsidP="001362F0">
      <w:pPr>
        <w:pStyle w:val="Default"/>
        <w:jc w:val="both"/>
        <w:rPr>
          <w:sz w:val="20"/>
          <w:szCs w:val="20"/>
        </w:rPr>
      </w:pPr>
      <w:r w:rsidRPr="00222F05">
        <w:rPr>
          <w:sz w:val="20"/>
          <w:szCs w:val="20"/>
        </w:rPr>
        <w:t xml:space="preserve">• 1000 € HT/jour de retard pour la réception des travaux </w:t>
      </w:r>
    </w:p>
    <w:p w14:paraId="57CD550C" w14:textId="19D51705" w:rsidR="008C4685" w:rsidRPr="00222F05" w:rsidRDefault="008C4685" w:rsidP="001362F0">
      <w:pPr>
        <w:autoSpaceDE w:val="0"/>
        <w:autoSpaceDN w:val="0"/>
        <w:adjustRightInd w:val="0"/>
        <w:jc w:val="both"/>
        <w:rPr>
          <w:color w:val="000000"/>
        </w:rPr>
      </w:pPr>
      <w:r w:rsidRPr="00222F05">
        <w:t xml:space="preserve">• </w:t>
      </w:r>
      <w:r w:rsidRPr="00222F05">
        <w:rPr>
          <w:rFonts w:ascii="Symbol" w:hAnsi="Symbol" w:cs="Symbol"/>
          <w:color w:val="000000"/>
        </w:rPr>
        <w:t></w:t>
      </w:r>
      <w:r w:rsidRPr="00222F05">
        <w:rPr>
          <w:color w:val="000000"/>
        </w:rPr>
        <w:t xml:space="preserve">500 € HT/jour de retard pour les levées de réserve. </w:t>
      </w:r>
    </w:p>
    <w:p w14:paraId="7B4488D8" w14:textId="77777777" w:rsidR="008C4685" w:rsidRPr="008C4685" w:rsidRDefault="008C4685" w:rsidP="001362F0">
      <w:pPr>
        <w:autoSpaceDE w:val="0"/>
        <w:autoSpaceDN w:val="0"/>
        <w:adjustRightInd w:val="0"/>
        <w:jc w:val="both"/>
        <w:rPr>
          <w:color w:val="000000"/>
        </w:rPr>
      </w:pPr>
      <w:r w:rsidRPr="00222F05">
        <w:rPr>
          <w:color w:val="000000"/>
        </w:rPr>
        <w:t>• 500 € HT/jour de retard pour</w:t>
      </w:r>
      <w:r w:rsidRPr="008C4685">
        <w:rPr>
          <w:color w:val="000000"/>
        </w:rPr>
        <w:t xml:space="preserve"> la transmission des DOE </w:t>
      </w:r>
    </w:p>
    <w:p w14:paraId="0F42BE5B" w14:textId="77777777" w:rsidR="008C4685" w:rsidRPr="008C4685" w:rsidRDefault="008C4685" w:rsidP="001362F0">
      <w:pPr>
        <w:autoSpaceDE w:val="0"/>
        <w:autoSpaceDN w:val="0"/>
        <w:adjustRightInd w:val="0"/>
        <w:jc w:val="both"/>
        <w:rPr>
          <w:color w:val="000000"/>
        </w:rPr>
      </w:pPr>
      <w:r w:rsidRPr="008C4685">
        <w:rPr>
          <w:color w:val="000000"/>
        </w:rPr>
        <w:t xml:space="preserve">• 500 € HT pour une absence non justifiée/non excusées du titulaire ou de son représentant aux différentes réunions de chantier. </w:t>
      </w:r>
    </w:p>
    <w:p w14:paraId="0E8D7484" w14:textId="77777777" w:rsidR="008C4685" w:rsidRPr="008C4685" w:rsidRDefault="008C4685" w:rsidP="001362F0">
      <w:pPr>
        <w:autoSpaceDE w:val="0"/>
        <w:autoSpaceDN w:val="0"/>
        <w:adjustRightInd w:val="0"/>
        <w:jc w:val="both"/>
        <w:rPr>
          <w:color w:val="000000"/>
        </w:rPr>
      </w:pPr>
      <w:r w:rsidRPr="008C4685">
        <w:rPr>
          <w:color w:val="000000"/>
        </w:rPr>
        <w:t xml:space="preserve">• 500€ HT Par constatation du CNRS du non-respect de la gestion des déchets par le titulaire </w:t>
      </w:r>
    </w:p>
    <w:p w14:paraId="63BB9C0E" w14:textId="53CC4F9C" w:rsidR="008C4685" w:rsidRPr="008C4685" w:rsidRDefault="008C4685" w:rsidP="001362F0">
      <w:pPr>
        <w:autoSpaceDE w:val="0"/>
        <w:autoSpaceDN w:val="0"/>
        <w:adjustRightInd w:val="0"/>
        <w:jc w:val="both"/>
        <w:rPr>
          <w:color w:val="000000"/>
        </w:rPr>
      </w:pPr>
      <w:r w:rsidRPr="008C4685">
        <w:rPr>
          <w:color w:val="000000"/>
        </w:rPr>
        <w:t xml:space="preserve">• 500€ HT/ Par constatation du CNRS pour la non déclaration de personnels pour les </w:t>
      </w:r>
      <w:r w:rsidR="00341A8C" w:rsidRPr="008C4685">
        <w:rPr>
          <w:color w:val="000000"/>
        </w:rPr>
        <w:t>accès</w:t>
      </w:r>
      <w:r w:rsidRPr="008C4685">
        <w:rPr>
          <w:color w:val="000000"/>
        </w:rPr>
        <w:t xml:space="preserve"> en Zone de régime Restrictifs </w:t>
      </w:r>
    </w:p>
    <w:p w14:paraId="13D27F49" w14:textId="31348028" w:rsidR="00645D10" w:rsidRDefault="00645D10" w:rsidP="001362F0">
      <w:pPr>
        <w:jc w:val="both"/>
        <w:rPr>
          <w:bCs/>
          <w:noProof/>
          <w:highlight w:val="yellow"/>
        </w:rPr>
      </w:pPr>
    </w:p>
    <w:p w14:paraId="04E10118" w14:textId="5904F702" w:rsidR="00337F6E" w:rsidRPr="00BF43D9" w:rsidRDefault="00337F6E" w:rsidP="001362F0">
      <w:pPr>
        <w:jc w:val="both"/>
        <w:rPr>
          <w:bCs/>
          <w:noProof/>
        </w:rPr>
      </w:pPr>
      <w:r w:rsidRPr="00DA75E0">
        <w:rPr>
          <w:noProof/>
        </w:rPr>
        <w:t xml:space="preserve">Le montant total des pénalités </w:t>
      </w:r>
      <w:r w:rsidR="001362F0">
        <w:rPr>
          <w:noProof/>
        </w:rPr>
        <w:t xml:space="preserve">de retard </w:t>
      </w:r>
      <w:r w:rsidRPr="00DA75E0">
        <w:rPr>
          <w:noProof/>
        </w:rPr>
        <w:t>est</w:t>
      </w:r>
      <w:r w:rsidRPr="00DA75E0">
        <w:rPr>
          <w:bCs/>
          <w:noProof/>
        </w:rPr>
        <w:t xml:space="preserve"> plafonné à 10% du montant total HT du présent marché.</w:t>
      </w:r>
    </w:p>
    <w:p w14:paraId="5B96F8EB" w14:textId="77777777" w:rsidR="00337F6E" w:rsidRPr="00BF43D9" w:rsidRDefault="00337F6E" w:rsidP="001362F0">
      <w:pPr>
        <w:ind w:left="720"/>
        <w:jc w:val="both"/>
        <w:rPr>
          <w:bCs/>
          <w:noProof/>
        </w:rPr>
      </w:pPr>
    </w:p>
    <w:p w14:paraId="0EB4A4E5" w14:textId="64C9E837" w:rsidR="006143FC" w:rsidRPr="00CC1B2D" w:rsidRDefault="00247492" w:rsidP="00CC1B2D">
      <w:pPr>
        <w:pStyle w:val="Titre1"/>
        <w:rPr>
          <w:noProof/>
        </w:rPr>
      </w:pPr>
      <w:r w:rsidRPr="00CC1B2D">
        <w:rPr>
          <w:noProof/>
        </w:rPr>
        <w:t>10</w:t>
      </w:r>
      <w:r w:rsidR="006143FC" w:rsidRPr="00CC1B2D">
        <w:rPr>
          <w:noProof/>
        </w:rPr>
        <w:t xml:space="preserve">) MODALITÉS DE </w:t>
      </w:r>
      <w:r w:rsidR="005A685D" w:rsidRPr="00CC1B2D">
        <w:rPr>
          <w:noProof/>
        </w:rPr>
        <w:t>PAIE</w:t>
      </w:r>
      <w:r w:rsidR="006143FC" w:rsidRPr="00CC1B2D">
        <w:rPr>
          <w:noProof/>
        </w:rPr>
        <w:t>MENT</w:t>
      </w:r>
    </w:p>
    <w:p w14:paraId="30DE83DC" w14:textId="77777777" w:rsidR="00BF43D9" w:rsidRPr="00757C18" w:rsidRDefault="00BF43D9" w:rsidP="00DA75E0"/>
    <w:p w14:paraId="4326A5EE" w14:textId="77777777" w:rsidR="00135CE2" w:rsidRDefault="00135CE2" w:rsidP="00135CE2">
      <w:pPr>
        <w:jc w:val="both"/>
        <w:rPr>
          <w:iCs/>
        </w:rPr>
      </w:pPr>
      <w:r w:rsidRPr="004B4849">
        <w:rPr>
          <w:b/>
          <w:bCs/>
          <w:iCs/>
        </w:rPr>
        <w:t>1</w:t>
      </w:r>
      <w:r w:rsidRPr="004B4849">
        <w:rPr>
          <w:iCs/>
        </w:rPr>
        <w:t xml:space="preserve"> - Les règlements, par virement, suivent les règles de la comptabilité publique.</w:t>
      </w:r>
    </w:p>
    <w:p w14:paraId="3CB88145" w14:textId="77777777" w:rsidR="00135CE2" w:rsidRDefault="00135CE2" w:rsidP="00135CE2">
      <w:pPr>
        <w:jc w:val="both"/>
        <w:rPr>
          <w:iCs/>
        </w:rPr>
      </w:pPr>
    </w:p>
    <w:p w14:paraId="0D441002" w14:textId="77777777" w:rsidR="00135CE2" w:rsidRDefault="00135CE2" w:rsidP="00D8288B">
      <w:pPr>
        <w:jc w:val="both"/>
        <w:rPr>
          <w:iCs/>
        </w:rPr>
      </w:pPr>
      <w:r w:rsidRPr="00202DAD">
        <w:rPr>
          <w:iCs/>
        </w:rPr>
        <w:t>Conformément à la loi du 3 janvier 2014 sur la simplification de la vie des entreprises et l’ordonnance n°2014-697 du 26 juin 2014 relative au développement de la facturation él</w:t>
      </w:r>
      <w:r w:rsidR="00C411C2">
        <w:rPr>
          <w:iCs/>
        </w:rPr>
        <w:t xml:space="preserve">ectronique, le titulaire ainsi </w:t>
      </w:r>
      <w:r w:rsidRPr="00202DAD">
        <w:rPr>
          <w:iCs/>
        </w:rPr>
        <w:t>que, le cas échéant, ses cotraitants et ses sous-traitants concernés, doivent transmettre leurs demandes de paiement sur le portail</w:t>
      </w:r>
      <w:r w:rsidR="00D8288B">
        <w:rPr>
          <w:iCs/>
        </w:rPr>
        <w:t xml:space="preserve"> mutualisé de l’Etat Chorus Pro.</w:t>
      </w:r>
    </w:p>
    <w:p w14:paraId="0726CB56" w14:textId="77777777" w:rsidR="009C489F" w:rsidRDefault="009C489F" w:rsidP="00D8288B">
      <w:pPr>
        <w:jc w:val="both"/>
        <w:rPr>
          <w:iCs/>
        </w:rPr>
      </w:pPr>
    </w:p>
    <w:p w14:paraId="1A535CE9" w14:textId="77777777" w:rsidR="00DF7722" w:rsidRPr="00DF7722" w:rsidRDefault="00DF7722" w:rsidP="00DF7722">
      <w:pPr>
        <w:jc w:val="both"/>
        <w:rPr>
          <w:iCs/>
        </w:rPr>
      </w:pPr>
      <w:r w:rsidRPr="00DF7722">
        <w:rPr>
          <w:iCs/>
        </w:rPr>
        <w:t xml:space="preserve">Les factures doivent comporter, outre les indications prévues par la réglementation de la comptabilité publique, les renseignements suivants : </w:t>
      </w:r>
    </w:p>
    <w:p w14:paraId="0B202519" w14:textId="77777777" w:rsidR="00DF7722" w:rsidRPr="00DF7722" w:rsidRDefault="00DF7722" w:rsidP="00DF7722">
      <w:pPr>
        <w:jc w:val="both"/>
        <w:rPr>
          <w:iCs/>
        </w:rPr>
      </w:pPr>
      <w:r w:rsidRPr="00DF7722">
        <w:rPr>
          <w:iCs/>
        </w:rPr>
        <w:t xml:space="preserve">- la désignation du titulaire (nom et adresse complète mentionnées lors de la notification du marché), </w:t>
      </w:r>
    </w:p>
    <w:p w14:paraId="6B3BEA60" w14:textId="77777777" w:rsidR="00DF7722" w:rsidRDefault="00DF7722" w:rsidP="00DF7722">
      <w:pPr>
        <w:jc w:val="both"/>
        <w:rPr>
          <w:i/>
          <w:iCs/>
        </w:rPr>
      </w:pPr>
      <w:r w:rsidRPr="00DF7722">
        <w:rPr>
          <w:iCs/>
        </w:rPr>
        <w:t xml:space="preserve">- l’objet </w:t>
      </w:r>
      <w:r w:rsidR="00D77F8E">
        <w:rPr>
          <w:iCs/>
        </w:rPr>
        <w:t>de l’acquisition</w:t>
      </w:r>
    </w:p>
    <w:p w14:paraId="749B4AD9" w14:textId="0C1E16B8" w:rsidR="00DF7722" w:rsidRPr="00DF7722" w:rsidRDefault="00DF7722" w:rsidP="00DF7722">
      <w:pPr>
        <w:jc w:val="both"/>
        <w:rPr>
          <w:iCs/>
        </w:rPr>
      </w:pPr>
      <w:r w:rsidRPr="00513FE1">
        <w:rPr>
          <w:iCs/>
        </w:rPr>
        <w:t xml:space="preserve">- le numéro du marché CNRS </w:t>
      </w:r>
    </w:p>
    <w:p w14:paraId="04936F48" w14:textId="77777777" w:rsidR="00DF7722" w:rsidRPr="00DF7722" w:rsidRDefault="00DF7722" w:rsidP="00DF7722">
      <w:pPr>
        <w:jc w:val="both"/>
        <w:rPr>
          <w:iCs/>
        </w:rPr>
      </w:pPr>
      <w:r w:rsidRPr="00DF7722">
        <w:rPr>
          <w:iCs/>
        </w:rPr>
        <w:t xml:space="preserve">- la mention CNRS et le nom et adresse de l’unité, </w:t>
      </w:r>
    </w:p>
    <w:p w14:paraId="2720C7CB" w14:textId="77777777" w:rsidR="00DF7722" w:rsidRPr="00DF7722" w:rsidRDefault="00DF7722" w:rsidP="00DF7722">
      <w:pPr>
        <w:jc w:val="both"/>
        <w:rPr>
          <w:iCs/>
        </w:rPr>
      </w:pPr>
      <w:r w:rsidRPr="00DF7722">
        <w:rPr>
          <w:iCs/>
        </w:rPr>
        <w:t xml:space="preserve">- le numéro et la date de la facture, </w:t>
      </w:r>
    </w:p>
    <w:p w14:paraId="2F9D77C9" w14:textId="77777777" w:rsidR="00DF7722" w:rsidRPr="00DF7722" w:rsidRDefault="00DF7722" w:rsidP="00DF7722">
      <w:pPr>
        <w:jc w:val="both"/>
        <w:rPr>
          <w:iCs/>
        </w:rPr>
      </w:pPr>
      <w:r w:rsidRPr="00DF7722">
        <w:rPr>
          <w:iCs/>
        </w:rPr>
        <w:lastRenderedPageBreak/>
        <w:t xml:space="preserve">- la date de livraison/ exécution, </w:t>
      </w:r>
    </w:p>
    <w:p w14:paraId="470926F9" w14:textId="77777777" w:rsidR="00DF7722" w:rsidRPr="00DF7722" w:rsidRDefault="00DF7722" w:rsidP="00DF7722">
      <w:pPr>
        <w:jc w:val="both"/>
        <w:rPr>
          <w:iCs/>
        </w:rPr>
      </w:pPr>
      <w:r w:rsidRPr="00DF7722">
        <w:rPr>
          <w:iCs/>
        </w:rPr>
        <w:t xml:space="preserve">- le montant total HT, </w:t>
      </w:r>
    </w:p>
    <w:p w14:paraId="4528E6D6" w14:textId="77777777" w:rsidR="00DF7722" w:rsidRPr="00DF7722" w:rsidRDefault="00DF7722" w:rsidP="00DF7722">
      <w:pPr>
        <w:jc w:val="both"/>
        <w:rPr>
          <w:iCs/>
        </w:rPr>
      </w:pPr>
      <w:r w:rsidRPr="00DF7722">
        <w:rPr>
          <w:iCs/>
        </w:rPr>
        <w:t xml:space="preserve">- le montant total TTC,  </w:t>
      </w:r>
    </w:p>
    <w:p w14:paraId="4D2C8B6A" w14:textId="77777777" w:rsidR="00FD72FC" w:rsidRDefault="00DF7722" w:rsidP="00DF7722">
      <w:pPr>
        <w:jc w:val="both"/>
        <w:rPr>
          <w:iCs/>
        </w:rPr>
      </w:pPr>
      <w:r w:rsidRPr="00DF7722">
        <w:rPr>
          <w:iCs/>
        </w:rPr>
        <w:t>- le numéro d’identification TVA intracommunautaire</w:t>
      </w:r>
    </w:p>
    <w:p w14:paraId="40ED3C05" w14:textId="77777777" w:rsidR="00DF7722" w:rsidRDefault="00DF7722" w:rsidP="00DF7722">
      <w:pPr>
        <w:jc w:val="both"/>
        <w:rPr>
          <w:iCs/>
        </w:rPr>
      </w:pPr>
    </w:p>
    <w:p w14:paraId="682475D6" w14:textId="77777777" w:rsidR="00135CE2" w:rsidRPr="00202DAD" w:rsidRDefault="00135CE2" w:rsidP="00135CE2">
      <w:pPr>
        <w:jc w:val="both"/>
        <w:rPr>
          <w:iCs/>
        </w:rPr>
      </w:pPr>
      <w:r w:rsidRPr="00202DAD">
        <w:rPr>
          <w:iCs/>
        </w:rPr>
        <w:t>Au choix du créancier, cette transmission est effectuée selon l’une des trois modalités suivantes :</w:t>
      </w:r>
    </w:p>
    <w:p w14:paraId="59C993C4" w14:textId="008EECBC" w:rsidR="00135CE2" w:rsidRDefault="00135CE2" w:rsidP="00135CE2">
      <w:pPr>
        <w:jc w:val="both"/>
        <w:rPr>
          <w:iCs/>
        </w:rPr>
      </w:pPr>
      <w:r w:rsidRPr="00202DAD">
        <w:rPr>
          <w:iCs/>
        </w:rPr>
        <w:t xml:space="preserve">- Par flux d’échange de données informatisées. Dans ce cas, les formats acceptés sont ceux qui figurent à l’adresse suivante : </w:t>
      </w:r>
      <w:hyperlink r:id="rId14" w:history="1">
        <w:r w:rsidR="009375A2" w:rsidRPr="00085A26">
          <w:rPr>
            <w:rStyle w:val="Lienhypertexte"/>
            <w:iCs/>
          </w:rPr>
          <w:t>https://communaute-chorus-pro.finances.gouv.fr/</w:t>
        </w:r>
      </w:hyperlink>
      <w:r w:rsidRPr="00202DAD">
        <w:rPr>
          <w:iCs/>
        </w:rPr>
        <w:t xml:space="preserve"> </w:t>
      </w:r>
    </w:p>
    <w:p w14:paraId="2536BE2A" w14:textId="77777777" w:rsidR="00135CE2" w:rsidRPr="00202DAD" w:rsidRDefault="00135CE2" w:rsidP="00135CE2">
      <w:pPr>
        <w:jc w:val="both"/>
        <w:rPr>
          <w:iCs/>
        </w:rPr>
      </w:pPr>
      <w:r w:rsidRPr="00202DAD">
        <w:rPr>
          <w:iCs/>
        </w:rPr>
        <w:t>- Par dépôt au format PDF</w:t>
      </w:r>
    </w:p>
    <w:p w14:paraId="402A23AE" w14:textId="77777777" w:rsidR="00135CE2" w:rsidRPr="00202DAD" w:rsidRDefault="00135CE2" w:rsidP="00135CE2">
      <w:pPr>
        <w:jc w:val="both"/>
        <w:rPr>
          <w:iCs/>
        </w:rPr>
      </w:pPr>
      <w:r w:rsidRPr="00202DAD">
        <w:rPr>
          <w:iCs/>
        </w:rPr>
        <w:t>- Par saisie en ligne dans le portail</w:t>
      </w:r>
    </w:p>
    <w:p w14:paraId="2BA79C8F" w14:textId="77777777" w:rsidR="00135CE2" w:rsidRDefault="00135CE2" w:rsidP="00135CE2">
      <w:pPr>
        <w:jc w:val="both"/>
        <w:rPr>
          <w:iCs/>
        </w:rPr>
      </w:pPr>
    </w:p>
    <w:p w14:paraId="582DE553" w14:textId="77777777" w:rsidR="00135CE2" w:rsidRPr="00202DAD" w:rsidRDefault="00135CE2" w:rsidP="00135CE2">
      <w:pPr>
        <w:jc w:val="both"/>
        <w:rPr>
          <w:iCs/>
        </w:rPr>
      </w:pPr>
      <w:r w:rsidRPr="00202DAD">
        <w:rPr>
          <w:iCs/>
        </w:rPr>
        <w:t>Les informations à faire figurer dans l’entête de la demande de paiement sont :</w:t>
      </w:r>
    </w:p>
    <w:p w14:paraId="73C39703" w14:textId="2A39BB4C" w:rsidR="00135CE2" w:rsidRPr="00202DAD" w:rsidRDefault="00135CE2" w:rsidP="00135CE2">
      <w:pPr>
        <w:jc w:val="both"/>
        <w:rPr>
          <w:iCs/>
        </w:rPr>
      </w:pPr>
      <w:r w:rsidRPr="00202DAD">
        <w:rPr>
          <w:iCs/>
        </w:rPr>
        <w:t>- CNRS (SIRET n°180089013</w:t>
      </w:r>
      <w:r>
        <w:rPr>
          <w:iCs/>
        </w:rPr>
        <w:t xml:space="preserve"> </w:t>
      </w:r>
      <w:r w:rsidRPr="00202DAD">
        <w:rPr>
          <w:iCs/>
        </w:rPr>
        <w:t>03720) ;</w:t>
      </w:r>
      <w:r w:rsidR="00EB2BA7">
        <w:rPr>
          <w:iCs/>
        </w:rPr>
        <w:t xml:space="preserve"> </w:t>
      </w:r>
    </w:p>
    <w:p w14:paraId="31854394" w14:textId="225D6EC0" w:rsidR="00135CE2" w:rsidRPr="00202DAD" w:rsidRDefault="00135CE2" w:rsidP="00135CE2">
      <w:pPr>
        <w:jc w:val="both"/>
        <w:rPr>
          <w:iCs/>
        </w:rPr>
      </w:pPr>
      <w:r w:rsidRPr="00202DAD">
        <w:rPr>
          <w:iCs/>
        </w:rPr>
        <w:t xml:space="preserve">- Le code </w:t>
      </w:r>
      <w:r w:rsidR="00FA3CA1">
        <w:rPr>
          <w:iCs/>
        </w:rPr>
        <w:t>service</w:t>
      </w:r>
      <w:r w:rsidRPr="00202DAD">
        <w:rPr>
          <w:iCs/>
        </w:rPr>
        <w:t xml:space="preserve"> CNRS </w:t>
      </w:r>
      <w:r>
        <w:rPr>
          <w:iCs/>
        </w:rPr>
        <w:t xml:space="preserve">du </w:t>
      </w:r>
      <w:r w:rsidR="004A5805">
        <w:rPr>
          <w:iCs/>
        </w:rPr>
        <w:t>STL</w:t>
      </w:r>
      <w:r>
        <w:rPr>
          <w:iCs/>
        </w:rPr>
        <w:t xml:space="preserve"> : </w:t>
      </w:r>
      <w:r w:rsidR="00EB2BA7" w:rsidRPr="00F06230">
        <w:t>MOY40</w:t>
      </w:r>
      <w:r w:rsidR="00EB2BA7">
        <w:t>0</w:t>
      </w:r>
    </w:p>
    <w:p w14:paraId="607E5769" w14:textId="691575D9" w:rsidR="00135CE2" w:rsidRDefault="00135CE2" w:rsidP="00135CE2">
      <w:pPr>
        <w:jc w:val="both"/>
        <w:rPr>
          <w:iCs/>
        </w:rPr>
      </w:pPr>
      <w:r w:rsidRPr="00202DAD">
        <w:rPr>
          <w:iCs/>
        </w:rPr>
        <w:t xml:space="preserve">- Le numéro du marché </w:t>
      </w:r>
      <w:r>
        <w:rPr>
          <w:iCs/>
        </w:rPr>
        <w:t xml:space="preserve">indiqué ci-dessus (entête du présent contrat) </w:t>
      </w:r>
      <w:r w:rsidR="00513FE1">
        <w:rPr>
          <w:iCs/>
        </w:rPr>
        <w:t>et</w:t>
      </w:r>
      <w:r>
        <w:rPr>
          <w:iCs/>
        </w:rPr>
        <w:t xml:space="preserve"> le numéro du bon de commande notifié par le CNRS.</w:t>
      </w:r>
    </w:p>
    <w:p w14:paraId="348D2BAF" w14:textId="061CA059" w:rsidR="00F66814" w:rsidRDefault="00F66814" w:rsidP="00F66814">
      <w:pPr>
        <w:jc w:val="both"/>
        <w:rPr>
          <w:iCs/>
        </w:rPr>
      </w:pPr>
      <w:r>
        <w:rPr>
          <w:iCs/>
        </w:rPr>
        <w:t>- l’adresse de facturation : CNRS SCD, 2 rue Jean Zay, TSA31001, 54</w:t>
      </w:r>
      <w:r w:rsidR="00EB2BA7">
        <w:rPr>
          <w:iCs/>
        </w:rPr>
        <w:t>500</w:t>
      </w:r>
      <w:r>
        <w:rPr>
          <w:iCs/>
        </w:rPr>
        <w:t xml:space="preserve"> VANDOEUVRE LES NANCY CEDEX.</w:t>
      </w:r>
    </w:p>
    <w:p w14:paraId="28B55A6C" w14:textId="77777777" w:rsidR="00F66814" w:rsidRDefault="00F66814" w:rsidP="00135CE2">
      <w:pPr>
        <w:jc w:val="both"/>
        <w:rPr>
          <w:iCs/>
        </w:rPr>
      </w:pPr>
    </w:p>
    <w:p w14:paraId="69EC3E65" w14:textId="77777777" w:rsidR="00A725D8" w:rsidRPr="004B4849" w:rsidRDefault="00A725D8" w:rsidP="00465ED0">
      <w:pPr>
        <w:jc w:val="both"/>
        <w:rPr>
          <w:iCs/>
        </w:rPr>
      </w:pPr>
    </w:p>
    <w:p w14:paraId="27228E12" w14:textId="77777777" w:rsidR="00571352" w:rsidRPr="004B4849" w:rsidRDefault="003E4FC6" w:rsidP="00571352">
      <w:pPr>
        <w:jc w:val="both"/>
        <w:rPr>
          <w:iCs/>
        </w:rPr>
      </w:pPr>
      <w:r w:rsidRPr="004B4849">
        <w:rPr>
          <w:b/>
          <w:bCs/>
          <w:iCs/>
        </w:rPr>
        <w:t>2</w:t>
      </w:r>
      <w:r w:rsidRPr="004B4849">
        <w:rPr>
          <w:iCs/>
        </w:rPr>
        <w:t xml:space="preserve"> – </w:t>
      </w:r>
      <w:r w:rsidR="00571352" w:rsidRPr="004B4849">
        <w:rPr>
          <w:iCs/>
        </w:rPr>
        <w:t xml:space="preserve">Les règlements s’effectuent </w:t>
      </w:r>
      <w:r w:rsidR="00A33297" w:rsidRPr="00A33297">
        <w:rPr>
          <w:iCs/>
        </w:rPr>
        <w:t>:</w:t>
      </w:r>
    </w:p>
    <w:p w14:paraId="47E0379C" w14:textId="101F1E6E" w:rsidR="003D35B1" w:rsidRDefault="003D35B1" w:rsidP="003D35B1">
      <w:pPr>
        <w:pStyle w:val="Default"/>
        <w:jc w:val="both"/>
        <w:rPr>
          <w:sz w:val="20"/>
          <w:szCs w:val="20"/>
        </w:rPr>
      </w:pPr>
      <w:r>
        <w:rPr>
          <w:sz w:val="20"/>
          <w:szCs w:val="20"/>
        </w:rPr>
        <w:t>Par dérogation à l’article 12 du CCAG/T</w:t>
      </w:r>
      <w:r w:rsidR="009375A2">
        <w:rPr>
          <w:sz w:val="20"/>
          <w:szCs w:val="20"/>
        </w:rPr>
        <w:t>ravaux</w:t>
      </w:r>
      <w:r>
        <w:rPr>
          <w:sz w:val="20"/>
          <w:szCs w:val="20"/>
        </w:rPr>
        <w:t xml:space="preserve">, la remise d'une demande de paiement intervient après la réception des travaux sur présentation du procès-verbal de réception. </w:t>
      </w:r>
    </w:p>
    <w:p w14:paraId="0FB9C3DC" w14:textId="77777777" w:rsidR="003D35B1" w:rsidRDefault="003D35B1" w:rsidP="003D35B1">
      <w:pPr>
        <w:pStyle w:val="Default"/>
        <w:jc w:val="both"/>
        <w:rPr>
          <w:sz w:val="20"/>
          <w:szCs w:val="20"/>
        </w:rPr>
      </w:pPr>
    </w:p>
    <w:p w14:paraId="5B8903C1" w14:textId="68011237" w:rsidR="005E0101" w:rsidRPr="003D35B1" w:rsidRDefault="003D35B1" w:rsidP="003D35B1">
      <w:pPr>
        <w:pStyle w:val="fcase2metab"/>
        <w:tabs>
          <w:tab w:val="clear" w:pos="426"/>
          <w:tab w:val="clear" w:pos="851"/>
          <w:tab w:val="left" w:pos="120"/>
        </w:tabs>
        <w:ind w:left="0" w:firstLine="0"/>
        <w:rPr>
          <w:rFonts w:ascii="Times New Roman" w:hAnsi="Times New Roman"/>
          <w:color w:val="000000"/>
        </w:rPr>
      </w:pPr>
      <w:r w:rsidRPr="003D35B1">
        <w:rPr>
          <w:rFonts w:ascii="Times New Roman" w:hAnsi="Times New Roman"/>
          <w:color w:val="000000"/>
        </w:rPr>
        <w:t>Les règlements s’effectuent après service fait (ou à terme échu)</w:t>
      </w:r>
    </w:p>
    <w:p w14:paraId="41DB1711" w14:textId="53BAF24E" w:rsidR="003D35B1" w:rsidRDefault="003D35B1" w:rsidP="003D35B1">
      <w:pPr>
        <w:pStyle w:val="fcase2metab"/>
        <w:tabs>
          <w:tab w:val="clear" w:pos="426"/>
          <w:tab w:val="clear" w:pos="851"/>
          <w:tab w:val="left" w:pos="120"/>
        </w:tabs>
        <w:ind w:left="0" w:firstLine="0"/>
        <w:rPr>
          <w:rFonts w:ascii="Times New Roman" w:hAnsi="Times New Roman"/>
          <w:color w:val="000000"/>
        </w:rPr>
      </w:pPr>
      <w:r w:rsidRPr="00BA73E9">
        <w:rPr>
          <w:rFonts w:ascii="Times New Roman" w:hAnsi="Times New Roman"/>
          <w:color w:val="000000"/>
        </w:rPr>
        <w:t xml:space="preserve">Le prix est global et forfaitaire. Le paiement est partiel </w:t>
      </w:r>
      <w:r w:rsidRPr="00BA73E9">
        <w:rPr>
          <w:rFonts w:ascii="Times New Roman" w:hAnsi="Times New Roman"/>
          <w:b/>
          <w:color w:val="000000"/>
        </w:rPr>
        <w:t>après</w:t>
      </w:r>
      <w:r w:rsidRPr="00BA73E9">
        <w:rPr>
          <w:rFonts w:ascii="Times New Roman" w:hAnsi="Times New Roman"/>
          <w:color w:val="000000"/>
        </w:rPr>
        <w:t xml:space="preserve"> </w:t>
      </w:r>
      <w:r w:rsidRPr="00BA73E9">
        <w:rPr>
          <w:rFonts w:ascii="Times New Roman" w:hAnsi="Times New Roman"/>
          <w:b/>
          <w:color w:val="000000"/>
        </w:rPr>
        <w:t xml:space="preserve">service fait </w:t>
      </w:r>
      <w:r w:rsidR="00BA73E9" w:rsidRPr="00BA73E9">
        <w:rPr>
          <w:rFonts w:ascii="Times New Roman" w:hAnsi="Times New Roman"/>
          <w:b/>
          <w:color w:val="000000"/>
        </w:rPr>
        <w:t xml:space="preserve">des étapes de phasage listées ci-dessous et </w:t>
      </w:r>
      <w:r w:rsidRPr="00BA73E9">
        <w:rPr>
          <w:rFonts w:ascii="Times New Roman" w:hAnsi="Times New Roman"/>
          <w:color w:val="000000"/>
        </w:rPr>
        <w:t xml:space="preserve">conformément </w:t>
      </w:r>
      <w:r w:rsidR="00394C30" w:rsidRPr="00BA73E9">
        <w:rPr>
          <w:rFonts w:ascii="Times New Roman" w:hAnsi="Times New Roman"/>
          <w:color w:val="000000"/>
        </w:rPr>
        <w:t xml:space="preserve">aux </w:t>
      </w:r>
      <w:r w:rsidRPr="00BA73E9">
        <w:rPr>
          <w:rFonts w:ascii="Times New Roman" w:hAnsi="Times New Roman"/>
          <w:color w:val="000000"/>
        </w:rPr>
        <w:t>ligne</w:t>
      </w:r>
      <w:r w:rsidR="00394C30" w:rsidRPr="00BA73E9">
        <w:rPr>
          <w:rFonts w:ascii="Times New Roman" w:hAnsi="Times New Roman"/>
          <w:color w:val="000000"/>
        </w:rPr>
        <w:t>s</w:t>
      </w:r>
      <w:r w:rsidRPr="00BA73E9">
        <w:rPr>
          <w:rFonts w:ascii="Times New Roman" w:hAnsi="Times New Roman"/>
          <w:color w:val="000000"/>
        </w:rPr>
        <w:t xml:space="preserve"> d</w:t>
      </w:r>
      <w:r w:rsidR="00DF4B49" w:rsidRPr="00BA73E9">
        <w:rPr>
          <w:rFonts w:ascii="Times New Roman" w:hAnsi="Times New Roman"/>
          <w:color w:val="000000"/>
        </w:rPr>
        <w:t>e la</w:t>
      </w:r>
      <w:r w:rsidRPr="009375A2">
        <w:rPr>
          <w:rFonts w:ascii="Times New Roman" w:hAnsi="Times New Roman"/>
          <w:color w:val="000000"/>
        </w:rPr>
        <w:t xml:space="preserve"> DPGF</w:t>
      </w:r>
      <w:r w:rsidR="00BA73E9">
        <w:rPr>
          <w:rFonts w:ascii="Times New Roman" w:hAnsi="Times New Roman"/>
          <w:color w:val="000000"/>
        </w:rPr>
        <w:t xml:space="preserve"> : </w:t>
      </w:r>
    </w:p>
    <w:p w14:paraId="23AC341F" w14:textId="4F2FDA5B" w:rsidR="00BA73E9" w:rsidRPr="00EA690B" w:rsidRDefault="00EF6424" w:rsidP="00EF6424">
      <w:pPr>
        <w:pStyle w:val="Default"/>
        <w:numPr>
          <w:ilvl w:val="0"/>
          <w:numId w:val="21"/>
        </w:numPr>
        <w:jc w:val="both"/>
        <w:rPr>
          <w:iCs/>
          <w:color w:val="auto"/>
          <w:sz w:val="20"/>
          <w:szCs w:val="20"/>
        </w:rPr>
      </w:pPr>
      <w:r w:rsidRPr="00EA690B">
        <w:rPr>
          <w:iCs/>
          <w:color w:val="auto"/>
          <w:sz w:val="20"/>
          <w:szCs w:val="20"/>
        </w:rPr>
        <w:t>Dépose de la verrière avec vérin jusqu'au boitier de percutions</w:t>
      </w:r>
    </w:p>
    <w:p w14:paraId="79D8BA95" w14:textId="2C12791F" w:rsidR="00EF6424" w:rsidRPr="00EA690B" w:rsidRDefault="00EF6424" w:rsidP="00EF6424">
      <w:pPr>
        <w:pStyle w:val="Default"/>
        <w:numPr>
          <w:ilvl w:val="0"/>
          <w:numId w:val="21"/>
        </w:numPr>
        <w:jc w:val="both"/>
        <w:rPr>
          <w:iCs/>
          <w:color w:val="auto"/>
          <w:sz w:val="20"/>
          <w:szCs w:val="20"/>
        </w:rPr>
      </w:pPr>
      <w:r w:rsidRPr="00EA690B">
        <w:rPr>
          <w:iCs/>
          <w:color w:val="auto"/>
          <w:sz w:val="20"/>
          <w:szCs w:val="20"/>
        </w:rPr>
        <w:t>Installation de la nouvelle verrière</w:t>
      </w:r>
    </w:p>
    <w:p w14:paraId="5BBD7021" w14:textId="701D0E9A" w:rsidR="00EF6424" w:rsidRPr="00EA690B" w:rsidRDefault="00EF6424" w:rsidP="00EF6424">
      <w:pPr>
        <w:pStyle w:val="Default"/>
        <w:numPr>
          <w:ilvl w:val="0"/>
          <w:numId w:val="21"/>
        </w:numPr>
        <w:jc w:val="both"/>
        <w:rPr>
          <w:iCs/>
          <w:color w:val="auto"/>
          <w:sz w:val="20"/>
          <w:szCs w:val="20"/>
        </w:rPr>
      </w:pPr>
      <w:r w:rsidRPr="00EA690B">
        <w:rPr>
          <w:iCs/>
          <w:color w:val="auto"/>
          <w:sz w:val="20"/>
          <w:szCs w:val="20"/>
        </w:rPr>
        <w:t>Installation des ouvrants de désenfumage électrique</w:t>
      </w:r>
    </w:p>
    <w:p w14:paraId="25C60C54" w14:textId="08F2B063" w:rsidR="00EF6424" w:rsidRPr="00EA690B" w:rsidRDefault="00EF6424" w:rsidP="00EF6424">
      <w:pPr>
        <w:pStyle w:val="Default"/>
        <w:numPr>
          <w:ilvl w:val="0"/>
          <w:numId w:val="21"/>
        </w:numPr>
        <w:jc w:val="both"/>
        <w:rPr>
          <w:iCs/>
          <w:color w:val="auto"/>
          <w:sz w:val="20"/>
          <w:szCs w:val="20"/>
        </w:rPr>
      </w:pPr>
      <w:r w:rsidRPr="00EA690B">
        <w:rPr>
          <w:iCs/>
          <w:color w:val="auto"/>
          <w:sz w:val="20"/>
          <w:szCs w:val="20"/>
        </w:rPr>
        <w:t>Installation du coffret d'asservissement</w:t>
      </w:r>
    </w:p>
    <w:p w14:paraId="61658CEC" w14:textId="1CF11278" w:rsidR="00EF6424" w:rsidRPr="00EA690B" w:rsidRDefault="00EF6424" w:rsidP="00EF6424">
      <w:pPr>
        <w:pStyle w:val="Default"/>
        <w:numPr>
          <w:ilvl w:val="0"/>
          <w:numId w:val="21"/>
        </w:numPr>
        <w:jc w:val="both"/>
        <w:rPr>
          <w:iCs/>
          <w:color w:val="auto"/>
          <w:sz w:val="20"/>
          <w:szCs w:val="20"/>
        </w:rPr>
      </w:pPr>
      <w:r w:rsidRPr="00EA690B">
        <w:rPr>
          <w:iCs/>
          <w:color w:val="auto"/>
          <w:sz w:val="20"/>
          <w:szCs w:val="20"/>
        </w:rPr>
        <w:t xml:space="preserve">Installation du coffret pour le </w:t>
      </w:r>
      <w:proofErr w:type="spellStart"/>
      <w:r w:rsidRPr="00EA690B">
        <w:rPr>
          <w:iCs/>
          <w:color w:val="auto"/>
          <w:sz w:val="20"/>
          <w:szCs w:val="20"/>
        </w:rPr>
        <w:t>freecooling</w:t>
      </w:r>
      <w:proofErr w:type="spellEnd"/>
    </w:p>
    <w:p w14:paraId="675E4727" w14:textId="79ADFAC7" w:rsidR="00EF6424" w:rsidRPr="00EA690B" w:rsidRDefault="00EF6424" w:rsidP="00EF6424">
      <w:pPr>
        <w:pStyle w:val="Default"/>
        <w:numPr>
          <w:ilvl w:val="0"/>
          <w:numId w:val="21"/>
        </w:numPr>
        <w:jc w:val="both"/>
        <w:rPr>
          <w:iCs/>
          <w:color w:val="auto"/>
          <w:sz w:val="20"/>
          <w:szCs w:val="20"/>
        </w:rPr>
      </w:pPr>
      <w:proofErr w:type="spellStart"/>
      <w:r w:rsidRPr="00EA690B">
        <w:rPr>
          <w:iCs/>
          <w:color w:val="auto"/>
          <w:sz w:val="20"/>
          <w:szCs w:val="20"/>
        </w:rPr>
        <w:t>Echaffaudage</w:t>
      </w:r>
      <w:proofErr w:type="spellEnd"/>
      <w:r w:rsidRPr="00EA690B">
        <w:rPr>
          <w:iCs/>
          <w:color w:val="auto"/>
          <w:sz w:val="20"/>
          <w:szCs w:val="20"/>
        </w:rPr>
        <w:t xml:space="preserve"> et travail en hauteur</w:t>
      </w:r>
    </w:p>
    <w:p w14:paraId="72E7CC73" w14:textId="77777777" w:rsidR="00712BB7" w:rsidRPr="004B4849" w:rsidRDefault="00712BB7" w:rsidP="003D35B1">
      <w:pPr>
        <w:pStyle w:val="fcase2metab"/>
        <w:tabs>
          <w:tab w:val="clear" w:pos="426"/>
          <w:tab w:val="clear" w:pos="851"/>
          <w:tab w:val="left" w:pos="120"/>
        </w:tabs>
        <w:ind w:left="0" w:firstLine="0"/>
        <w:rPr>
          <w:rFonts w:ascii="Times New Roman" w:hAnsi="Times New Roman"/>
          <w:i/>
          <w:iCs/>
        </w:rPr>
      </w:pPr>
    </w:p>
    <w:p w14:paraId="3261EAAA" w14:textId="6B8F0A1E" w:rsidR="005E0101" w:rsidRPr="004B4849" w:rsidRDefault="005E0101" w:rsidP="00A46A22">
      <w:r w:rsidRPr="004B4849">
        <w:rPr>
          <w:b/>
        </w:rPr>
        <w:t xml:space="preserve">3 </w:t>
      </w:r>
      <w:r w:rsidR="00A46A22" w:rsidRPr="004B4849">
        <w:rPr>
          <w:iCs/>
        </w:rPr>
        <w:t xml:space="preserve">– </w:t>
      </w:r>
      <w:r w:rsidRPr="004B4849">
        <w:t>Le délai global de paiement est de</w:t>
      </w:r>
      <w:r w:rsidR="00BA73E9">
        <w:t xml:space="preserve"> </w:t>
      </w:r>
      <w:r w:rsidRPr="004B4849">
        <w:t>:</w:t>
      </w:r>
    </w:p>
    <w:p w14:paraId="717456A5" w14:textId="77777777" w:rsidR="005E0101" w:rsidRDefault="00A46A22" w:rsidP="005E0101">
      <w:pPr>
        <w:jc w:val="both"/>
      </w:pPr>
      <w:r>
        <w:t xml:space="preserve">- </w:t>
      </w:r>
      <w:r w:rsidR="00A034E7">
        <w:t>30</w:t>
      </w:r>
      <w:r w:rsidR="005E0101" w:rsidRPr="004B4849">
        <w:t xml:space="preserve"> jours à partir de la constatat</w:t>
      </w:r>
      <w:r>
        <w:t>ion du service fait par le CNRS </w:t>
      </w:r>
      <w:r w:rsidR="005E0101" w:rsidRPr="004B4849">
        <w:t>;</w:t>
      </w:r>
    </w:p>
    <w:p w14:paraId="172CDE72" w14:textId="77777777" w:rsidR="005E0101" w:rsidRPr="004B4849" w:rsidRDefault="00A46A22" w:rsidP="005E0101">
      <w:pPr>
        <w:jc w:val="both"/>
      </w:pPr>
      <w:r>
        <w:t xml:space="preserve">- </w:t>
      </w:r>
      <w:r w:rsidR="00A034E7">
        <w:t>30</w:t>
      </w:r>
      <w:r w:rsidR="005E0101" w:rsidRPr="004B4849">
        <w:t xml:space="preserve"> jours à partir de la réception de la facture du titulaire par le CNRS si celle-ci est postérieure.</w:t>
      </w:r>
    </w:p>
    <w:p w14:paraId="2F5E8179" w14:textId="77777777" w:rsidR="00703927" w:rsidRPr="004B4849" w:rsidRDefault="00703927" w:rsidP="00C22015">
      <w:pPr>
        <w:jc w:val="both"/>
        <w:rPr>
          <w:iCs/>
        </w:rPr>
      </w:pPr>
    </w:p>
    <w:p w14:paraId="5799D26D" w14:textId="77777777" w:rsidR="001B449D" w:rsidRPr="001B449D" w:rsidRDefault="005E0101" w:rsidP="001B449D">
      <w:pPr>
        <w:rPr>
          <w:noProof/>
        </w:rPr>
      </w:pPr>
      <w:r w:rsidRPr="004B4849">
        <w:rPr>
          <w:b/>
        </w:rPr>
        <w:t>4 -</w:t>
      </w:r>
      <w:r w:rsidRPr="004B4849">
        <w:t xml:space="preserve"> </w:t>
      </w:r>
      <w:r w:rsidR="001B449D" w:rsidRPr="001B449D">
        <w:rPr>
          <w:noProof/>
        </w:rPr>
        <w:t>Le taux applicable pour le calcul des intérêts moratoires est conforme au droit en vigueur.</w:t>
      </w:r>
    </w:p>
    <w:p w14:paraId="432A86C6" w14:textId="77777777" w:rsidR="00A26141" w:rsidRPr="004B4849" w:rsidRDefault="00A26141" w:rsidP="001A798D">
      <w:pPr>
        <w:jc w:val="both"/>
        <w:rPr>
          <w:b/>
        </w:rPr>
      </w:pPr>
    </w:p>
    <w:p w14:paraId="51813857" w14:textId="54858EEA" w:rsidR="005E0101" w:rsidRDefault="005E0101" w:rsidP="00A725D8">
      <w:pPr>
        <w:jc w:val="both"/>
      </w:pPr>
      <w:r w:rsidRPr="007A31BD">
        <w:rPr>
          <w:b/>
        </w:rPr>
        <w:t>5 -</w:t>
      </w:r>
      <w:r w:rsidRPr="007A31BD">
        <w:t xml:space="preserve"> L'o</w:t>
      </w:r>
      <w:r w:rsidR="00122F0C" w:rsidRPr="007A31BD">
        <w:t xml:space="preserve">rdonnateur de la dépense est </w:t>
      </w:r>
      <w:r w:rsidR="00BB59F7" w:rsidRPr="007A31BD">
        <w:t>le Délégué</w:t>
      </w:r>
      <w:r w:rsidRPr="007A31BD">
        <w:t xml:space="preserve"> </w:t>
      </w:r>
      <w:r w:rsidR="00A034E7" w:rsidRPr="007A31BD">
        <w:t>R</w:t>
      </w:r>
      <w:r w:rsidR="00BB59F7" w:rsidRPr="007A31BD">
        <w:t>égional</w:t>
      </w:r>
      <w:r w:rsidRPr="007A31BD">
        <w:t xml:space="preserve"> de la délégation </w:t>
      </w:r>
      <w:r w:rsidR="0056667E" w:rsidRPr="007A31BD">
        <w:t xml:space="preserve">Ile de France </w:t>
      </w:r>
      <w:r w:rsidR="005C47F5" w:rsidRPr="007A31BD">
        <w:t>Gif sur Yvette</w:t>
      </w:r>
      <w:r w:rsidR="001B449D" w:rsidRPr="007A31BD">
        <w:t xml:space="preserve"> </w:t>
      </w:r>
      <w:r w:rsidRPr="007A31BD">
        <w:t>du CNRS.</w:t>
      </w:r>
    </w:p>
    <w:p w14:paraId="71AB1338" w14:textId="2EF16CA5" w:rsidR="001650E7" w:rsidRPr="007A31BD" w:rsidRDefault="001650E7" w:rsidP="00A725D8">
      <w:pPr>
        <w:jc w:val="both"/>
      </w:pPr>
    </w:p>
    <w:p w14:paraId="7740DEE1" w14:textId="77777777" w:rsidR="00801635" w:rsidRPr="007A31BD" w:rsidRDefault="005E0101" w:rsidP="00801635">
      <w:pPr>
        <w:jc w:val="both"/>
      </w:pPr>
      <w:r w:rsidRPr="007A31BD">
        <w:rPr>
          <w:b/>
        </w:rPr>
        <w:t>6 -</w:t>
      </w:r>
      <w:r w:rsidRPr="007A31BD">
        <w:t xml:space="preserve"> Le comptable assignataire des paiements est l'Agent comptable secondaire de la délégation </w:t>
      </w:r>
      <w:r w:rsidR="0056667E" w:rsidRPr="007A31BD">
        <w:t xml:space="preserve">Ile de France </w:t>
      </w:r>
      <w:r w:rsidR="005C47F5" w:rsidRPr="007A31BD">
        <w:t>Gif sur Yvette</w:t>
      </w:r>
      <w:r w:rsidR="001B449D" w:rsidRPr="007A31BD">
        <w:t xml:space="preserve"> </w:t>
      </w:r>
      <w:r w:rsidRPr="007A31BD">
        <w:t>du CNRS.</w:t>
      </w:r>
    </w:p>
    <w:p w14:paraId="0EB342D2" w14:textId="01579DAD" w:rsidR="00774A9A" w:rsidRDefault="00801635" w:rsidP="00D8288B">
      <w:pPr>
        <w:jc w:val="both"/>
      </w:pPr>
      <w:r w:rsidRPr="007A31BD">
        <w:t xml:space="preserve">Les règlements effectués n’ont de caractère définitif qu’après </w:t>
      </w:r>
      <w:r w:rsidR="00E44E0E" w:rsidRPr="007A31BD">
        <w:t>réception</w:t>
      </w:r>
      <w:r w:rsidRPr="007A31BD">
        <w:t>.</w:t>
      </w:r>
    </w:p>
    <w:p w14:paraId="0E17271E" w14:textId="5E37B084" w:rsidR="00774A9A" w:rsidRDefault="00774A9A" w:rsidP="00D8288B">
      <w:pPr>
        <w:jc w:val="both"/>
      </w:pPr>
    </w:p>
    <w:p w14:paraId="29445F8C" w14:textId="44682BFB" w:rsidR="00E366A3" w:rsidRDefault="00831775" w:rsidP="00D8288B">
      <w:pPr>
        <w:jc w:val="both"/>
        <w:rPr>
          <w:b/>
        </w:rPr>
      </w:pPr>
      <w:r>
        <w:rPr>
          <w:b/>
        </w:rPr>
        <w:t>1</w:t>
      </w:r>
      <w:r w:rsidR="00EA690B">
        <w:rPr>
          <w:b/>
        </w:rPr>
        <w:t>1</w:t>
      </w:r>
      <w:r w:rsidR="00D8288B">
        <w:rPr>
          <w:b/>
        </w:rPr>
        <w:t xml:space="preserve">) </w:t>
      </w:r>
      <w:r w:rsidR="00337817">
        <w:rPr>
          <w:b/>
        </w:rPr>
        <w:t>RECEPTION</w:t>
      </w:r>
      <w:r w:rsidR="00E366A3" w:rsidRPr="005432A6">
        <w:rPr>
          <w:b/>
        </w:rPr>
        <w:t>- DECISION</w:t>
      </w:r>
    </w:p>
    <w:p w14:paraId="3F1259CC" w14:textId="232BBF34" w:rsidR="00E366A3" w:rsidRDefault="00B33795" w:rsidP="00E366A3">
      <w:pPr>
        <w:jc w:val="both"/>
      </w:pPr>
      <w:r>
        <w:t>Conformément à l’article 41 du CCAG/T</w:t>
      </w:r>
      <w:r w:rsidR="007975D3">
        <w:t>ravaux</w:t>
      </w:r>
      <w:r w:rsidR="00E366A3" w:rsidRPr="005432A6">
        <w:t xml:space="preserve">, les </w:t>
      </w:r>
      <w:r w:rsidR="00E366A3" w:rsidRPr="00D77F8E">
        <w:t xml:space="preserve">opérations de </w:t>
      </w:r>
      <w:r w:rsidR="00337817">
        <w:t>réception</w:t>
      </w:r>
      <w:r w:rsidR="00CB1132">
        <w:t>, les décisions</w:t>
      </w:r>
      <w:r w:rsidR="00E366A3" w:rsidRPr="005432A6">
        <w:t xml:space="preserve"> </w:t>
      </w:r>
      <w:r w:rsidR="00937BFB">
        <w:t>de réception ou l’émission de réserves</w:t>
      </w:r>
      <w:r w:rsidR="00E366A3" w:rsidRPr="005432A6">
        <w:t xml:space="preserve"> sont </w:t>
      </w:r>
      <w:r w:rsidR="00E366A3" w:rsidRPr="00F06230">
        <w:t xml:space="preserve">effectuées par </w:t>
      </w:r>
      <w:r w:rsidR="00312438" w:rsidRPr="00F06230">
        <w:t>le Service Technique et Logistique</w:t>
      </w:r>
      <w:r w:rsidR="00312438">
        <w:t xml:space="preserve"> (STL)</w:t>
      </w:r>
      <w:r w:rsidR="00C24331">
        <w:t>.</w:t>
      </w:r>
    </w:p>
    <w:p w14:paraId="3E0BBC14" w14:textId="77777777" w:rsidR="00C24331" w:rsidRPr="005432A6" w:rsidRDefault="00C24331" w:rsidP="00E366A3">
      <w:pPr>
        <w:jc w:val="both"/>
      </w:pPr>
    </w:p>
    <w:p w14:paraId="633B245B" w14:textId="77777777" w:rsidR="00C938B2" w:rsidRDefault="00C24331" w:rsidP="00E366A3">
      <w:pPr>
        <w:jc w:val="both"/>
      </w:pPr>
      <w:r>
        <w:t xml:space="preserve">Le déroulement des opérations de </w:t>
      </w:r>
      <w:r w:rsidR="00B43CD9">
        <w:t>réception</w:t>
      </w:r>
      <w:r>
        <w:t xml:space="preserve"> se déroule :</w:t>
      </w:r>
    </w:p>
    <w:p w14:paraId="6EEE8FC5" w14:textId="77777777" w:rsidR="00C24331" w:rsidRDefault="00C24331" w:rsidP="00E366A3">
      <w:pPr>
        <w:jc w:val="both"/>
      </w:pPr>
    </w:p>
    <w:p w14:paraId="510E7B2A" w14:textId="17DE91F1" w:rsidR="00B45E41" w:rsidRPr="00B5316D" w:rsidRDefault="00E366A3" w:rsidP="00B45E41">
      <w:pPr>
        <w:jc w:val="both"/>
      </w:pPr>
      <w:r w:rsidRPr="00C55A1F">
        <w:t xml:space="preserve">Conformément à l’article </w:t>
      </w:r>
      <w:r w:rsidR="002F3333" w:rsidRPr="00C55A1F">
        <w:t>41 et 42</w:t>
      </w:r>
      <w:r w:rsidRPr="00C55A1F">
        <w:t xml:space="preserve"> du CCAG/</w:t>
      </w:r>
      <w:r w:rsidR="002F3333" w:rsidRPr="00C55A1F">
        <w:t>T</w:t>
      </w:r>
      <w:r w:rsidR="009375A2" w:rsidRPr="00C55A1F">
        <w:t>ravaux</w:t>
      </w:r>
      <w:r w:rsidRPr="00C55A1F">
        <w:t xml:space="preserve">, le laboratoire dispose d’un délai de </w:t>
      </w:r>
      <w:r w:rsidR="00C55A1F" w:rsidRPr="00C55A1F">
        <w:t>1</w:t>
      </w:r>
      <w:r w:rsidRPr="00C55A1F">
        <w:t xml:space="preserve"> </w:t>
      </w:r>
      <w:r w:rsidR="00EA690B">
        <w:t>semaine</w:t>
      </w:r>
      <w:r w:rsidRPr="00C55A1F">
        <w:t xml:space="preserve"> pour effectuer les opérations </w:t>
      </w:r>
      <w:r w:rsidR="009375A2" w:rsidRPr="00C55A1F">
        <w:t>préalables</w:t>
      </w:r>
      <w:r w:rsidR="009375A2">
        <w:t xml:space="preserve"> </w:t>
      </w:r>
      <w:r w:rsidRPr="00757C18">
        <w:t xml:space="preserve">de vérification des </w:t>
      </w:r>
      <w:r w:rsidR="00B040D5" w:rsidRPr="00B5316D">
        <w:t>travaux</w:t>
      </w:r>
      <w:r w:rsidR="009375A2">
        <w:t xml:space="preserve"> (OPR)</w:t>
      </w:r>
      <w:r w:rsidRPr="00B5316D">
        <w:t xml:space="preserve">, </w:t>
      </w:r>
      <w:r w:rsidR="002F3333" w:rsidRPr="00B5316D">
        <w:t xml:space="preserve">à compter de la date de réception de l'avis fixant la date </w:t>
      </w:r>
      <w:r w:rsidR="002F3333" w:rsidRPr="00B5316D">
        <w:t>d'achèvement des travaux émis par le titulaire.</w:t>
      </w:r>
      <w:r w:rsidR="00B45E41" w:rsidRPr="00B5316D">
        <w:t xml:space="preserve"> Ces opérations </w:t>
      </w:r>
      <w:r w:rsidR="006379A9" w:rsidRPr="00B5316D">
        <w:t xml:space="preserve">de réception </w:t>
      </w:r>
      <w:r w:rsidR="00B45E41" w:rsidRPr="00B5316D">
        <w:t>font l'objet d'un procès-verbal dressé sur-le-champ par le maître d'œuvre et signé par lui et par le titulaire. Si le titulaire refuse de signer le procès-verbal, il en est fait mention. Un exemplaire est remis au titulaire.</w:t>
      </w:r>
    </w:p>
    <w:p w14:paraId="3397EB2D" w14:textId="7D650E79" w:rsidR="00122F0C" w:rsidRDefault="00B45E41" w:rsidP="00B45E41">
      <w:pPr>
        <w:jc w:val="both"/>
      </w:pPr>
      <w:r w:rsidRPr="00BA73E9">
        <w:t>Dans le délai de cinq jours suivant la date du procès-verbal, le maître d'œuvre</w:t>
      </w:r>
      <w:r w:rsidRPr="00B5316D">
        <w:t xml:space="preserve"> fait connaître au titulaire s'il a ou non proposé au représentant du pouvoir adjudicateur de prononcer la réception des ouvrages et, dans l'affirmative, la date d'achèvement des travaux qu'il a proposé de retenir, ainsi que les réserves dont il a éventuellement proposé d'assortir la réception.</w:t>
      </w:r>
    </w:p>
    <w:p w14:paraId="6625ECEB" w14:textId="28E9273A" w:rsidR="006379A9" w:rsidRDefault="006379A9" w:rsidP="00B45E41">
      <w:pPr>
        <w:jc w:val="both"/>
      </w:pPr>
    </w:p>
    <w:p w14:paraId="6A43668A" w14:textId="77777777" w:rsidR="00122F0C" w:rsidRDefault="00122F0C" w:rsidP="00E366A3">
      <w:pPr>
        <w:jc w:val="both"/>
      </w:pPr>
    </w:p>
    <w:p w14:paraId="6A99E954" w14:textId="2810CB2E" w:rsidR="00247492" w:rsidRPr="006A05A6" w:rsidRDefault="00247492" w:rsidP="00DA75E0">
      <w:pPr>
        <w:jc w:val="both"/>
        <w:rPr>
          <w:b/>
        </w:rPr>
      </w:pPr>
      <w:r>
        <w:rPr>
          <w:b/>
        </w:rPr>
        <w:t>1</w:t>
      </w:r>
      <w:r w:rsidR="00EA690B">
        <w:rPr>
          <w:b/>
        </w:rPr>
        <w:t>2</w:t>
      </w:r>
      <w:r w:rsidR="00590F52" w:rsidRPr="006A05A6">
        <w:rPr>
          <w:b/>
        </w:rPr>
        <w:t>) RESILIATION</w:t>
      </w:r>
    </w:p>
    <w:p w14:paraId="2D9929F6" w14:textId="1F688FCF" w:rsidR="00590F52" w:rsidRPr="002C1A76" w:rsidRDefault="00590F52" w:rsidP="002C1A76">
      <w:pPr>
        <w:jc w:val="both"/>
      </w:pPr>
      <w:r w:rsidRPr="002C1A76">
        <w:t>Le CNRS peut</w:t>
      </w:r>
      <w:r w:rsidR="00F804F2" w:rsidRPr="002C1A76">
        <w:t xml:space="preserve"> mettre fin à l’exécution des </w:t>
      </w:r>
      <w:r w:rsidR="00261D5B" w:rsidRPr="002C1A76">
        <w:t xml:space="preserve">travaux </w:t>
      </w:r>
      <w:r w:rsidR="00F804F2" w:rsidRPr="002C1A76">
        <w:t>du présent marché avant l’achèvement de ce</w:t>
      </w:r>
      <w:r w:rsidR="00261D5B" w:rsidRPr="002C1A76">
        <w:t>ux</w:t>
      </w:r>
      <w:r w:rsidR="00F804F2" w:rsidRPr="002C1A76">
        <w:t xml:space="preserve">-ci, et notamment </w:t>
      </w:r>
      <w:r w:rsidR="00F34AF3" w:rsidRPr="002C1A76">
        <w:t>en cas de</w:t>
      </w:r>
      <w:r w:rsidR="00F804F2" w:rsidRPr="002C1A76">
        <w:t xml:space="preserve"> faute</w:t>
      </w:r>
      <w:r w:rsidR="00F34AF3" w:rsidRPr="002C1A76">
        <w:t xml:space="preserve"> du titulaire</w:t>
      </w:r>
      <w:r w:rsidR="00F804F2" w:rsidRPr="002C1A76">
        <w:t xml:space="preserve"> tel que prévu à l’article </w:t>
      </w:r>
      <w:r w:rsidR="00864F5C">
        <w:t>50.3</w:t>
      </w:r>
      <w:r w:rsidR="00F804F2" w:rsidRPr="002C1A76">
        <w:t xml:space="preserve"> du </w:t>
      </w:r>
      <w:r w:rsidR="00A44940" w:rsidRPr="002C1A76">
        <w:t>CCAG</w:t>
      </w:r>
      <w:r w:rsidR="004C6580" w:rsidRPr="002C1A76">
        <w:t>/</w:t>
      </w:r>
      <w:r w:rsidR="00261D5B" w:rsidRPr="002C1A76">
        <w:t>T</w:t>
      </w:r>
      <w:r w:rsidR="009375A2" w:rsidRPr="002C1A76">
        <w:t>ravaux</w:t>
      </w:r>
      <w:r w:rsidR="00122F0C" w:rsidRPr="002C1A76">
        <w:t>. C</w:t>
      </w:r>
      <w:r w:rsidR="006A05A6" w:rsidRPr="002C1A76">
        <w:t xml:space="preserve">ette résiliation </w:t>
      </w:r>
      <w:r w:rsidR="00D166FA" w:rsidRPr="002C1A76">
        <w:t>s’effectue</w:t>
      </w:r>
      <w:r w:rsidR="006A05A6" w:rsidRPr="002C1A76">
        <w:t xml:space="preserve"> </w:t>
      </w:r>
      <w:r w:rsidR="00F804F2" w:rsidRPr="002C1A76">
        <w:t>avec une mise en demeure préalable</w:t>
      </w:r>
      <w:r w:rsidR="00B15264" w:rsidRPr="002C1A76">
        <w:t xml:space="preserve"> prévue à l’article </w:t>
      </w:r>
      <w:r w:rsidR="00864F5C">
        <w:t>50</w:t>
      </w:r>
      <w:r w:rsidR="00B15264" w:rsidRPr="002C1A76">
        <w:t xml:space="preserve">.3.2 et </w:t>
      </w:r>
      <w:r w:rsidR="00864F5C">
        <w:t>50</w:t>
      </w:r>
      <w:r w:rsidR="00B15264" w:rsidRPr="002C1A76">
        <w:t>.3.3 du CCAG/T</w:t>
      </w:r>
      <w:r w:rsidR="009375A2" w:rsidRPr="002C1A76">
        <w:t>ravaux.</w:t>
      </w:r>
    </w:p>
    <w:p w14:paraId="67EB922A" w14:textId="77777777" w:rsidR="00F90CF1" w:rsidRPr="002C1A76" w:rsidRDefault="00F90CF1" w:rsidP="002C1A76">
      <w:pPr>
        <w:jc w:val="both"/>
      </w:pPr>
    </w:p>
    <w:p w14:paraId="53534041" w14:textId="465C1AFC" w:rsidR="00F90CF1" w:rsidRPr="002C1A76" w:rsidRDefault="00F90CF1" w:rsidP="002C1A76">
      <w:pPr>
        <w:jc w:val="both"/>
      </w:pPr>
      <w:r w:rsidRPr="002C1A76">
        <w:t>Le CNRS peut résilier le marché selon les dispositions du chapitre V</w:t>
      </w:r>
      <w:r w:rsidR="00864F5C">
        <w:t>I</w:t>
      </w:r>
      <w:r w:rsidRPr="002C1A76">
        <w:t xml:space="preserve">I : Résiliation du marché. </w:t>
      </w:r>
      <w:r w:rsidR="00BD5206" w:rsidRPr="002C1A76">
        <w:t>-</w:t>
      </w:r>
      <w:r w:rsidRPr="002C1A76">
        <w:t>Interruption des travaux du CCAG/T</w:t>
      </w:r>
      <w:r w:rsidR="009375A2" w:rsidRPr="002C1A76">
        <w:t>ravaux</w:t>
      </w:r>
    </w:p>
    <w:p w14:paraId="3BD4E624" w14:textId="6ECB5E42" w:rsidR="00F90CF1" w:rsidRPr="002C1A76" w:rsidRDefault="00F90CF1" w:rsidP="002C1A76">
      <w:pPr>
        <w:jc w:val="both"/>
      </w:pPr>
      <w:r w:rsidRPr="002C1A76">
        <w:t xml:space="preserve">Le CNRS peut décider de faire exécuter le marché aux frais et risques du Titulaire dans les cas prévus à l’article </w:t>
      </w:r>
      <w:r w:rsidR="001060BF">
        <w:t>52</w:t>
      </w:r>
      <w:r w:rsidRPr="002C1A76">
        <w:t>.2 du CCAG/T</w:t>
      </w:r>
      <w:r w:rsidR="009375A2" w:rsidRPr="002C1A76">
        <w:t>ravaux</w:t>
      </w:r>
      <w:r w:rsidRPr="002C1A76">
        <w:t>.</w:t>
      </w:r>
    </w:p>
    <w:p w14:paraId="718DB576" w14:textId="69912D14" w:rsidR="005A1394" w:rsidRPr="002C1A76" w:rsidRDefault="00F90CF1" w:rsidP="002C1A76">
      <w:pPr>
        <w:jc w:val="both"/>
      </w:pPr>
      <w:r w:rsidRPr="002C1A76">
        <w:t xml:space="preserve">Le CNRS peut mettre fin à l’exécution </w:t>
      </w:r>
      <w:r w:rsidR="00E0069B" w:rsidRPr="002C1A76">
        <w:t>du marché</w:t>
      </w:r>
      <w:r w:rsidRPr="002C1A76">
        <w:t xml:space="preserve"> à la demande du titulaire dans les conditions prévues à l’article </w:t>
      </w:r>
      <w:r w:rsidR="001060BF">
        <w:t>52</w:t>
      </w:r>
      <w:r w:rsidRPr="002C1A76">
        <w:t xml:space="preserve"> du CCAG/T</w:t>
      </w:r>
      <w:r w:rsidR="009375A2" w:rsidRPr="002C1A76">
        <w:t>ravaux</w:t>
      </w:r>
      <w:r w:rsidRPr="002C1A76">
        <w:t>.</w:t>
      </w:r>
    </w:p>
    <w:p w14:paraId="52CFF79F" w14:textId="2A5B1988" w:rsidR="00831775" w:rsidRDefault="00831775" w:rsidP="002C1A76">
      <w:pPr>
        <w:jc w:val="both"/>
      </w:pPr>
    </w:p>
    <w:p w14:paraId="03EF2DC8" w14:textId="77777777" w:rsidR="001650E7" w:rsidRPr="002C1A76" w:rsidRDefault="001650E7" w:rsidP="002C1A76">
      <w:pPr>
        <w:jc w:val="both"/>
      </w:pPr>
    </w:p>
    <w:p w14:paraId="64776D85" w14:textId="2D52E5B2" w:rsidR="00801635" w:rsidRPr="00831775" w:rsidRDefault="00590F52" w:rsidP="00831775">
      <w:pPr>
        <w:jc w:val="both"/>
        <w:rPr>
          <w:b/>
        </w:rPr>
      </w:pPr>
      <w:r w:rsidRPr="00831775">
        <w:rPr>
          <w:b/>
        </w:rPr>
        <w:t>1</w:t>
      </w:r>
      <w:r w:rsidR="00EA690B">
        <w:rPr>
          <w:b/>
        </w:rPr>
        <w:t>3</w:t>
      </w:r>
      <w:r w:rsidRPr="00831775">
        <w:rPr>
          <w:b/>
        </w:rPr>
        <w:t>) GARANTIE</w:t>
      </w:r>
      <w:r w:rsidR="00602F23" w:rsidRPr="00831775">
        <w:rPr>
          <w:b/>
        </w:rPr>
        <w:t xml:space="preserve"> </w:t>
      </w:r>
    </w:p>
    <w:p w14:paraId="54B178AF" w14:textId="7C4F3A1C" w:rsidR="00141ED0" w:rsidRDefault="00141ED0" w:rsidP="0058125B">
      <w:pPr>
        <w:jc w:val="both"/>
      </w:pPr>
      <w:r w:rsidRPr="00141ED0">
        <w:t>Conformément à l’article 44.1 du CCAG/T</w:t>
      </w:r>
      <w:r w:rsidR="009375A2">
        <w:t>ravaux</w:t>
      </w:r>
      <w:r w:rsidRPr="00141ED0">
        <w:t>, le titulaire est tenu à une garantie dite « obligation de parfait achèvement »</w:t>
      </w:r>
    </w:p>
    <w:p w14:paraId="20378087" w14:textId="7F578EE1" w:rsidR="00965CB8" w:rsidRDefault="00111ED0" w:rsidP="0058125B">
      <w:pPr>
        <w:jc w:val="both"/>
      </w:pPr>
      <w:r>
        <w:t>Garantie biennale</w:t>
      </w:r>
      <w:r w:rsidRPr="00111ED0">
        <w:t xml:space="preserve"> </w:t>
      </w:r>
      <w:r>
        <w:t>conformément à l’</w:t>
      </w:r>
      <w:r w:rsidRPr="00111ED0">
        <w:t xml:space="preserve">article 1792-3 </w:t>
      </w:r>
      <w:r>
        <w:t>du</w:t>
      </w:r>
      <w:r w:rsidRPr="00111ED0">
        <w:t xml:space="preserve"> Code civil p</w:t>
      </w:r>
      <w:r>
        <w:t>récise que</w:t>
      </w:r>
      <w:r w:rsidRPr="00111ED0">
        <w:t xml:space="preserve"> </w:t>
      </w:r>
      <w:r>
        <w:t>l</w:t>
      </w:r>
      <w:r w:rsidRPr="00111ED0">
        <w:t xml:space="preserve">es autres éléments d’équipement de l’ouvrage font l’objet d’une garantie de bon fonctionnement d’une durée minimale de deux </w:t>
      </w:r>
      <w:r>
        <w:t xml:space="preserve">ans à compter de sa réception. </w:t>
      </w:r>
    </w:p>
    <w:p w14:paraId="02ACA9FE" w14:textId="09BC0E0D" w:rsidR="00965CB8" w:rsidRDefault="00965CB8" w:rsidP="0058125B">
      <w:pPr>
        <w:jc w:val="both"/>
      </w:pPr>
    </w:p>
    <w:p w14:paraId="0E73CBA3" w14:textId="77777777" w:rsidR="001650E7" w:rsidRDefault="001650E7" w:rsidP="0058125B">
      <w:pPr>
        <w:jc w:val="both"/>
      </w:pPr>
    </w:p>
    <w:p w14:paraId="2FC58C1D" w14:textId="7A0F56E6" w:rsidR="00980333" w:rsidRDefault="00831775" w:rsidP="0058125B">
      <w:pPr>
        <w:jc w:val="both"/>
        <w:rPr>
          <w:b/>
          <w:bCs/>
        </w:rPr>
      </w:pPr>
      <w:r>
        <w:rPr>
          <w:b/>
          <w:bCs/>
        </w:rPr>
        <w:t>1</w:t>
      </w:r>
      <w:r w:rsidR="00EA690B">
        <w:rPr>
          <w:b/>
          <w:bCs/>
        </w:rPr>
        <w:t>4</w:t>
      </w:r>
      <w:r w:rsidR="00980333">
        <w:rPr>
          <w:b/>
          <w:bCs/>
        </w:rPr>
        <w:t>) SOUS TRAITANCE</w:t>
      </w:r>
    </w:p>
    <w:p w14:paraId="70DF2EC8" w14:textId="22660D95" w:rsidR="00980333" w:rsidRDefault="00980333" w:rsidP="00980333">
      <w:pPr>
        <w:jc w:val="both"/>
      </w:pPr>
      <w:r>
        <w:t xml:space="preserve">Le titulaire ne peut sous-traiter l’exécution de certaines parties du marché que sous la réserve de l’acceptation du ou des sous-traitant(s) par le CNRS et de l’agrément des conditions de paiement de chaque sous-traitant au sens de la loi n° 75-1334 du 31 décembre 1975 relative à la sous-traitance. </w:t>
      </w:r>
    </w:p>
    <w:p w14:paraId="3D129BC1" w14:textId="0B57E790" w:rsidR="00980333" w:rsidRDefault="00980333" w:rsidP="00980333">
      <w:pPr>
        <w:jc w:val="both"/>
      </w:pPr>
    </w:p>
    <w:p w14:paraId="0DEE0093" w14:textId="149548CB" w:rsidR="00980333" w:rsidRDefault="00980333" w:rsidP="00980333">
      <w:pPr>
        <w:jc w:val="both"/>
      </w:pPr>
      <w:r>
        <w:t xml:space="preserve">En vue de s’assurer de cette acceptation et de cet agrément, et de permettre la mise en place du paiement direct, le titulaire qui souhaiterait, en cours d’exécution du marché, avoir recours à un ou des sous-traitant(s), remet </w:t>
      </w:r>
      <w:r w:rsidR="007C3AFD">
        <w:t>à l’acheteur</w:t>
      </w:r>
      <w:r>
        <w:t xml:space="preserve"> du CNRS pour validation des références, l’ensemble des documents relatif à la déclaration du sous-traitant : </w:t>
      </w:r>
    </w:p>
    <w:p w14:paraId="7E98C97C" w14:textId="77777777" w:rsidR="00980333" w:rsidRDefault="00980333" w:rsidP="00980333">
      <w:pPr>
        <w:jc w:val="both"/>
      </w:pPr>
      <w:r>
        <w:t>-</w:t>
      </w:r>
      <w:r>
        <w:tab/>
        <w:t>la déclaration du sous-traitant (DC4) dûment signée par le titulaire et par le sous-traitant.</w:t>
      </w:r>
    </w:p>
    <w:p w14:paraId="4676A231" w14:textId="77777777" w:rsidR="00980333" w:rsidRDefault="00980333" w:rsidP="00980333">
      <w:pPr>
        <w:jc w:val="both"/>
      </w:pPr>
      <w:r>
        <w:t>-</w:t>
      </w:r>
      <w:r>
        <w:tab/>
        <w:t>La déclaration du candidat (DC2)</w:t>
      </w:r>
    </w:p>
    <w:p w14:paraId="50390D4A" w14:textId="77777777" w:rsidR="00980333" w:rsidRDefault="00980333" w:rsidP="00980333">
      <w:pPr>
        <w:jc w:val="both"/>
      </w:pPr>
      <w:r>
        <w:t>-</w:t>
      </w:r>
      <w:r>
        <w:tab/>
        <w:t>Les attestations fiscales et sociales à jour</w:t>
      </w:r>
    </w:p>
    <w:p w14:paraId="37BFA168" w14:textId="77777777" w:rsidR="00980333" w:rsidRDefault="00980333" w:rsidP="00980333">
      <w:pPr>
        <w:jc w:val="both"/>
      </w:pPr>
      <w:r>
        <w:t>-</w:t>
      </w:r>
      <w:r>
        <w:tab/>
        <w:t>Capacités professionnelles, références qualité (moyens humains et techniques : ISO) avancées sont bien réelles,</w:t>
      </w:r>
    </w:p>
    <w:p w14:paraId="4D9FDE3C" w14:textId="77777777" w:rsidR="00980333" w:rsidRDefault="00980333" w:rsidP="00980333">
      <w:pPr>
        <w:jc w:val="both"/>
      </w:pPr>
      <w:r>
        <w:t>-</w:t>
      </w:r>
      <w:r>
        <w:tab/>
        <w:t>Les attestations d’assurances en responsabilité civile et décennale en cours de validité</w:t>
      </w:r>
    </w:p>
    <w:p w14:paraId="091D7A45" w14:textId="77777777" w:rsidR="00980333" w:rsidRDefault="00980333" w:rsidP="00980333">
      <w:pPr>
        <w:jc w:val="both"/>
      </w:pPr>
      <w:r>
        <w:t>-</w:t>
      </w:r>
      <w:r>
        <w:tab/>
        <w:t>Un RIB,</w:t>
      </w:r>
    </w:p>
    <w:p w14:paraId="4AE84DB5" w14:textId="77777777" w:rsidR="00980333" w:rsidRDefault="00980333" w:rsidP="00980333">
      <w:pPr>
        <w:jc w:val="both"/>
      </w:pPr>
      <w:r>
        <w:t>-</w:t>
      </w:r>
      <w:r>
        <w:tab/>
        <w:t>KBIS de moins de trois mois,</w:t>
      </w:r>
    </w:p>
    <w:p w14:paraId="2AD6EEA9" w14:textId="17989CC8" w:rsidR="00980333" w:rsidRDefault="00980333" w:rsidP="00980333">
      <w:pPr>
        <w:jc w:val="both"/>
      </w:pPr>
    </w:p>
    <w:p w14:paraId="128E9A2C" w14:textId="77777777" w:rsidR="00980333" w:rsidRDefault="00980333" w:rsidP="00980333">
      <w:pPr>
        <w:jc w:val="both"/>
      </w:pPr>
      <w:r>
        <w:t xml:space="preserve">Cet agrément ne sera recevable que sous réserve que la demande en soit faite par le titulaire dans un délai compatible avec la date prévisionnelle d’intervention du sous-traitant. </w:t>
      </w:r>
    </w:p>
    <w:p w14:paraId="03BD361F" w14:textId="77777777" w:rsidR="00980333" w:rsidRDefault="00980333" w:rsidP="00980333">
      <w:pPr>
        <w:jc w:val="both"/>
      </w:pPr>
    </w:p>
    <w:p w14:paraId="0CD1F637" w14:textId="379850CC" w:rsidR="00980333" w:rsidRDefault="00980333" w:rsidP="00980333">
      <w:pPr>
        <w:jc w:val="both"/>
      </w:pPr>
      <w:r>
        <w:t xml:space="preserve">L’acceptation finale du sous-traitant par le CNRS et l’agrément de ses conditions de paiement sont constatés par la signature et la notification d’un acte spécial de sous-traitance (DC4). </w:t>
      </w:r>
    </w:p>
    <w:p w14:paraId="6DDF633C" w14:textId="77777777" w:rsidR="00980333" w:rsidRDefault="00980333" w:rsidP="00980333">
      <w:pPr>
        <w:jc w:val="both"/>
      </w:pPr>
    </w:p>
    <w:p w14:paraId="2DEEEB09" w14:textId="21D24039" w:rsidR="00980333" w:rsidRDefault="00980333" w:rsidP="00980333">
      <w:pPr>
        <w:jc w:val="both"/>
      </w:pPr>
      <w:r>
        <w:t xml:space="preserve">Le </w:t>
      </w:r>
      <w:r w:rsidR="00757C18">
        <w:t>sous-traitant</w:t>
      </w:r>
      <w:r>
        <w:t xml:space="preserve"> est soumis aux mêmes conditions contractuelles que le titulaire.</w:t>
      </w:r>
    </w:p>
    <w:p w14:paraId="41BB8406" w14:textId="4542E86E" w:rsidR="00980333" w:rsidRDefault="00980333" w:rsidP="00980333">
      <w:pPr>
        <w:jc w:val="both"/>
      </w:pPr>
      <w:r>
        <w:t xml:space="preserve">Toutefois, le titulaire est le seul responsable auprès du CNRS des approvisionnements de ses fournisseurs et de l’exécution de </w:t>
      </w:r>
      <w:r w:rsidR="006264B4">
        <w:t>du marché</w:t>
      </w:r>
      <w:r>
        <w:t>.</w:t>
      </w:r>
    </w:p>
    <w:p w14:paraId="51C4A628" w14:textId="77777777" w:rsidR="00980333" w:rsidRDefault="00980333" w:rsidP="00980333">
      <w:pPr>
        <w:jc w:val="both"/>
      </w:pPr>
    </w:p>
    <w:p w14:paraId="6011E5CC" w14:textId="199F72E7" w:rsidR="00193888" w:rsidRDefault="00980333" w:rsidP="00980333">
      <w:pPr>
        <w:jc w:val="both"/>
      </w:pPr>
      <w:r>
        <w:t>Tout changement, pour quelque raison que ce soit, de l’un des sous-traitants, de la nature ou de la quantité du travail sous-traité, doit obtenir au préalable l’accord écrit du CNRS, sous la forme de notification de l’avenant spécial de sous-traitance concerné.</w:t>
      </w:r>
    </w:p>
    <w:p w14:paraId="1507CA75" w14:textId="66AF0B96" w:rsidR="006264B4" w:rsidRDefault="006264B4" w:rsidP="00980333">
      <w:pPr>
        <w:jc w:val="both"/>
      </w:pPr>
    </w:p>
    <w:p w14:paraId="645C63E3" w14:textId="77777777" w:rsidR="001650E7" w:rsidRDefault="001650E7" w:rsidP="00980333">
      <w:pPr>
        <w:jc w:val="both"/>
      </w:pPr>
    </w:p>
    <w:p w14:paraId="0E268E8D" w14:textId="594D08A4" w:rsidR="00757C18" w:rsidRPr="00CC1B2D" w:rsidRDefault="00590F52" w:rsidP="00757C18">
      <w:pPr>
        <w:rPr>
          <w:b/>
        </w:rPr>
      </w:pPr>
      <w:r w:rsidRPr="00CC1B2D">
        <w:rPr>
          <w:b/>
        </w:rPr>
        <w:t>1</w:t>
      </w:r>
      <w:r w:rsidR="00EA690B">
        <w:rPr>
          <w:b/>
        </w:rPr>
        <w:t>5</w:t>
      </w:r>
      <w:r w:rsidR="00A44940" w:rsidRPr="00CC1B2D">
        <w:rPr>
          <w:b/>
        </w:rPr>
        <w:t>)</w:t>
      </w:r>
      <w:r w:rsidRPr="00CC1B2D">
        <w:rPr>
          <w:b/>
        </w:rPr>
        <w:t xml:space="preserve"> LITIGES</w:t>
      </w:r>
    </w:p>
    <w:p w14:paraId="510A3EF3" w14:textId="77777777" w:rsidR="00590F52" w:rsidRPr="004B4849" w:rsidRDefault="00590F52" w:rsidP="00590F52">
      <w:pPr>
        <w:jc w:val="both"/>
      </w:pPr>
      <w:r w:rsidRPr="004B4849">
        <w:t xml:space="preserve">Les contestations qui peuvent survenir entre le CNRS et le titulaire ne peuvent être invoquées par ce dernier comme cause d’arrêt ou de suspension </w:t>
      </w:r>
      <w:r w:rsidR="00397039">
        <w:t>des travaux</w:t>
      </w:r>
      <w:r w:rsidRPr="004B4849">
        <w:t xml:space="preserve">. Les parties s’efforceront de résoudre leur différend à l’amiable. </w:t>
      </w:r>
    </w:p>
    <w:p w14:paraId="111DC10E" w14:textId="77777777" w:rsidR="00415F8D" w:rsidRPr="004B4849" w:rsidRDefault="00590F52" w:rsidP="0058125B">
      <w:pPr>
        <w:jc w:val="both"/>
      </w:pPr>
      <w:r w:rsidRPr="004B4849">
        <w:t xml:space="preserve">En cas de litige, la loi française est seule applicable et le tribunal administratif du lieu d’exécution </w:t>
      </w:r>
      <w:r w:rsidR="00F62E79">
        <w:t xml:space="preserve">du présent marché </w:t>
      </w:r>
      <w:r w:rsidRPr="004B4849">
        <w:t>est seul compétent.</w:t>
      </w:r>
    </w:p>
    <w:p w14:paraId="2CA1DC3F" w14:textId="79A2E2E9" w:rsidR="005063F0" w:rsidRPr="00CC1B2D" w:rsidRDefault="00590F52" w:rsidP="00CC1B2D">
      <w:pPr>
        <w:pStyle w:val="Titre1"/>
      </w:pPr>
      <w:r w:rsidRPr="00CC1B2D">
        <w:t>1</w:t>
      </w:r>
      <w:r w:rsidR="00EA690B">
        <w:t>6</w:t>
      </w:r>
      <w:r w:rsidR="00A44940" w:rsidRPr="00CC1B2D">
        <w:t>)</w:t>
      </w:r>
      <w:r w:rsidRPr="00CC1B2D">
        <w:t xml:space="preserve"> ATTESTATIONS - ASSURANCES</w:t>
      </w:r>
    </w:p>
    <w:p w14:paraId="24A7B651" w14:textId="4770F8F8" w:rsidR="002430E8" w:rsidRDefault="002430E8" w:rsidP="007C3AFD">
      <w:pPr>
        <w:jc w:val="both"/>
        <w:rPr>
          <w:noProof/>
        </w:rPr>
      </w:pPr>
      <w:r w:rsidRPr="007C3AFD">
        <w:rPr>
          <w:noProof/>
        </w:rPr>
        <w:t xml:space="preserve">Conformément à l’article 6 du CCAG </w:t>
      </w:r>
      <w:r w:rsidR="007975D3" w:rsidRPr="007C3AFD">
        <w:rPr>
          <w:noProof/>
        </w:rPr>
        <w:t>T</w:t>
      </w:r>
      <w:r w:rsidRPr="007C3AFD">
        <w:rPr>
          <w:noProof/>
        </w:rPr>
        <w:t>ravaux, les obligations</w:t>
      </w:r>
      <w:r w:rsidRPr="00341A8C">
        <w:rPr>
          <w:noProof/>
        </w:rPr>
        <w:t xml:space="preserve"> qui s'imposent au titulaire sont celles prévues par les lois et règlements relatifs à la protection de la main-d'œuvre et aux conditions de travail du pays, où cette main-d'œuvre est employée. Il est également tenu au respect des dispositions des huit conventions fondamentales de l'Organisation internationale du travail, lorsque celles-ci ne sont pas intégrées dans les lois et règlements du pays où cette main-d'œuvre est employée.</w:t>
      </w:r>
    </w:p>
    <w:p w14:paraId="540C2573" w14:textId="71058112" w:rsidR="001650E7" w:rsidRDefault="001650E7" w:rsidP="007C3AFD">
      <w:pPr>
        <w:jc w:val="both"/>
        <w:rPr>
          <w:noProof/>
        </w:rPr>
      </w:pPr>
    </w:p>
    <w:p w14:paraId="7B3576A3" w14:textId="77777777" w:rsidR="001650E7" w:rsidRDefault="001650E7" w:rsidP="007C3AFD">
      <w:pPr>
        <w:jc w:val="both"/>
        <w:rPr>
          <w:noProof/>
        </w:rPr>
      </w:pPr>
    </w:p>
    <w:p w14:paraId="16B2978B" w14:textId="78B58313" w:rsidR="00590F52" w:rsidRDefault="00801635" w:rsidP="00CC1B2D">
      <w:pPr>
        <w:pStyle w:val="Titre1"/>
      </w:pPr>
      <w:r>
        <w:t>1</w:t>
      </w:r>
      <w:r w:rsidR="00EA690B">
        <w:t>7</w:t>
      </w:r>
      <w:r>
        <w:t xml:space="preserve">) </w:t>
      </w:r>
      <w:r w:rsidR="00234534">
        <w:t xml:space="preserve">LISTE RECAPITULATIVE DES </w:t>
      </w:r>
      <w:r>
        <w:t xml:space="preserve">DEROGATIONS AU CCAG </w:t>
      </w:r>
      <w:r w:rsidR="006F1CCA">
        <w:t>T</w:t>
      </w:r>
      <w:r w:rsidR="00A27B52">
        <w:t>ravaux</w:t>
      </w:r>
    </w:p>
    <w:p w14:paraId="63F85A98" w14:textId="4D154905" w:rsidR="008C21BF" w:rsidRDefault="008C21BF" w:rsidP="008C21BF">
      <w:pPr>
        <w:pStyle w:val="Sansinterligne"/>
        <w:rPr>
          <w:rFonts w:ascii="Times New Roman" w:hAnsi="Times New Roman"/>
          <w:sz w:val="20"/>
          <w:szCs w:val="20"/>
        </w:rPr>
      </w:pPr>
      <w:r w:rsidRPr="008C21BF">
        <w:rPr>
          <w:rFonts w:ascii="Times New Roman" w:hAnsi="Times New Roman"/>
          <w:sz w:val="20"/>
          <w:szCs w:val="20"/>
        </w:rPr>
        <w:t>Toutes les dispositions du CCAG/travaux s’appliquent au présent marché sauf stipulations dérogatoires prévues dans les clauses particulières du présent contrat, selon le tableau récapitulatif ci-après :</w:t>
      </w:r>
    </w:p>
    <w:p w14:paraId="449F1DC2" w14:textId="27456642" w:rsidR="001650E7" w:rsidRDefault="001650E7" w:rsidP="008C21BF">
      <w:pPr>
        <w:pStyle w:val="Sansinterligne"/>
        <w:rPr>
          <w:rFonts w:ascii="Times New Roman" w:hAnsi="Times New Roman"/>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552"/>
      </w:tblGrid>
      <w:tr w:rsidR="008C21BF" w:rsidRPr="005D4B59" w14:paraId="2BC89BA3" w14:textId="77777777" w:rsidTr="008C21BF">
        <w:trPr>
          <w:trHeight w:val="120"/>
        </w:trPr>
        <w:tc>
          <w:tcPr>
            <w:tcW w:w="1843" w:type="dxa"/>
          </w:tcPr>
          <w:p w14:paraId="19619083" w14:textId="00D5F16C" w:rsidR="008C21BF" w:rsidRPr="008C21BF" w:rsidRDefault="008C21BF" w:rsidP="00712BB7">
            <w:pPr>
              <w:autoSpaceDE w:val="0"/>
              <w:autoSpaceDN w:val="0"/>
              <w:adjustRightInd w:val="0"/>
            </w:pPr>
            <w:r w:rsidRPr="008C21BF">
              <w:t xml:space="preserve">Articles du </w:t>
            </w:r>
            <w:r w:rsidR="00EA690B">
              <w:t>contrat</w:t>
            </w:r>
            <w:r w:rsidRPr="008C21BF">
              <w:t xml:space="preserve"> : </w:t>
            </w:r>
          </w:p>
        </w:tc>
        <w:tc>
          <w:tcPr>
            <w:tcW w:w="2552" w:type="dxa"/>
          </w:tcPr>
          <w:p w14:paraId="4EF1C2BD" w14:textId="54D19F98" w:rsidR="008C21BF" w:rsidRPr="008C21BF" w:rsidRDefault="008C21BF" w:rsidP="00712BB7">
            <w:pPr>
              <w:autoSpaceDE w:val="0"/>
              <w:autoSpaceDN w:val="0"/>
              <w:adjustRightInd w:val="0"/>
            </w:pPr>
            <w:r w:rsidRPr="008C21BF">
              <w:t>Articles du CCAG/</w:t>
            </w:r>
            <w:r>
              <w:t>travaux</w:t>
            </w:r>
            <w:r w:rsidRPr="008C21BF">
              <w:t xml:space="preserve"> : </w:t>
            </w:r>
          </w:p>
        </w:tc>
      </w:tr>
      <w:tr w:rsidR="008C21BF" w:rsidRPr="005D4B59" w14:paraId="50730EB3" w14:textId="77777777" w:rsidTr="008C21BF">
        <w:trPr>
          <w:trHeight w:val="266"/>
        </w:trPr>
        <w:tc>
          <w:tcPr>
            <w:tcW w:w="1843" w:type="dxa"/>
          </w:tcPr>
          <w:p w14:paraId="4A0780EC" w14:textId="47861BA7" w:rsidR="008C21BF" w:rsidRDefault="008C21BF" w:rsidP="00712BB7">
            <w:pPr>
              <w:autoSpaceDE w:val="0"/>
              <w:autoSpaceDN w:val="0"/>
              <w:adjustRightInd w:val="0"/>
              <w:jc w:val="center"/>
              <w:rPr>
                <w:rFonts w:ascii="Arial Narrow" w:hAnsi="Arial Narrow"/>
              </w:rPr>
            </w:pPr>
            <w:r>
              <w:rPr>
                <w:rFonts w:ascii="Arial Narrow" w:hAnsi="Arial Narrow"/>
              </w:rPr>
              <w:t>2</w:t>
            </w:r>
          </w:p>
        </w:tc>
        <w:tc>
          <w:tcPr>
            <w:tcW w:w="2552" w:type="dxa"/>
          </w:tcPr>
          <w:p w14:paraId="1CE9CD3B" w14:textId="661EE34C" w:rsidR="008C21BF" w:rsidRDefault="008C21BF" w:rsidP="00712BB7">
            <w:pPr>
              <w:autoSpaceDE w:val="0"/>
              <w:autoSpaceDN w:val="0"/>
              <w:adjustRightInd w:val="0"/>
              <w:jc w:val="center"/>
              <w:rPr>
                <w:rFonts w:ascii="Arial Narrow" w:hAnsi="Arial Narrow"/>
              </w:rPr>
            </w:pPr>
            <w:r>
              <w:rPr>
                <w:rFonts w:ascii="Arial Narrow" w:hAnsi="Arial Narrow"/>
              </w:rPr>
              <w:t xml:space="preserve">4.1 </w:t>
            </w:r>
            <w:r w:rsidR="0067281C">
              <w:rPr>
                <w:rFonts w:ascii="Arial Narrow" w:hAnsi="Arial Narrow"/>
              </w:rPr>
              <w:t>et</w:t>
            </w:r>
            <w:r>
              <w:rPr>
                <w:rFonts w:ascii="Arial Narrow" w:hAnsi="Arial Narrow"/>
              </w:rPr>
              <w:t xml:space="preserve"> 4.2</w:t>
            </w:r>
          </w:p>
        </w:tc>
      </w:tr>
      <w:tr w:rsidR="008C21BF" w:rsidRPr="005D4B59" w14:paraId="43727459" w14:textId="77777777" w:rsidTr="008C21BF">
        <w:trPr>
          <w:trHeight w:val="266"/>
        </w:trPr>
        <w:tc>
          <w:tcPr>
            <w:tcW w:w="1843" w:type="dxa"/>
          </w:tcPr>
          <w:p w14:paraId="6907C0B1" w14:textId="0A5F3797" w:rsidR="008C21BF" w:rsidRDefault="008C21BF" w:rsidP="00712BB7">
            <w:pPr>
              <w:autoSpaceDE w:val="0"/>
              <w:autoSpaceDN w:val="0"/>
              <w:adjustRightInd w:val="0"/>
              <w:jc w:val="center"/>
              <w:rPr>
                <w:rFonts w:ascii="Arial Narrow" w:hAnsi="Arial Narrow"/>
              </w:rPr>
            </w:pPr>
            <w:r>
              <w:rPr>
                <w:rFonts w:ascii="Arial Narrow" w:hAnsi="Arial Narrow"/>
              </w:rPr>
              <w:t>8</w:t>
            </w:r>
          </w:p>
        </w:tc>
        <w:tc>
          <w:tcPr>
            <w:tcW w:w="2552" w:type="dxa"/>
          </w:tcPr>
          <w:p w14:paraId="69783412" w14:textId="2D54521B" w:rsidR="008C21BF" w:rsidRDefault="008C21BF" w:rsidP="00712BB7">
            <w:pPr>
              <w:autoSpaceDE w:val="0"/>
              <w:autoSpaceDN w:val="0"/>
              <w:adjustRightInd w:val="0"/>
              <w:jc w:val="center"/>
              <w:rPr>
                <w:rFonts w:ascii="Arial Narrow" w:hAnsi="Arial Narrow"/>
              </w:rPr>
            </w:pPr>
            <w:r>
              <w:rPr>
                <w:rFonts w:ascii="Arial Narrow" w:hAnsi="Arial Narrow"/>
              </w:rPr>
              <w:t>40</w:t>
            </w:r>
          </w:p>
        </w:tc>
      </w:tr>
      <w:tr w:rsidR="008C21BF" w:rsidRPr="005D4B59" w14:paraId="69F4D03D" w14:textId="77777777" w:rsidTr="008C21BF">
        <w:trPr>
          <w:trHeight w:val="120"/>
        </w:trPr>
        <w:tc>
          <w:tcPr>
            <w:tcW w:w="1843" w:type="dxa"/>
          </w:tcPr>
          <w:p w14:paraId="18E6640F" w14:textId="16DEA59D" w:rsidR="008C21BF" w:rsidRPr="005D4B59" w:rsidRDefault="008C21BF" w:rsidP="00712BB7">
            <w:pPr>
              <w:autoSpaceDE w:val="0"/>
              <w:autoSpaceDN w:val="0"/>
              <w:adjustRightInd w:val="0"/>
              <w:jc w:val="center"/>
              <w:rPr>
                <w:rFonts w:ascii="Arial Narrow" w:hAnsi="Arial Narrow"/>
              </w:rPr>
            </w:pPr>
            <w:r>
              <w:rPr>
                <w:rFonts w:ascii="Arial Narrow" w:hAnsi="Arial Narrow"/>
              </w:rPr>
              <w:t>9</w:t>
            </w:r>
          </w:p>
        </w:tc>
        <w:tc>
          <w:tcPr>
            <w:tcW w:w="2552" w:type="dxa"/>
          </w:tcPr>
          <w:p w14:paraId="5999523D" w14:textId="47CB0F28" w:rsidR="008C21BF" w:rsidRPr="005D4B59" w:rsidRDefault="008C21BF" w:rsidP="00712BB7">
            <w:pPr>
              <w:autoSpaceDE w:val="0"/>
              <w:autoSpaceDN w:val="0"/>
              <w:adjustRightInd w:val="0"/>
              <w:jc w:val="center"/>
              <w:rPr>
                <w:rFonts w:ascii="Arial Narrow" w:hAnsi="Arial Narrow"/>
              </w:rPr>
            </w:pPr>
            <w:r>
              <w:rPr>
                <w:rFonts w:ascii="Arial Narrow" w:hAnsi="Arial Narrow"/>
              </w:rPr>
              <w:t>19</w:t>
            </w:r>
          </w:p>
        </w:tc>
      </w:tr>
      <w:tr w:rsidR="008C21BF" w:rsidRPr="005D4B59" w14:paraId="38586A7C" w14:textId="77777777" w:rsidTr="008C21BF">
        <w:trPr>
          <w:trHeight w:val="120"/>
        </w:trPr>
        <w:tc>
          <w:tcPr>
            <w:tcW w:w="1843" w:type="dxa"/>
          </w:tcPr>
          <w:p w14:paraId="053E8E4A" w14:textId="384AB545" w:rsidR="008C21BF" w:rsidRDefault="008C21BF" w:rsidP="00712BB7">
            <w:pPr>
              <w:autoSpaceDE w:val="0"/>
              <w:autoSpaceDN w:val="0"/>
              <w:adjustRightInd w:val="0"/>
              <w:jc w:val="center"/>
              <w:rPr>
                <w:rFonts w:ascii="Arial Narrow" w:hAnsi="Arial Narrow"/>
              </w:rPr>
            </w:pPr>
            <w:r>
              <w:rPr>
                <w:rFonts w:ascii="Arial Narrow" w:hAnsi="Arial Narrow"/>
              </w:rPr>
              <w:t>10</w:t>
            </w:r>
          </w:p>
        </w:tc>
        <w:tc>
          <w:tcPr>
            <w:tcW w:w="2552" w:type="dxa"/>
          </w:tcPr>
          <w:p w14:paraId="4BE55771" w14:textId="4678A04F" w:rsidR="008C21BF" w:rsidRDefault="008C21BF" w:rsidP="00712BB7">
            <w:pPr>
              <w:autoSpaceDE w:val="0"/>
              <w:autoSpaceDN w:val="0"/>
              <w:adjustRightInd w:val="0"/>
              <w:jc w:val="center"/>
              <w:rPr>
                <w:rFonts w:ascii="Arial Narrow" w:hAnsi="Arial Narrow"/>
              </w:rPr>
            </w:pPr>
            <w:r>
              <w:rPr>
                <w:rFonts w:ascii="Arial Narrow" w:hAnsi="Arial Narrow"/>
              </w:rPr>
              <w:t>12</w:t>
            </w:r>
          </w:p>
        </w:tc>
      </w:tr>
    </w:tbl>
    <w:p w14:paraId="6FE5AB72" w14:textId="77777777" w:rsidR="008C21BF" w:rsidRDefault="008C21BF" w:rsidP="008C21BF">
      <w:pPr>
        <w:pStyle w:val="Sansinterligne"/>
        <w:rPr>
          <w:rFonts w:ascii="Arial Narrow" w:hAnsi="Arial Narrow"/>
        </w:rPr>
      </w:pPr>
    </w:p>
    <w:p w14:paraId="3DDA54B3" w14:textId="7BF01B6F" w:rsidR="00D05463" w:rsidRDefault="00D05463" w:rsidP="00D05463">
      <w:pPr>
        <w:jc w:val="both"/>
      </w:pPr>
    </w:p>
    <w:p w14:paraId="45596B4F" w14:textId="12768474" w:rsidR="00D05463" w:rsidRDefault="00D05463" w:rsidP="00D05463">
      <w:pPr>
        <w:jc w:val="both"/>
      </w:pPr>
    </w:p>
    <w:p w14:paraId="6582A577" w14:textId="6012A683" w:rsidR="00D05463" w:rsidRDefault="00D05463" w:rsidP="00D05463">
      <w:pPr>
        <w:jc w:val="both"/>
      </w:pPr>
    </w:p>
    <w:p w14:paraId="0D272944" w14:textId="3266D265" w:rsidR="00D05463" w:rsidRDefault="00D05463" w:rsidP="00D05463">
      <w:pPr>
        <w:jc w:val="both"/>
      </w:pPr>
    </w:p>
    <w:p w14:paraId="2DA24B7A" w14:textId="77777777" w:rsidR="00D05463" w:rsidRDefault="00D05463" w:rsidP="00D05463">
      <w:pPr>
        <w:jc w:val="both"/>
      </w:pPr>
    </w:p>
    <w:p w14:paraId="0336922D" w14:textId="18422E9B" w:rsidR="00C00085" w:rsidRDefault="0067281C" w:rsidP="00B5458D">
      <w:r>
        <w:t xml:space="preserve">A………….   Le </w:t>
      </w:r>
    </w:p>
    <w:p w14:paraId="2896A413" w14:textId="77777777" w:rsidR="00B5458D" w:rsidRDefault="00C411C2" w:rsidP="00733534">
      <w:pPr>
        <w:jc w:val="both"/>
      </w:pPr>
      <w:r>
        <w:t xml:space="preserve"> </w:t>
      </w:r>
      <w:r w:rsidR="00B5458D">
        <w:t>Pour le titulaire ____________________</w:t>
      </w:r>
    </w:p>
    <w:p w14:paraId="362125EC" w14:textId="77777777" w:rsidR="00C411C2" w:rsidRDefault="00B5458D" w:rsidP="00733534">
      <w:pPr>
        <w:jc w:val="both"/>
      </w:pPr>
      <w:r>
        <w:t>(Signature, nom de la personne habilitée à signer et cachet commercial)</w:t>
      </w:r>
    </w:p>
    <w:p w14:paraId="30B8B157" w14:textId="3D0E2309" w:rsidR="00B5458D" w:rsidRDefault="00B5458D" w:rsidP="00733534">
      <w:pPr>
        <w:jc w:val="both"/>
      </w:pPr>
    </w:p>
    <w:p w14:paraId="6262EA55" w14:textId="779A6DC9" w:rsidR="0042688D" w:rsidRDefault="0042688D" w:rsidP="00733534">
      <w:pPr>
        <w:jc w:val="both"/>
      </w:pPr>
    </w:p>
    <w:p w14:paraId="65E82374" w14:textId="4A02C2E9" w:rsidR="0042688D" w:rsidRDefault="0042688D" w:rsidP="00733534">
      <w:pPr>
        <w:jc w:val="both"/>
      </w:pPr>
    </w:p>
    <w:p w14:paraId="66FC387D" w14:textId="0A81D141" w:rsidR="0067281C" w:rsidRDefault="0067281C" w:rsidP="00733534">
      <w:pPr>
        <w:jc w:val="both"/>
      </w:pPr>
    </w:p>
    <w:p w14:paraId="31455DCA" w14:textId="4D2BEA8B" w:rsidR="0067281C" w:rsidRDefault="0067281C" w:rsidP="00733534">
      <w:pPr>
        <w:jc w:val="both"/>
      </w:pPr>
    </w:p>
    <w:p w14:paraId="28D1C05F" w14:textId="11CDC93E" w:rsidR="0067281C" w:rsidRDefault="0067281C" w:rsidP="00733534">
      <w:pPr>
        <w:jc w:val="both"/>
      </w:pPr>
    </w:p>
    <w:p w14:paraId="1EAE0300" w14:textId="14B5E8AD" w:rsidR="0067281C" w:rsidRDefault="0067281C" w:rsidP="00733534">
      <w:pPr>
        <w:jc w:val="both"/>
      </w:pPr>
    </w:p>
    <w:p w14:paraId="21ABE7E0" w14:textId="5AEB4A99" w:rsidR="0067281C" w:rsidRDefault="0067281C" w:rsidP="00733534">
      <w:pPr>
        <w:jc w:val="both"/>
      </w:pPr>
    </w:p>
    <w:p w14:paraId="0F99C1B3" w14:textId="77777777" w:rsidR="0067281C" w:rsidRDefault="0067281C" w:rsidP="00733534">
      <w:pPr>
        <w:jc w:val="both"/>
      </w:pPr>
    </w:p>
    <w:p w14:paraId="008610FC" w14:textId="324643E0" w:rsidR="0067281C" w:rsidRDefault="0067281C" w:rsidP="00733534">
      <w:pPr>
        <w:jc w:val="both"/>
      </w:pPr>
    </w:p>
    <w:p w14:paraId="4CA6C849" w14:textId="77777777" w:rsidR="0067281C" w:rsidRDefault="0067281C" w:rsidP="00733534">
      <w:pPr>
        <w:jc w:val="both"/>
      </w:pPr>
    </w:p>
    <w:p w14:paraId="5CB6B585" w14:textId="2B3D8BF7" w:rsidR="0042688D" w:rsidRPr="004B4849" w:rsidRDefault="0067281C" w:rsidP="00733534">
      <w:pPr>
        <w:jc w:val="both"/>
      </w:pPr>
      <w:r>
        <w:t xml:space="preserve">A Gif sur Yvette, Le </w:t>
      </w:r>
    </w:p>
    <w:p w14:paraId="218ED617" w14:textId="63758D4B" w:rsidR="00D05463" w:rsidRDefault="00D05463" w:rsidP="00D05463">
      <w:pPr>
        <w:jc w:val="both"/>
      </w:pPr>
      <w:r>
        <w:t>Benoît FORÊT</w:t>
      </w:r>
    </w:p>
    <w:p w14:paraId="387831F2" w14:textId="3691EFEE" w:rsidR="00590F52" w:rsidRDefault="00B5316D" w:rsidP="00733534">
      <w:pPr>
        <w:jc w:val="both"/>
      </w:pPr>
      <w:r>
        <w:t>D</w:t>
      </w:r>
      <w:r w:rsidR="00816A18">
        <w:t xml:space="preserve">élégué </w:t>
      </w:r>
      <w:r w:rsidR="00D05463">
        <w:t>R</w:t>
      </w:r>
      <w:r w:rsidR="00816A18">
        <w:t>égional</w:t>
      </w:r>
      <w:r w:rsidR="00B5458D">
        <w:t xml:space="preserve"> </w:t>
      </w:r>
      <w:r w:rsidR="00D05463">
        <w:t xml:space="preserve">CNRS </w:t>
      </w:r>
      <w:r w:rsidR="00B5458D">
        <w:t xml:space="preserve">Ile de France Gif sur Yvette     </w:t>
      </w:r>
    </w:p>
    <w:p w14:paraId="7B32A14E" w14:textId="77777777" w:rsidR="007975D3" w:rsidRPr="004B4849" w:rsidRDefault="007975D3" w:rsidP="00733534">
      <w:pPr>
        <w:jc w:val="both"/>
      </w:pPr>
    </w:p>
    <w:p w14:paraId="7620D47F" w14:textId="77777777" w:rsidR="00590F52" w:rsidRDefault="00590F52" w:rsidP="00590F52"/>
    <w:p w14:paraId="64850631" w14:textId="77777777" w:rsidR="006143FC" w:rsidRPr="004B4849" w:rsidRDefault="006143FC" w:rsidP="00465ED0">
      <w:pPr>
        <w:sectPr w:rsidR="006143FC" w:rsidRPr="004B4849" w:rsidSect="00B5316D">
          <w:type w:val="continuous"/>
          <w:pgSz w:w="11909" w:h="16834"/>
          <w:pgMar w:top="360" w:right="427" w:bottom="426" w:left="567" w:header="720" w:footer="495" w:gutter="0"/>
          <w:cols w:num="2" w:space="720" w:equalWidth="0">
            <w:col w:w="5103" w:space="708"/>
            <w:col w:w="5103" w:space="399"/>
          </w:cols>
        </w:sectPr>
      </w:pPr>
    </w:p>
    <w:p w14:paraId="5E4B81F5" w14:textId="77777777" w:rsidR="00415F8D" w:rsidRPr="004B4849" w:rsidRDefault="00415F8D" w:rsidP="006A05A6"/>
    <w:sectPr w:rsidR="00415F8D" w:rsidRPr="004B4849" w:rsidSect="0058125B">
      <w:type w:val="continuous"/>
      <w:pgSz w:w="11909" w:h="16834"/>
      <w:pgMar w:top="862" w:right="285" w:bottom="851" w:left="794" w:header="720" w:footer="720" w:gutter="0"/>
      <w:cols w:num="2" w:space="720" w:equalWidth="0">
        <w:col w:w="5061" w:space="708"/>
        <w:col w:w="5061" w:space="25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ACC1D" w14:textId="77777777" w:rsidR="00746BB4" w:rsidRDefault="00746BB4">
      <w:r>
        <w:separator/>
      </w:r>
    </w:p>
  </w:endnote>
  <w:endnote w:type="continuationSeparator" w:id="0">
    <w:p w14:paraId="40738543" w14:textId="77777777" w:rsidR="00746BB4" w:rsidRDefault="0074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50627"/>
      <w:docPartObj>
        <w:docPartGallery w:val="Page Numbers (Bottom of Page)"/>
        <w:docPartUnique/>
      </w:docPartObj>
    </w:sdtPr>
    <w:sdtEndPr/>
    <w:sdtContent>
      <w:sdt>
        <w:sdtPr>
          <w:id w:val="1728636285"/>
          <w:docPartObj>
            <w:docPartGallery w:val="Page Numbers (Top of Page)"/>
            <w:docPartUnique/>
          </w:docPartObj>
        </w:sdtPr>
        <w:sdtEndPr/>
        <w:sdtContent>
          <w:p w14:paraId="4C61F514" w14:textId="773C62C3" w:rsidR="00712BB7" w:rsidRDefault="00712BB7">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D7634B">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7634B">
              <w:rPr>
                <w:b/>
                <w:bCs/>
                <w:noProof/>
              </w:rPr>
              <w:t>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24D22" w14:textId="77777777" w:rsidR="00746BB4" w:rsidRDefault="00746BB4">
      <w:r>
        <w:separator/>
      </w:r>
    </w:p>
  </w:footnote>
  <w:footnote w:type="continuationSeparator" w:id="0">
    <w:p w14:paraId="148BE6BD" w14:textId="77777777" w:rsidR="00746BB4" w:rsidRDefault="00746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31E2C"/>
    <w:multiLevelType w:val="hybridMultilevel"/>
    <w:tmpl w:val="48568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2146C0"/>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2E4637C"/>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CAA67D9"/>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DBB3C4C"/>
    <w:multiLevelType w:val="hybridMultilevel"/>
    <w:tmpl w:val="F0161A0A"/>
    <w:lvl w:ilvl="0" w:tplc="77CC3DE4">
      <w:start w:val="1"/>
      <w:numFmt w:val="bullet"/>
      <w:lvlText w:val="-"/>
      <w:lvlJc w:val="left"/>
      <w:pPr>
        <w:ind w:left="1004" w:hanging="360"/>
      </w:pPr>
      <w:rPr>
        <w:rFont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1F9E3A1A"/>
    <w:multiLevelType w:val="hybridMultilevel"/>
    <w:tmpl w:val="F524E974"/>
    <w:lvl w:ilvl="0" w:tplc="2B92F78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731FB1"/>
    <w:multiLevelType w:val="hybridMultilevel"/>
    <w:tmpl w:val="2AA20EDA"/>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8B105B"/>
    <w:multiLevelType w:val="hybridMultilevel"/>
    <w:tmpl w:val="4316F3D4"/>
    <w:lvl w:ilvl="0" w:tplc="E810665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8507A0"/>
    <w:multiLevelType w:val="singleLevel"/>
    <w:tmpl w:val="6D1AD7AE"/>
    <w:lvl w:ilvl="0">
      <w:start w:val="4"/>
      <w:numFmt w:val="bullet"/>
      <w:lvlText w:val="-"/>
      <w:lvlJc w:val="left"/>
      <w:pPr>
        <w:tabs>
          <w:tab w:val="num" w:pos="360"/>
        </w:tabs>
        <w:ind w:left="360" w:hanging="360"/>
      </w:pPr>
      <w:rPr>
        <w:rFonts w:hint="default"/>
      </w:rPr>
    </w:lvl>
  </w:abstractNum>
  <w:abstractNum w:abstractNumId="9" w15:restartNumberingAfterBreak="0">
    <w:nsid w:val="39FA75B8"/>
    <w:multiLevelType w:val="hybridMultilevel"/>
    <w:tmpl w:val="ABD6A9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4B45F2C"/>
    <w:multiLevelType w:val="hybridMultilevel"/>
    <w:tmpl w:val="DF22CA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DC0D85"/>
    <w:multiLevelType w:val="hybridMultilevel"/>
    <w:tmpl w:val="CF14D1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BDF6ED3"/>
    <w:multiLevelType w:val="hybridMultilevel"/>
    <w:tmpl w:val="94D2CF9A"/>
    <w:lvl w:ilvl="0" w:tplc="64903D7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426E4A"/>
    <w:multiLevelType w:val="hybridMultilevel"/>
    <w:tmpl w:val="564C0004"/>
    <w:lvl w:ilvl="0" w:tplc="6DCA3C1C">
      <w:start w:val="6"/>
      <w:numFmt w:val="bullet"/>
      <w:lvlText w:val=""/>
      <w:lvlJc w:val="left"/>
      <w:pPr>
        <w:ind w:left="720" w:hanging="360"/>
      </w:pPr>
      <w:rPr>
        <w:rFonts w:ascii="Wingdings" w:eastAsia="Times New Roman"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EC7584"/>
    <w:multiLevelType w:val="hybridMultilevel"/>
    <w:tmpl w:val="B1326C82"/>
    <w:lvl w:ilvl="0" w:tplc="2430C874">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BB629F"/>
    <w:multiLevelType w:val="singleLevel"/>
    <w:tmpl w:val="77CC3DE4"/>
    <w:lvl w:ilvl="0">
      <w:start w:val="1"/>
      <w:numFmt w:val="bullet"/>
      <w:lvlText w:val="-"/>
      <w:lvlJc w:val="left"/>
      <w:pPr>
        <w:tabs>
          <w:tab w:val="num" w:pos="360"/>
        </w:tabs>
        <w:ind w:left="360" w:hanging="360"/>
      </w:pPr>
      <w:rPr>
        <w:rFonts w:hint="default"/>
      </w:rPr>
    </w:lvl>
  </w:abstractNum>
  <w:abstractNum w:abstractNumId="16" w15:restartNumberingAfterBreak="0">
    <w:nsid w:val="6E7B3937"/>
    <w:multiLevelType w:val="hybridMultilevel"/>
    <w:tmpl w:val="9EC69ACA"/>
    <w:lvl w:ilvl="0" w:tplc="8822E584">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14225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5860C9"/>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7955538"/>
    <w:multiLevelType w:val="hybridMultilevel"/>
    <w:tmpl w:val="34E45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5D657B"/>
    <w:multiLevelType w:val="multilevel"/>
    <w:tmpl w:val="FBB2755C"/>
    <w:lvl w:ilvl="0">
      <w:start w:val="1"/>
      <w:numFmt w:val="upperRoman"/>
      <w:lvlText w:val="%1."/>
      <w:lvlJc w:val="right"/>
      <w:pPr>
        <w:ind w:left="714" w:hanging="357"/>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87" w:hanging="357"/>
      </w:pPr>
      <w:rPr>
        <w:rFonts w:hint="default"/>
      </w:rPr>
    </w:lvl>
    <w:lvl w:ilvl="2">
      <w:start w:val="1"/>
      <w:numFmt w:val="decimal"/>
      <w:lvlText w:val="%1.%2.%3."/>
      <w:lvlJc w:val="left"/>
      <w:pPr>
        <w:ind w:left="1144" w:hanging="357"/>
      </w:pPr>
      <w:rPr>
        <w:rFonts w:hint="default"/>
      </w:rPr>
    </w:lvl>
    <w:lvl w:ilvl="3">
      <w:start w:val="1"/>
      <w:numFmt w:val="decimal"/>
      <w:lvlText w:val="%1.%2.%3.%4."/>
      <w:lvlJc w:val="left"/>
      <w:pPr>
        <w:ind w:left="1501" w:hanging="357"/>
      </w:pPr>
      <w:rPr>
        <w:rFonts w:hint="default"/>
      </w:rPr>
    </w:lvl>
    <w:lvl w:ilvl="4">
      <w:start w:val="1"/>
      <w:numFmt w:val="decimal"/>
      <w:lvlText w:val="%1.%2.%3.%4.%5."/>
      <w:lvlJc w:val="left"/>
      <w:pPr>
        <w:ind w:left="1858" w:hanging="357"/>
      </w:pPr>
      <w:rPr>
        <w:rFonts w:hint="default"/>
      </w:rPr>
    </w:lvl>
    <w:lvl w:ilvl="5">
      <w:start w:val="1"/>
      <w:numFmt w:val="decimal"/>
      <w:lvlText w:val="%1.%2.%3.%4.%5.%6."/>
      <w:lvlJc w:val="left"/>
      <w:pPr>
        <w:ind w:left="2215" w:hanging="357"/>
      </w:pPr>
      <w:rPr>
        <w:rFonts w:hint="default"/>
      </w:rPr>
    </w:lvl>
    <w:lvl w:ilvl="6">
      <w:start w:val="1"/>
      <w:numFmt w:val="decimal"/>
      <w:lvlText w:val="%1.%2.%3.%4.%5.%6.%7."/>
      <w:lvlJc w:val="left"/>
      <w:pPr>
        <w:ind w:left="2572" w:hanging="357"/>
      </w:pPr>
      <w:rPr>
        <w:rFonts w:hint="default"/>
      </w:rPr>
    </w:lvl>
    <w:lvl w:ilvl="7">
      <w:start w:val="1"/>
      <w:numFmt w:val="decimal"/>
      <w:lvlText w:val="%1.%2.%3.%4.%5.%6.%7.%8."/>
      <w:lvlJc w:val="left"/>
      <w:pPr>
        <w:ind w:left="2929" w:hanging="357"/>
      </w:pPr>
      <w:rPr>
        <w:rFonts w:hint="default"/>
      </w:rPr>
    </w:lvl>
    <w:lvl w:ilvl="8">
      <w:start w:val="1"/>
      <w:numFmt w:val="decimal"/>
      <w:lvlText w:val="%1.%2.%3.%4.%5.%6.%7.%8.%9."/>
      <w:lvlJc w:val="left"/>
      <w:pPr>
        <w:ind w:left="3286" w:hanging="357"/>
      </w:pPr>
      <w:rPr>
        <w:rFonts w:hint="default"/>
      </w:rPr>
    </w:lvl>
  </w:abstractNum>
  <w:num w:numId="1">
    <w:abstractNumId w:val="17"/>
  </w:num>
  <w:num w:numId="2">
    <w:abstractNumId w:val="2"/>
  </w:num>
  <w:num w:numId="3">
    <w:abstractNumId w:val="1"/>
  </w:num>
  <w:num w:numId="4">
    <w:abstractNumId w:val="3"/>
  </w:num>
  <w:num w:numId="5">
    <w:abstractNumId w:val="18"/>
  </w:num>
  <w:num w:numId="6">
    <w:abstractNumId w:val="15"/>
  </w:num>
  <w:num w:numId="7">
    <w:abstractNumId w:val="8"/>
  </w:num>
  <w:num w:numId="8">
    <w:abstractNumId w:val="0"/>
  </w:num>
  <w:num w:numId="9">
    <w:abstractNumId w:val="16"/>
  </w:num>
  <w:num w:numId="10">
    <w:abstractNumId w:val="11"/>
  </w:num>
  <w:num w:numId="11">
    <w:abstractNumId w:val="9"/>
  </w:num>
  <w:num w:numId="12">
    <w:abstractNumId w:val="7"/>
  </w:num>
  <w:num w:numId="13">
    <w:abstractNumId w:val="12"/>
  </w:num>
  <w:num w:numId="14">
    <w:abstractNumId w:val="5"/>
  </w:num>
  <w:num w:numId="15">
    <w:abstractNumId w:val="14"/>
  </w:num>
  <w:num w:numId="16">
    <w:abstractNumId w:val="6"/>
  </w:num>
  <w:num w:numId="17">
    <w:abstractNumId w:val="20"/>
    <w:lvlOverride w:ilvl="0">
      <w:lvl w:ilvl="0">
        <w:start w:val="1"/>
        <w:numFmt w:val="upperRoman"/>
        <w:lvlText w:val="%1."/>
        <w:lvlJc w:val="right"/>
        <w:pPr>
          <w:ind w:left="714" w:hanging="357"/>
        </w:pPr>
        <w:rPr>
          <w:rFonts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ind w:left="787" w:hanging="357"/>
        </w:pPr>
        <w:rPr>
          <w:rFonts w:hint="default"/>
        </w:rPr>
      </w:lvl>
    </w:lvlOverride>
    <w:lvlOverride w:ilvl="2">
      <w:lvl w:ilvl="2">
        <w:start w:val="1"/>
        <w:numFmt w:val="decimal"/>
        <w:lvlText w:val="%1.%2.%3."/>
        <w:lvlJc w:val="left"/>
        <w:pPr>
          <w:ind w:left="1144" w:hanging="357"/>
        </w:pPr>
        <w:rPr>
          <w:rFonts w:hint="default"/>
        </w:rPr>
      </w:lvl>
    </w:lvlOverride>
    <w:lvlOverride w:ilvl="3">
      <w:lvl w:ilvl="3">
        <w:start w:val="1"/>
        <w:numFmt w:val="decimal"/>
        <w:lvlText w:val="%1.%2.%3.%4."/>
        <w:lvlJc w:val="left"/>
        <w:pPr>
          <w:ind w:left="1501" w:hanging="357"/>
        </w:pPr>
        <w:rPr>
          <w:rFonts w:hint="default"/>
        </w:rPr>
      </w:lvl>
    </w:lvlOverride>
    <w:lvlOverride w:ilvl="4">
      <w:lvl w:ilvl="4">
        <w:start w:val="1"/>
        <w:numFmt w:val="decimal"/>
        <w:lvlText w:val="%1.%2.%3.%4.%5."/>
        <w:lvlJc w:val="left"/>
        <w:pPr>
          <w:ind w:left="1858" w:hanging="357"/>
        </w:pPr>
        <w:rPr>
          <w:rFonts w:hint="default"/>
        </w:rPr>
      </w:lvl>
    </w:lvlOverride>
    <w:lvlOverride w:ilvl="5">
      <w:lvl w:ilvl="5">
        <w:start w:val="1"/>
        <w:numFmt w:val="decimal"/>
        <w:lvlText w:val="%1.%2.%3.%4.%5.%6."/>
        <w:lvlJc w:val="left"/>
        <w:pPr>
          <w:ind w:left="2215" w:hanging="357"/>
        </w:pPr>
        <w:rPr>
          <w:rFonts w:hint="default"/>
        </w:rPr>
      </w:lvl>
    </w:lvlOverride>
    <w:lvlOverride w:ilvl="6">
      <w:lvl w:ilvl="6">
        <w:start w:val="1"/>
        <w:numFmt w:val="decimal"/>
        <w:lvlText w:val="%1.%2.%3.%4.%5.%6.%7."/>
        <w:lvlJc w:val="left"/>
        <w:pPr>
          <w:ind w:left="2572" w:hanging="357"/>
        </w:pPr>
        <w:rPr>
          <w:rFonts w:hint="default"/>
        </w:rPr>
      </w:lvl>
    </w:lvlOverride>
    <w:lvlOverride w:ilvl="7">
      <w:lvl w:ilvl="7">
        <w:start w:val="1"/>
        <w:numFmt w:val="decimal"/>
        <w:lvlText w:val="%1.%2.%3.%4.%5.%6.%7.%8."/>
        <w:lvlJc w:val="left"/>
        <w:pPr>
          <w:ind w:left="2929" w:hanging="357"/>
        </w:pPr>
        <w:rPr>
          <w:rFonts w:hint="default"/>
        </w:rPr>
      </w:lvl>
    </w:lvlOverride>
    <w:lvlOverride w:ilvl="8">
      <w:lvl w:ilvl="8">
        <w:start w:val="1"/>
        <w:numFmt w:val="decimal"/>
        <w:lvlText w:val="%1.%2.%3.%4.%5.%6.%7.%8.%9."/>
        <w:lvlJc w:val="left"/>
        <w:pPr>
          <w:ind w:left="3286" w:hanging="357"/>
        </w:pPr>
        <w:rPr>
          <w:rFonts w:hint="default"/>
        </w:rPr>
      </w:lvl>
    </w:lvlOverride>
  </w:num>
  <w:num w:numId="18">
    <w:abstractNumId w:val="4"/>
  </w:num>
  <w:num w:numId="19">
    <w:abstractNumId w:val="13"/>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3FC"/>
    <w:rsid w:val="00001D3D"/>
    <w:rsid w:val="000054CE"/>
    <w:rsid w:val="0000710F"/>
    <w:rsid w:val="00017FAD"/>
    <w:rsid w:val="000236AE"/>
    <w:rsid w:val="0004058D"/>
    <w:rsid w:val="00042B64"/>
    <w:rsid w:val="00044651"/>
    <w:rsid w:val="00046ED5"/>
    <w:rsid w:val="0007503A"/>
    <w:rsid w:val="0007553F"/>
    <w:rsid w:val="00080800"/>
    <w:rsid w:val="000919E9"/>
    <w:rsid w:val="00092827"/>
    <w:rsid w:val="000A3D1F"/>
    <w:rsid w:val="000B4C96"/>
    <w:rsid w:val="000C4B95"/>
    <w:rsid w:val="000D3261"/>
    <w:rsid w:val="0010016D"/>
    <w:rsid w:val="00100D53"/>
    <w:rsid w:val="001060BF"/>
    <w:rsid w:val="00106E63"/>
    <w:rsid w:val="0010729A"/>
    <w:rsid w:val="00111ED0"/>
    <w:rsid w:val="001122ED"/>
    <w:rsid w:val="001219A7"/>
    <w:rsid w:val="00122F0C"/>
    <w:rsid w:val="00125D60"/>
    <w:rsid w:val="00130179"/>
    <w:rsid w:val="00132B5A"/>
    <w:rsid w:val="0013480E"/>
    <w:rsid w:val="00135CE2"/>
    <w:rsid w:val="001362F0"/>
    <w:rsid w:val="00141ED0"/>
    <w:rsid w:val="00143351"/>
    <w:rsid w:val="00150335"/>
    <w:rsid w:val="0015358B"/>
    <w:rsid w:val="001650E7"/>
    <w:rsid w:val="00177921"/>
    <w:rsid w:val="001859E1"/>
    <w:rsid w:val="00187DEB"/>
    <w:rsid w:val="00192548"/>
    <w:rsid w:val="00193888"/>
    <w:rsid w:val="00193EBA"/>
    <w:rsid w:val="001A798D"/>
    <w:rsid w:val="001B449D"/>
    <w:rsid w:val="001C5AC5"/>
    <w:rsid w:val="001D2AB5"/>
    <w:rsid w:val="001D7180"/>
    <w:rsid w:val="001E38FE"/>
    <w:rsid w:val="001E5FC5"/>
    <w:rsid w:val="001F0007"/>
    <w:rsid w:val="001F7A43"/>
    <w:rsid w:val="00215A4B"/>
    <w:rsid w:val="0022127A"/>
    <w:rsid w:val="00221453"/>
    <w:rsid w:val="00222F05"/>
    <w:rsid w:val="002245F8"/>
    <w:rsid w:val="00225820"/>
    <w:rsid w:val="002258B6"/>
    <w:rsid w:val="002332CF"/>
    <w:rsid w:val="00234534"/>
    <w:rsid w:val="002429F5"/>
    <w:rsid w:val="002430E8"/>
    <w:rsid w:val="00247492"/>
    <w:rsid w:val="00254C59"/>
    <w:rsid w:val="00257EDE"/>
    <w:rsid w:val="00260887"/>
    <w:rsid w:val="00260E4F"/>
    <w:rsid w:val="00261B4B"/>
    <w:rsid w:val="00261D5B"/>
    <w:rsid w:val="00265832"/>
    <w:rsid w:val="00286246"/>
    <w:rsid w:val="002871FD"/>
    <w:rsid w:val="00287832"/>
    <w:rsid w:val="00287A89"/>
    <w:rsid w:val="002B0913"/>
    <w:rsid w:val="002B4FA3"/>
    <w:rsid w:val="002C18C1"/>
    <w:rsid w:val="002C1A76"/>
    <w:rsid w:val="002C50F8"/>
    <w:rsid w:val="002D17D7"/>
    <w:rsid w:val="002D67B5"/>
    <w:rsid w:val="002E4521"/>
    <w:rsid w:val="002F3333"/>
    <w:rsid w:val="002F3421"/>
    <w:rsid w:val="002F54E7"/>
    <w:rsid w:val="002F579F"/>
    <w:rsid w:val="003035E3"/>
    <w:rsid w:val="003058AE"/>
    <w:rsid w:val="00307311"/>
    <w:rsid w:val="00312438"/>
    <w:rsid w:val="003175BB"/>
    <w:rsid w:val="00321A8E"/>
    <w:rsid w:val="00323FFB"/>
    <w:rsid w:val="003262FC"/>
    <w:rsid w:val="00337817"/>
    <w:rsid w:val="00337F6E"/>
    <w:rsid w:val="00340110"/>
    <w:rsid w:val="00340E04"/>
    <w:rsid w:val="003419EB"/>
    <w:rsid w:val="00341A8C"/>
    <w:rsid w:val="00364751"/>
    <w:rsid w:val="00365C6D"/>
    <w:rsid w:val="00367045"/>
    <w:rsid w:val="003722FB"/>
    <w:rsid w:val="003849D3"/>
    <w:rsid w:val="00386AD8"/>
    <w:rsid w:val="00391DC9"/>
    <w:rsid w:val="00394C30"/>
    <w:rsid w:val="00397039"/>
    <w:rsid w:val="003A0AD9"/>
    <w:rsid w:val="003B4220"/>
    <w:rsid w:val="003B6231"/>
    <w:rsid w:val="003C0709"/>
    <w:rsid w:val="003C12DE"/>
    <w:rsid w:val="003C799D"/>
    <w:rsid w:val="003D2EC4"/>
    <w:rsid w:val="003D35B1"/>
    <w:rsid w:val="003D3DEB"/>
    <w:rsid w:val="003E4FC6"/>
    <w:rsid w:val="003F7B23"/>
    <w:rsid w:val="00403B4D"/>
    <w:rsid w:val="004042B1"/>
    <w:rsid w:val="0040494E"/>
    <w:rsid w:val="004074D0"/>
    <w:rsid w:val="0041425D"/>
    <w:rsid w:val="0041533F"/>
    <w:rsid w:val="00415F8D"/>
    <w:rsid w:val="00425503"/>
    <w:rsid w:val="0042688D"/>
    <w:rsid w:val="00427550"/>
    <w:rsid w:val="00430801"/>
    <w:rsid w:val="00432A01"/>
    <w:rsid w:val="00436169"/>
    <w:rsid w:val="0043618D"/>
    <w:rsid w:val="004432DF"/>
    <w:rsid w:val="00457E45"/>
    <w:rsid w:val="00465ED0"/>
    <w:rsid w:val="0049168A"/>
    <w:rsid w:val="0049221A"/>
    <w:rsid w:val="00492CF9"/>
    <w:rsid w:val="00492E00"/>
    <w:rsid w:val="00495E69"/>
    <w:rsid w:val="004A4171"/>
    <w:rsid w:val="004A5805"/>
    <w:rsid w:val="004B4849"/>
    <w:rsid w:val="004C0A44"/>
    <w:rsid w:val="004C50FD"/>
    <w:rsid w:val="004C6580"/>
    <w:rsid w:val="004D2298"/>
    <w:rsid w:val="004E0E70"/>
    <w:rsid w:val="004E10CE"/>
    <w:rsid w:val="004F5976"/>
    <w:rsid w:val="004F6E90"/>
    <w:rsid w:val="00500E71"/>
    <w:rsid w:val="0050108C"/>
    <w:rsid w:val="00504022"/>
    <w:rsid w:val="005063F0"/>
    <w:rsid w:val="005100A0"/>
    <w:rsid w:val="00511224"/>
    <w:rsid w:val="005112A7"/>
    <w:rsid w:val="00513FE1"/>
    <w:rsid w:val="00525542"/>
    <w:rsid w:val="00553CCB"/>
    <w:rsid w:val="00564AC3"/>
    <w:rsid w:val="0056667E"/>
    <w:rsid w:val="00571352"/>
    <w:rsid w:val="0057237A"/>
    <w:rsid w:val="00572AE1"/>
    <w:rsid w:val="00580147"/>
    <w:rsid w:val="0058125B"/>
    <w:rsid w:val="005873B4"/>
    <w:rsid w:val="005877D4"/>
    <w:rsid w:val="00590F52"/>
    <w:rsid w:val="005933C0"/>
    <w:rsid w:val="00597814"/>
    <w:rsid w:val="005A1394"/>
    <w:rsid w:val="005A4E59"/>
    <w:rsid w:val="005A685D"/>
    <w:rsid w:val="005C47F5"/>
    <w:rsid w:val="005C567A"/>
    <w:rsid w:val="005C6347"/>
    <w:rsid w:val="005C7C0A"/>
    <w:rsid w:val="005C7CE0"/>
    <w:rsid w:val="005D150F"/>
    <w:rsid w:val="005D1A14"/>
    <w:rsid w:val="005D3A97"/>
    <w:rsid w:val="005D5F4F"/>
    <w:rsid w:val="005E0101"/>
    <w:rsid w:val="005F213F"/>
    <w:rsid w:val="005F21F0"/>
    <w:rsid w:val="0060052D"/>
    <w:rsid w:val="00602F23"/>
    <w:rsid w:val="00614193"/>
    <w:rsid w:val="006143FC"/>
    <w:rsid w:val="0061510F"/>
    <w:rsid w:val="006264B4"/>
    <w:rsid w:val="006379A9"/>
    <w:rsid w:val="00645D10"/>
    <w:rsid w:val="006465F3"/>
    <w:rsid w:val="00651697"/>
    <w:rsid w:val="0065546A"/>
    <w:rsid w:val="00656327"/>
    <w:rsid w:val="00661AAB"/>
    <w:rsid w:val="00662CA4"/>
    <w:rsid w:val="006637BE"/>
    <w:rsid w:val="0067281C"/>
    <w:rsid w:val="0068342C"/>
    <w:rsid w:val="00685E74"/>
    <w:rsid w:val="00687F9E"/>
    <w:rsid w:val="0069090C"/>
    <w:rsid w:val="00692DD7"/>
    <w:rsid w:val="006A05A6"/>
    <w:rsid w:val="006A1B5C"/>
    <w:rsid w:val="006A5CB2"/>
    <w:rsid w:val="006B3AFB"/>
    <w:rsid w:val="006C0C2A"/>
    <w:rsid w:val="006C3658"/>
    <w:rsid w:val="006D1714"/>
    <w:rsid w:val="006D4B00"/>
    <w:rsid w:val="006E2ADE"/>
    <w:rsid w:val="006E5288"/>
    <w:rsid w:val="006E562F"/>
    <w:rsid w:val="006E59FB"/>
    <w:rsid w:val="006F0E14"/>
    <w:rsid w:val="006F1CCA"/>
    <w:rsid w:val="00703927"/>
    <w:rsid w:val="00712BB7"/>
    <w:rsid w:val="00712BC1"/>
    <w:rsid w:val="00713920"/>
    <w:rsid w:val="0071799D"/>
    <w:rsid w:val="007206FB"/>
    <w:rsid w:val="00733534"/>
    <w:rsid w:val="00735774"/>
    <w:rsid w:val="00735A44"/>
    <w:rsid w:val="00746BB4"/>
    <w:rsid w:val="00751ACD"/>
    <w:rsid w:val="00753755"/>
    <w:rsid w:val="00757C18"/>
    <w:rsid w:val="00757DC6"/>
    <w:rsid w:val="0076393D"/>
    <w:rsid w:val="00770835"/>
    <w:rsid w:val="00774A9A"/>
    <w:rsid w:val="00777D61"/>
    <w:rsid w:val="00785F23"/>
    <w:rsid w:val="00794896"/>
    <w:rsid w:val="00796F50"/>
    <w:rsid w:val="007975D3"/>
    <w:rsid w:val="007A31BD"/>
    <w:rsid w:val="007A7154"/>
    <w:rsid w:val="007B43EC"/>
    <w:rsid w:val="007C3AFD"/>
    <w:rsid w:val="007D20B6"/>
    <w:rsid w:val="007D2223"/>
    <w:rsid w:val="007E4318"/>
    <w:rsid w:val="007E7CDC"/>
    <w:rsid w:val="007F1853"/>
    <w:rsid w:val="00801635"/>
    <w:rsid w:val="00806128"/>
    <w:rsid w:val="00806FB2"/>
    <w:rsid w:val="00807807"/>
    <w:rsid w:val="00816A18"/>
    <w:rsid w:val="00827B70"/>
    <w:rsid w:val="00827C84"/>
    <w:rsid w:val="00831775"/>
    <w:rsid w:val="0083266B"/>
    <w:rsid w:val="00833268"/>
    <w:rsid w:val="008374E7"/>
    <w:rsid w:val="0084124A"/>
    <w:rsid w:val="008440A5"/>
    <w:rsid w:val="0085663E"/>
    <w:rsid w:val="008639F9"/>
    <w:rsid w:val="00864F5C"/>
    <w:rsid w:val="00881400"/>
    <w:rsid w:val="00886522"/>
    <w:rsid w:val="008952EC"/>
    <w:rsid w:val="008A13A7"/>
    <w:rsid w:val="008A14D5"/>
    <w:rsid w:val="008C21BF"/>
    <w:rsid w:val="008C3289"/>
    <w:rsid w:val="008C4685"/>
    <w:rsid w:val="008C57E9"/>
    <w:rsid w:val="008C67AD"/>
    <w:rsid w:val="008E1258"/>
    <w:rsid w:val="0090051C"/>
    <w:rsid w:val="00904906"/>
    <w:rsid w:val="00924EB0"/>
    <w:rsid w:val="009254FE"/>
    <w:rsid w:val="009375A2"/>
    <w:rsid w:val="00937BFB"/>
    <w:rsid w:val="0094172C"/>
    <w:rsid w:val="009462C2"/>
    <w:rsid w:val="00947F3B"/>
    <w:rsid w:val="0095094D"/>
    <w:rsid w:val="00953FEC"/>
    <w:rsid w:val="009540B7"/>
    <w:rsid w:val="00965B4F"/>
    <w:rsid w:val="00965CB8"/>
    <w:rsid w:val="009672AF"/>
    <w:rsid w:val="0097428E"/>
    <w:rsid w:val="00975AF1"/>
    <w:rsid w:val="00975B49"/>
    <w:rsid w:val="00980333"/>
    <w:rsid w:val="0098157B"/>
    <w:rsid w:val="00984326"/>
    <w:rsid w:val="0099795F"/>
    <w:rsid w:val="009B0D69"/>
    <w:rsid w:val="009B3341"/>
    <w:rsid w:val="009C489F"/>
    <w:rsid w:val="009C5F6A"/>
    <w:rsid w:val="009D0342"/>
    <w:rsid w:val="009D49C7"/>
    <w:rsid w:val="009D55B8"/>
    <w:rsid w:val="009E3163"/>
    <w:rsid w:val="009F1020"/>
    <w:rsid w:val="009F1F8F"/>
    <w:rsid w:val="00A005E8"/>
    <w:rsid w:val="00A034E7"/>
    <w:rsid w:val="00A15A56"/>
    <w:rsid w:val="00A16C02"/>
    <w:rsid w:val="00A16FDC"/>
    <w:rsid w:val="00A24ED8"/>
    <w:rsid w:val="00A26141"/>
    <w:rsid w:val="00A27B52"/>
    <w:rsid w:val="00A32E06"/>
    <w:rsid w:val="00A33297"/>
    <w:rsid w:val="00A36F73"/>
    <w:rsid w:val="00A43E2F"/>
    <w:rsid w:val="00A44940"/>
    <w:rsid w:val="00A44E05"/>
    <w:rsid w:val="00A46A22"/>
    <w:rsid w:val="00A52713"/>
    <w:rsid w:val="00A725D8"/>
    <w:rsid w:val="00A75D9E"/>
    <w:rsid w:val="00A77DCC"/>
    <w:rsid w:val="00A87706"/>
    <w:rsid w:val="00A94C03"/>
    <w:rsid w:val="00A95D00"/>
    <w:rsid w:val="00AA3EEB"/>
    <w:rsid w:val="00AB4649"/>
    <w:rsid w:val="00AC2BF2"/>
    <w:rsid w:val="00AC350D"/>
    <w:rsid w:val="00AC4916"/>
    <w:rsid w:val="00AD7CAC"/>
    <w:rsid w:val="00AE0124"/>
    <w:rsid w:val="00AE031D"/>
    <w:rsid w:val="00AF6C24"/>
    <w:rsid w:val="00B040D5"/>
    <w:rsid w:val="00B10C72"/>
    <w:rsid w:val="00B10CC5"/>
    <w:rsid w:val="00B10EEB"/>
    <w:rsid w:val="00B12DFF"/>
    <w:rsid w:val="00B15264"/>
    <w:rsid w:val="00B202BB"/>
    <w:rsid w:val="00B221CD"/>
    <w:rsid w:val="00B262F1"/>
    <w:rsid w:val="00B30973"/>
    <w:rsid w:val="00B3212D"/>
    <w:rsid w:val="00B32600"/>
    <w:rsid w:val="00B33795"/>
    <w:rsid w:val="00B42894"/>
    <w:rsid w:val="00B43CD9"/>
    <w:rsid w:val="00B45E41"/>
    <w:rsid w:val="00B50E32"/>
    <w:rsid w:val="00B5316D"/>
    <w:rsid w:val="00B5458D"/>
    <w:rsid w:val="00B71125"/>
    <w:rsid w:val="00B72876"/>
    <w:rsid w:val="00B778BB"/>
    <w:rsid w:val="00B82F8D"/>
    <w:rsid w:val="00B924CE"/>
    <w:rsid w:val="00B95999"/>
    <w:rsid w:val="00BA3396"/>
    <w:rsid w:val="00BA73E9"/>
    <w:rsid w:val="00BB12E5"/>
    <w:rsid w:val="00BB1F6B"/>
    <w:rsid w:val="00BB59F7"/>
    <w:rsid w:val="00BB5A3E"/>
    <w:rsid w:val="00BD3C21"/>
    <w:rsid w:val="00BD5206"/>
    <w:rsid w:val="00BD5315"/>
    <w:rsid w:val="00BE739F"/>
    <w:rsid w:val="00BF30C2"/>
    <w:rsid w:val="00BF43D9"/>
    <w:rsid w:val="00BF4B56"/>
    <w:rsid w:val="00C00085"/>
    <w:rsid w:val="00C053E2"/>
    <w:rsid w:val="00C07E33"/>
    <w:rsid w:val="00C12195"/>
    <w:rsid w:val="00C1657D"/>
    <w:rsid w:val="00C2003A"/>
    <w:rsid w:val="00C22015"/>
    <w:rsid w:val="00C2258F"/>
    <w:rsid w:val="00C24331"/>
    <w:rsid w:val="00C25AE9"/>
    <w:rsid w:val="00C3449E"/>
    <w:rsid w:val="00C3780E"/>
    <w:rsid w:val="00C411C2"/>
    <w:rsid w:val="00C41AA2"/>
    <w:rsid w:val="00C4266C"/>
    <w:rsid w:val="00C433D3"/>
    <w:rsid w:val="00C44607"/>
    <w:rsid w:val="00C45DB1"/>
    <w:rsid w:val="00C55A1F"/>
    <w:rsid w:val="00C609F1"/>
    <w:rsid w:val="00C618C4"/>
    <w:rsid w:val="00C731ED"/>
    <w:rsid w:val="00C81E25"/>
    <w:rsid w:val="00C938B2"/>
    <w:rsid w:val="00C95A1E"/>
    <w:rsid w:val="00CB1132"/>
    <w:rsid w:val="00CB5CD7"/>
    <w:rsid w:val="00CB72F2"/>
    <w:rsid w:val="00CC15C2"/>
    <w:rsid w:val="00CC1B2D"/>
    <w:rsid w:val="00CC6B7B"/>
    <w:rsid w:val="00CD3BE5"/>
    <w:rsid w:val="00CE7033"/>
    <w:rsid w:val="00D05463"/>
    <w:rsid w:val="00D073B4"/>
    <w:rsid w:val="00D07D8D"/>
    <w:rsid w:val="00D166FA"/>
    <w:rsid w:val="00D3745B"/>
    <w:rsid w:val="00D45046"/>
    <w:rsid w:val="00D66D68"/>
    <w:rsid w:val="00D701F4"/>
    <w:rsid w:val="00D73411"/>
    <w:rsid w:val="00D7634B"/>
    <w:rsid w:val="00D77F8E"/>
    <w:rsid w:val="00D8288B"/>
    <w:rsid w:val="00D8657A"/>
    <w:rsid w:val="00D86738"/>
    <w:rsid w:val="00D9067E"/>
    <w:rsid w:val="00D92C39"/>
    <w:rsid w:val="00DA4790"/>
    <w:rsid w:val="00DA6294"/>
    <w:rsid w:val="00DA7422"/>
    <w:rsid w:val="00DA75E0"/>
    <w:rsid w:val="00DB498B"/>
    <w:rsid w:val="00DC09B0"/>
    <w:rsid w:val="00DD2B12"/>
    <w:rsid w:val="00DF33E3"/>
    <w:rsid w:val="00DF3867"/>
    <w:rsid w:val="00DF4B49"/>
    <w:rsid w:val="00DF7722"/>
    <w:rsid w:val="00E0069B"/>
    <w:rsid w:val="00E06078"/>
    <w:rsid w:val="00E176FA"/>
    <w:rsid w:val="00E20355"/>
    <w:rsid w:val="00E248B9"/>
    <w:rsid w:val="00E35354"/>
    <w:rsid w:val="00E366A3"/>
    <w:rsid w:val="00E37881"/>
    <w:rsid w:val="00E42AB9"/>
    <w:rsid w:val="00E43EBC"/>
    <w:rsid w:val="00E44E0E"/>
    <w:rsid w:val="00E55877"/>
    <w:rsid w:val="00E73D3B"/>
    <w:rsid w:val="00E81723"/>
    <w:rsid w:val="00E81C1D"/>
    <w:rsid w:val="00E86968"/>
    <w:rsid w:val="00EA09B5"/>
    <w:rsid w:val="00EA3361"/>
    <w:rsid w:val="00EA5639"/>
    <w:rsid w:val="00EA690B"/>
    <w:rsid w:val="00EB2BA7"/>
    <w:rsid w:val="00ED3359"/>
    <w:rsid w:val="00ED73EF"/>
    <w:rsid w:val="00EF123E"/>
    <w:rsid w:val="00EF6424"/>
    <w:rsid w:val="00F032AB"/>
    <w:rsid w:val="00F043F5"/>
    <w:rsid w:val="00F044E4"/>
    <w:rsid w:val="00F0456A"/>
    <w:rsid w:val="00F06230"/>
    <w:rsid w:val="00F10D11"/>
    <w:rsid w:val="00F15EAB"/>
    <w:rsid w:val="00F325DC"/>
    <w:rsid w:val="00F34114"/>
    <w:rsid w:val="00F34AF3"/>
    <w:rsid w:val="00F3700B"/>
    <w:rsid w:val="00F4058E"/>
    <w:rsid w:val="00F40B45"/>
    <w:rsid w:val="00F41067"/>
    <w:rsid w:val="00F4126E"/>
    <w:rsid w:val="00F512AF"/>
    <w:rsid w:val="00F56C3B"/>
    <w:rsid w:val="00F576E4"/>
    <w:rsid w:val="00F5770D"/>
    <w:rsid w:val="00F62E79"/>
    <w:rsid w:val="00F66814"/>
    <w:rsid w:val="00F72406"/>
    <w:rsid w:val="00F804F2"/>
    <w:rsid w:val="00F877C5"/>
    <w:rsid w:val="00F90CF1"/>
    <w:rsid w:val="00F978FF"/>
    <w:rsid w:val="00FA3CA1"/>
    <w:rsid w:val="00FB3511"/>
    <w:rsid w:val="00FB6F5E"/>
    <w:rsid w:val="00FC16B4"/>
    <w:rsid w:val="00FC2803"/>
    <w:rsid w:val="00FC3239"/>
    <w:rsid w:val="00FC3D4E"/>
    <w:rsid w:val="00FC67CA"/>
    <w:rsid w:val="00FC791C"/>
    <w:rsid w:val="00FC7DDA"/>
    <w:rsid w:val="00FC7DE8"/>
    <w:rsid w:val="00FD338F"/>
    <w:rsid w:val="00FD494A"/>
    <w:rsid w:val="00FD72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81D7EA0"/>
  <w15:chartTrackingRefBased/>
  <w15:docId w15:val="{5AB7CF3E-39AF-49CC-A78F-E15348BC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CC1B2D"/>
    <w:pPr>
      <w:keepNext/>
      <w:spacing w:before="360"/>
      <w:jc w:val="both"/>
      <w:outlineLvl w:val="0"/>
    </w:pPr>
    <w:rPr>
      <w:b/>
      <w:bCs/>
      <w:color w:val="000000"/>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pBdr>
        <w:top w:val="single" w:sz="4" w:space="1" w:color="auto" w:shadow="1"/>
        <w:left w:val="single" w:sz="4" w:space="4" w:color="auto" w:shadow="1"/>
        <w:bottom w:val="single" w:sz="4" w:space="1" w:color="auto" w:shadow="1"/>
        <w:right w:val="single" w:sz="4" w:space="4" w:color="auto" w:shadow="1"/>
      </w:pBdr>
      <w:jc w:val="center"/>
      <w:outlineLvl w:val="2"/>
    </w:pPr>
    <w:rPr>
      <w:i/>
      <w:sz w:val="18"/>
    </w:rPr>
  </w:style>
  <w:style w:type="paragraph" w:styleId="Titre4">
    <w:name w:val="heading 4"/>
    <w:basedOn w:val="Normal"/>
    <w:next w:val="Normal"/>
    <w:qFormat/>
    <w:pPr>
      <w:keepNext/>
      <w:ind w:left="3828"/>
      <w:jc w:val="center"/>
      <w:outlineLvl w:val="3"/>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pPr>
      <w:spacing w:after="120"/>
      <w:ind w:right="-149"/>
    </w:pPr>
    <w:rPr>
      <w:sz w:val="24"/>
    </w:rPr>
  </w:style>
  <w:style w:type="paragraph" w:styleId="Retraitcorpsdetexte2">
    <w:name w:val="Body Text Indent 2"/>
    <w:basedOn w:val="Normal"/>
    <w:pPr>
      <w:ind w:firstLine="708"/>
      <w:jc w:val="both"/>
    </w:pPr>
    <w:rPr>
      <w:sz w:val="22"/>
    </w:rPr>
  </w:style>
  <w:style w:type="paragraph" w:styleId="Corpsdetexte">
    <w:name w:val="Body Text"/>
    <w:basedOn w:val="Normal"/>
    <w:pPr>
      <w:jc w:val="right"/>
    </w:pPr>
    <w:rPr>
      <w:sz w:val="18"/>
    </w:rPr>
  </w:style>
  <w:style w:type="paragraph" w:styleId="Corpsdetexte3">
    <w:name w:val="Body Text 3"/>
    <w:basedOn w:val="Normal"/>
    <w:pPr>
      <w:ind w:right="15"/>
      <w:jc w:val="both"/>
    </w:pPr>
    <w:rPr>
      <w:sz w:val="18"/>
    </w:rPr>
  </w:style>
  <w:style w:type="paragraph" w:customStyle="1" w:styleId="HTMLBody">
    <w:name w:val="HTML Body"/>
    <w:rPr>
      <w:rFonts w:ascii="Arial" w:hAnsi="Arial"/>
      <w:snapToGrid w:val="0"/>
    </w:rPr>
  </w:style>
  <w:style w:type="paragraph" w:customStyle="1" w:styleId="fcasegauche">
    <w:name w:val="f_case_gauche"/>
    <w:basedOn w:val="Normal"/>
    <w:uiPriority w:val="99"/>
    <w:pPr>
      <w:spacing w:after="60"/>
      <w:ind w:left="284" w:hanging="284"/>
      <w:jc w:val="both"/>
    </w:pPr>
    <w:rPr>
      <w:rFonts w:ascii="Univers (WN)" w:hAnsi="Univers (WN)"/>
    </w:rPr>
  </w:style>
  <w:style w:type="paragraph" w:styleId="Textedebulles">
    <w:name w:val="Balloon Text"/>
    <w:basedOn w:val="Normal"/>
    <w:semiHidden/>
    <w:rsid w:val="00F877C5"/>
    <w:rPr>
      <w:rFonts w:ascii="Tahoma" w:hAnsi="Tahoma" w:cs="Tahoma"/>
      <w:sz w:val="16"/>
      <w:szCs w:val="16"/>
    </w:rPr>
  </w:style>
  <w:style w:type="character" w:styleId="Marquedecommentaire">
    <w:name w:val="annotation reference"/>
    <w:semiHidden/>
    <w:rsid w:val="00221453"/>
    <w:rPr>
      <w:sz w:val="16"/>
      <w:szCs w:val="16"/>
    </w:rPr>
  </w:style>
  <w:style w:type="paragraph" w:styleId="Commentaire">
    <w:name w:val="annotation text"/>
    <w:basedOn w:val="Normal"/>
    <w:semiHidden/>
    <w:rsid w:val="00221453"/>
  </w:style>
  <w:style w:type="paragraph" w:styleId="Objetducommentaire">
    <w:name w:val="annotation subject"/>
    <w:basedOn w:val="Commentaire"/>
    <w:next w:val="Commentaire"/>
    <w:semiHidden/>
    <w:rsid w:val="00221453"/>
    <w:rPr>
      <w:b/>
      <w:bCs/>
    </w:rPr>
  </w:style>
  <w:style w:type="paragraph" w:customStyle="1" w:styleId="fcase2metab">
    <w:name w:val="f_case_2èmetab"/>
    <w:basedOn w:val="Normal"/>
    <w:rsid w:val="00703927"/>
    <w:pPr>
      <w:tabs>
        <w:tab w:val="left" w:pos="426"/>
        <w:tab w:val="left" w:pos="851"/>
      </w:tabs>
      <w:ind w:left="1134" w:hanging="1134"/>
      <w:jc w:val="both"/>
    </w:pPr>
    <w:rPr>
      <w:rFonts w:ascii="Univers (WN)" w:hAnsi="Univers (WN)"/>
    </w:rPr>
  </w:style>
  <w:style w:type="table" w:styleId="Grilledutableau">
    <w:name w:val="Table Grid"/>
    <w:basedOn w:val="TableauNormal"/>
    <w:rsid w:val="00703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5E0101"/>
    <w:rPr>
      <w:color w:val="0000FF"/>
      <w:u w:val="single"/>
    </w:rPr>
  </w:style>
  <w:style w:type="character" w:styleId="Lienhypertextesuivivisit">
    <w:name w:val="FollowedHyperlink"/>
    <w:rsid w:val="00DA7422"/>
    <w:rPr>
      <w:color w:val="800080"/>
      <w:u w:val="single"/>
    </w:rPr>
  </w:style>
  <w:style w:type="paragraph" w:styleId="Notedebasdepage">
    <w:name w:val="footnote text"/>
    <w:basedOn w:val="Normal"/>
    <w:link w:val="NotedebasdepageCar"/>
    <w:uiPriority w:val="99"/>
    <w:rsid w:val="004B4849"/>
  </w:style>
  <w:style w:type="character" w:styleId="Appelnotedebasdep">
    <w:name w:val="footnote reference"/>
    <w:semiHidden/>
    <w:rsid w:val="004B4849"/>
    <w:rPr>
      <w:vertAlign w:val="superscript"/>
    </w:rPr>
  </w:style>
  <w:style w:type="character" w:styleId="lev">
    <w:name w:val="Strong"/>
    <w:uiPriority w:val="22"/>
    <w:qFormat/>
    <w:rsid w:val="00CE7033"/>
    <w:rPr>
      <w:b/>
      <w:bCs/>
    </w:rPr>
  </w:style>
  <w:style w:type="paragraph" w:customStyle="1" w:styleId="DecimalAligned">
    <w:name w:val="Decimal Aligned"/>
    <w:basedOn w:val="Normal"/>
    <w:uiPriority w:val="40"/>
    <w:qFormat/>
    <w:rsid w:val="00A33297"/>
    <w:pPr>
      <w:tabs>
        <w:tab w:val="decimal" w:pos="360"/>
      </w:tabs>
      <w:spacing w:after="200" w:line="276" w:lineRule="auto"/>
    </w:pPr>
    <w:rPr>
      <w:rFonts w:ascii="Calibri" w:eastAsia="Calibri" w:hAnsi="Calibri"/>
      <w:sz w:val="22"/>
      <w:szCs w:val="22"/>
    </w:rPr>
  </w:style>
  <w:style w:type="character" w:customStyle="1" w:styleId="NotedebasdepageCar">
    <w:name w:val="Note de bas de page Car"/>
    <w:link w:val="Notedebasdepage"/>
    <w:uiPriority w:val="99"/>
    <w:rsid w:val="00A33297"/>
  </w:style>
  <w:style w:type="character" w:styleId="Accentuationlgre">
    <w:name w:val="Subtle Emphasis"/>
    <w:uiPriority w:val="19"/>
    <w:qFormat/>
    <w:rsid w:val="00A33297"/>
    <w:rPr>
      <w:i/>
      <w:iCs/>
      <w:color w:val="000000"/>
    </w:rPr>
  </w:style>
  <w:style w:type="table" w:styleId="Trameclaire-Accent1">
    <w:name w:val="Light Shading Accent 1"/>
    <w:basedOn w:val="TableauNormal"/>
    <w:uiPriority w:val="60"/>
    <w:rsid w:val="00A33297"/>
    <w:rPr>
      <w:rFonts w:ascii="Calibri" w:hAnsi="Calibri"/>
      <w:color w:val="4F81BD"/>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steclaire-Accent1">
    <w:name w:val="Light List Accent 1"/>
    <w:basedOn w:val="TableauNormal"/>
    <w:uiPriority w:val="61"/>
    <w:rsid w:val="001B449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tte">
    <w:name w:val="header"/>
    <w:basedOn w:val="Normal"/>
    <w:link w:val="En-tteCar"/>
    <w:uiPriority w:val="99"/>
    <w:unhideWhenUsed/>
    <w:rsid w:val="00122F0C"/>
    <w:pPr>
      <w:tabs>
        <w:tab w:val="center" w:pos="4536"/>
        <w:tab w:val="right" w:pos="9072"/>
      </w:tabs>
    </w:pPr>
  </w:style>
  <w:style w:type="character" w:customStyle="1" w:styleId="En-tteCar">
    <w:name w:val="En-tête Car"/>
    <w:basedOn w:val="Policepardfaut"/>
    <w:link w:val="En-tte"/>
    <w:uiPriority w:val="99"/>
    <w:rsid w:val="00122F0C"/>
  </w:style>
  <w:style w:type="paragraph" w:styleId="Pieddepage">
    <w:name w:val="footer"/>
    <w:basedOn w:val="Normal"/>
    <w:link w:val="PieddepageCar"/>
    <w:uiPriority w:val="99"/>
    <w:unhideWhenUsed/>
    <w:rsid w:val="00122F0C"/>
    <w:pPr>
      <w:tabs>
        <w:tab w:val="center" w:pos="4536"/>
        <w:tab w:val="right" w:pos="9072"/>
      </w:tabs>
    </w:pPr>
  </w:style>
  <w:style w:type="character" w:customStyle="1" w:styleId="PieddepageCar">
    <w:name w:val="Pied de page Car"/>
    <w:basedOn w:val="Policepardfaut"/>
    <w:link w:val="Pieddepage"/>
    <w:uiPriority w:val="99"/>
    <w:rsid w:val="00122F0C"/>
  </w:style>
  <w:style w:type="paragraph" w:styleId="Notedefin">
    <w:name w:val="endnote text"/>
    <w:basedOn w:val="Normal"/>
    <w:link w:val="NotedefinCar"/>
    <w:uiPriority w:val="99"/>
    <w:semiHidden/>
    <w:unhideWhenUsed/>
    <w:rsid w:val="00122F0C"/>
  </w:style>
  <w:style w:type="character" w:customStyle="1" w:styleId="NotedefinCar">
    <w:name w:val="Note de fin Car"/>
    <w:basedOn w:val="Policepardfaut"/>
    <w:link w:val="Notedefin"/>
    <w:uiPriority w:val="99"/>
    <w:semiHidden/>
    <w:rsid w:val="00122F0C"/>
  </w:style>
  <w:style w:type="character" w:styleId="Appeldenotedefin">
    <w:name w:val="endnote reference"/>
    <w:basedOn w:val="Policepardfaut"/>
    <w:uiPriority w:val="99"/>
    <w:semiHidden/>
    <w:unhideWhenUsed/>
    <w:rsid w:val="00122F0C"/>
    <w:rPr>
      <w:vertAlign w:val="superscript"/>
    </w:rPr>
  </w:style>
  <w:style w:type="paragraph" w:styleId="Paragraphedeliste">
    <w:name w:val="List Paragraph"/>
    <w:basedOn w:val="Normal"/>
    <w:link w:val="ParagraphedelisteCar"/>
    <w:uiPriority w:val="34"/>
    <w:qFormat/>
    <w:rsid w:val="00177921"/>
    <w:pPr>
      <w:ind w:left="720"/>
      <w:contextualSpacing/>
    </w:pPr>
  </w:style>
  <w:style w:type="character" w:customStyle="1" w:styleId="Titre1Car">
    <w:name w:val="Titre 1 Car"/>
    <w:basedOn w:val="Policepardfaut"/>
    <w:link w:val="Titre1"/>
    <w:uiPriority w:val="9"/>
    <w:rsid w:val="00CC1B2D"/>
    <w:rPr>
      <w:b/>
      <w:bCs/>
      <w:color w:val="000000"/>
    </w:rPr>
  </w:style>
  <w:style w:type="paragraph" w:customStyle="1" w:styleId="Default">
    <w:name w:val="Default"/>
    <w:rsid w:val="00A15A56"/>
    <w:pPr>
      <w:autoSpaceDE w:val="0"/>
      <w:autoSpaceDN w:val="0"/>
      <w:adjustRightInd w:val="0"/>
    </w:pPr>
    <w:rPr>
      <w:color w:val="000000"/>
      <w:sz w:val="24"/>
      <w:szCs w:val="24"/>
    </w:rPr>
  </w:style>
  <w:style w:type="character" w:customStyle="1" w:styleId="Mentionnonrsolue1">
    <w:name w:val="Mention non résolue1"/>
    <w:basedOn w:val="Policepardfaut"/>
    <w:uiPriority w:val="99"/>
    <w:semiHidden/>
    <w:unhideWhenUsed/>
    <w:rsid w:val="009375A2"/>
    <w:rPr>
      <w:color w:val="605E5C"/>
      <w:shd w:val="clear" w:color="auto" w:fill="E1DFDD"/>
    </w:rPr>
  </w:style>
  <w:style w:type="paragraph" w:styleId="Sansinterligne">
    <w:name w:val="No Spacing"/>
    <w:uiPriority w:val="1"/>
    <w:qFormat/>
    <w:rsid w:val="008C21BF"/>
    <w:rPr>
      <w:rFonts w:ascii="Calibri" w:hAnsi="Calibri"/>
      <w:sz w:val="22"/>
      <w:szCs w:val="22"/>
    </w:rPr>
  </w:style>
  <w:style w:type="character" w:customStyle="1" w:styleId="ParagraphedelisteCar">
    <w:name w:val="Paragraphe de liste Car"/>
    <w:link w:val="Paragraphedeliste"/>
    <w:uiPriority w:val="34"/>
    <w:locked/>
    <w:rsid w:val="00BA7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62056">
      <w:bodyDiv w:val="1"/>
      <w:marLeft w:val="0"/>
      <w:marRight w:val="0"/>
      <w:marTop w:val="0"/>
      <w:marBottom w:val="0"/>
      <w:divBdr>
        <w:top w:val="none" w:sz="0" w:space="0" w:color="auto"/>
        <w:left w:val="none" w:sz="0" w:space="0" w:color="auto"/>
        <w:bottom w:val="none" w:sz="0" w:space="0" w:color="auto"/>
        <w:right w:val="none" w:sz="0" w:space="0" w:color="auto"/>
      </w:divBdr>
    </w:div>
    <w:div w:id="1344817767">
      <w:bodyDiv w:val="1"/>
      <w:marLeft w:val="0"/>
      <w:marRight w:val="0"/>
      <w:marTop w:val="0"/>
      <w:marBottom w:val="0"/>
      <w:divBdr>
        <w:top w:val="none" w:sz="0" w:space="0" w:color="auto"/>
        <w:left w:val="none" w:sz="0" w:space="0" w:color="auto"/>
        <w:bottom w:val="none" w:sz="0" w:space="0" w:color="auto"/>
        <w:right w:val="none" w:sz="0" w:space="0" w:color="auto"/>
      </w:divBdr>
    </w:div>
    <w:div w:id="1610357926">
      <w:bodyDiv w:val="1"/>
      <w:marLeft w:val="0"/>
      <w:marRight w:val="0"/>
      <w:marTop w:val="0"/>
      <w:marBottom w:val="0"/>
      <w:divBdr>
        <w:top w:val="none" w:sz="0" w:space="0" w:color="auto"/>
        <w:left w:val="none" w:sz="0" w:space="0" w:color="auto"/>
        <w:bottom w:val="none" w:sz="0" w:space="0" w:color="auto"/>
        <w:right w:val="none" w:sz="0" w:space="0" w:color="auto"/>
      </w:divBdr>
    </w:div>
    <w:div w:id="190790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cahiers-clauses-administratives-generales-et-techniqu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5D1B27D82EBA4895AD5FA25C10968B" ma:contentTypeVersion="" ma:contentTypeDescription="Crée un document." ma:contentTypeScope="" ma:versionID="4376aa27ac01fb62903dd0a868caaa85">
  <xsd:schema xmlns:xsd="http://www.w3.org/2001/XMLSchema" xmlns:xs="http://www.w3.org/2001/XMLSchema" xmlns:p="http://schemas.microsoft.com/office/2006/metadata/properties" xmlns:ns1="http://schemas.microsoft.com/sharepoint/v3" targetNamespace="http://schemas.microsoft.com/office/2006/metadata/properties" ma:root="true" ma:fieldsID="34be24dabbb21a3570e7bf0528c7ba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internalName="PublishingStartDate">
      <xsd:simpleType>
        <xsd:restriction base="dms:Unknown"/>
      </xsd:simpleType>
    </xsd:element>
    <xsd:element name="PublishingExpirationDate" ma:index="9" nillable="true" ma:displayName="Date de fin de planifica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32B61-E1A4-4E17-8F2F-729761F4B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18487-F729-43D3-BB38-0E0F9C23C308}">
  <ds:schemaRefs>
    <ds:schemaRef ds:uri="http://schemas.microsoft.com/sharepoint/v3/contenttype/forms"/>
  </ds:schemaRefs>
</ds:datastoreItem>
</file>

<file path=customXml/itemProps3.xml><?xml version="1.0" encoding="utf-8"?>
<ds:datastoreItem xmlns:ds="http://schemas.openxmlformats.org/officeDocument/2006/customXml" ds:itemID="{78912F0D-14E2-4AA7-B39B-934312DD558E}">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4182AEF-C64C-4E23-89D5-ADA8C9945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2694</Words>
  <Characters>14576</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LE CENTRE NATIONAL DE LA RECHERCHE SCIENTIFIQUE</vt:lpstr>
    </vt:vector>
  </TitlesOfParts>
  <Company>CNRS</Company>
  <LinksUpToDate>false</LinksUpToDate>
  <CharactersWithSpaces>17236</CharactersWithSpaces>
  <SharedDoc>false</SharedDoc>
  <HLinks>
    <vt:vector size="6" baseType="variant">
      <vt:variant>
        <vt:i4>851992</vt:i4>
      </vt:variant>
      <vt:variant>
        <vt:i4>27</vt:i4>
      </vt:variant>
      <vt:variant>
        <vt:i4>0</vt:i4>
      </vt:variant>
      <vt:variant>
        <vt:i4>5</vt:i4>
      </vt:variant>
      <vt:variant>
        <vt:lpwstr>http://www.economie.gouv.fr/daj/Cahiers-des-Clauses-Administratives-Generales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dc:title>
  <dc:subject/>
  <dc:creator>debeire_c</dc:creator>
  <cp:keywords/>
  <dc:description>mis à jour le 2 septembre  2010_x000d_
Masha Albertini - DDA</dc:description>
  <cp:lastModifiedBy>RIEUX Sylvie</cp:lastModifiedBy>
  <cp:revision>4</cp:revision>
  <cp:lastPrinted>2019-12-17T13:10:00Z</cp:lastPrinted>
  <dcterms:created xsi:type="dcterms:W3CDTF">2025-04-10T12:42:00Z</dcterms:created>
  <dcterms:modified xsi:type="dcterms:W3CDTF">2025-04-14T06:24:00Z</dcterms:modified>
</cp:coreProperties>
</file>