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0AD" w:rsidRPr="00D628D0" w:rsidRDefault="006A04DF" w:rsidP="005E00AD">
      <w:pPr>
        <w:ind w:right="-426"/>
        <w:rPr>
          <w:color w:val="000000"/>
          <w:sz w:val="24"/>
          <w:szCs w:val="24"/>
        </w:rPr>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-25400</wp:posOffset>
                </wp:positionH>
                <wp:positionV relativeFrom="paragraph">
                  <wp:posOffset>183515</wp:posOffset>
                </wp:positionV>
                <wp:extent cx="6527800" cy="9477375"/>
                <wp:effectExtent l="12700" t="21590" r="12700" b="16510"/>
                <wp:wrapNone/>
                <wp:docPr id="2"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7800" cy="9477375"/>
                        </a:xfrm>
                        <a:prstGeom prst="roundRect">
                          <a:avLst>
                            <a:gd name="adj" fmla="val 4949"/>
                          </a:avLst>
                        </a:prstGeom>
                        <a:solidFill>
                          <a:srgbClr val="FFFFFF"/>
                        </a:solidFill>
                        <a:ln w="25400">
                          <a:solidFill>
                            <a:srgbClr val="BFBFBF"/>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w14:anchorId="49A3A857" id="Rectangle à coins arrondis 11" o:spid="_x0000_s1026" style="position:absolute;margin-left:-2pt;margin-top:14.45pt;width:514pt;height:74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32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" strokecolor="#bfbfbf" strokeweight="2pt"/>
            </w:pict>
          </mc:Fallback>
        </mc:AlternateContent>
      </w:r>
    </w:p>
    <w:p w:rsidR="005E00AD" w:rsidRDefault="00801CF0" w:rsidP="003D259D">
      <w:pPr>
        <w:tabs>
          <w:tab w:val="left" w:pos="850"/>
        </w:tabs>
        <w:overflowPunct w:val="0"/>
        <w:autoSpaceDE w:val="0"/>
        <w:adjustRightInd w:val="0"/>
        <w:spacing w:before="120" w:after="0" w:line="240" w:lineRule="auto"/>
        <w:ind w:left="425" w:right="-23"/>
        <w:jc w:val="center"/>
        <w:rPr>
          <w:rFonts w:eastAsia="MS Mincho" w:cs="Calibri"/>
          <w:b/>
          <w:iCs/>
          <w:spacing w:val="-3"/>
          <w:kern w:val="28"/>
          <w:sz w:val="56"/>
          <w:szCs w:val="24"/>
        </w:rPr>
      </w:pPr>
      <w:r w:rsidRPr="00C16AE4">
        <w:rPr>
          <w:rFonts w:eastAsia="MS Mincho" w:cs="Calibri"/>
          <w:b/>
          <w:iCs/>
          <w:spacing w:val="-3"/>
          <w:kern w:val="28"/>
          <w:sz w:val="96"/>
          <w:szCs w:val="24"/>
          <w:shd w:val="clear" w:color="auto" w:fill="92CDDC"/>
        </w:rPr>
        <w:t>M</w:t>
      </w:r>
      <w:r w:rsidRPr="003D259D">
        <w:rPr>
          <w:rFonts w:eastAsia="MS Mincho" w:cs="Calibri"/>
          <w:b/>
          <w:iCs/>
          <w:spacing w:val="-3"/>
          <w:kern w:val="28"/>
          <w:sz w:val="56"/>
          <w:szCs w:val="24"/>
        </w:rPr>
        <w:t>arché de Prestations Intellectuelles</w:t>
      </w:r>
    </w:p>
    <w:p w:rsidR="003D259D" w:rsidRPr="003D259D" w:rsidRDefault="003D259D" w:rsidP="00E50754">
      <w:pPr>
        <w:overflowPunct w:val="0"/>
        <w:autoSpaceDE w:val="0"/>
        <w:adjustRightInd w:val="0"/>
        <w:spacing w:after="0" w:line="240" w:lineRule="auto"/>
        <w:ind w:left="709" w:right="-23"/>
        <w:rPr>
          <w:rFonts w:eastAsia="MS Mincho" w:cs="Calibri"/>
          <w:iCs/>
          <w:spacing w:val="-3"/>
          <w:kern w:val="28"/>
          <w:sz w:val="56"/>
          <w:szCs w:val="24"/>
        </w:rPr>
      </w:pPr>
      <w:r>
        <w:rPr>
          <w:rFonts w:eastAsia="MS Mincho" w:cs="Calibri"/>
          <w:iCs/>
          <w:spacing w:val="-3"/>
          <w:kern w:val="28"/>
          <w:sz w:val="56"/>
          <w:szCs w:val="24"/>
        </w:rPr>
        <w:t>A</w:t>
      </w:r>
      <w:r w:rsidRPr="003D259D">
        <w:rPr>
          <w:rFonts w:eastAsia="MS Mincho" w:cs="Calibri"/>
          <w:iCs/>
          <w:spacing w:val="-3"/>
          <w:kern w:val="28"/>
          <w:sz w:val="56"/>
          <w:szCs w:val="24"/>
        </w:rPr>
        <w:t xml:space="preserve">nnexe </w:t>
      </w:r>
      <w:r w:rsidR="00BD0297">
        <w:rPr>
          <w:rFonts w:eastAsia="MS Mincho" w:cs="Calibri"/>
          <w:iCs/>
          <w:spacing w:val="-3"/>
          <w:kern w:val="28"/>
          <w:sz w:val="56"/>
          <w:szCs w:val="24"/>
        </w:rPr>
        <w:t xml:space="preserve">1 au </w:t>
      </w:r>
      <w:r w:rsidRPr="003D259D">
        <w:rPr>
          <w:rFonts w:eastAsia="MS Mincho" w:cs="Calibri"/>
          <w:iCs/>
          <w:spacing w:val="-3"/>
          <w:kern w:val="28"/>
          <w:sz w:val="56"/>
          <w:szCs w:val="24"/>
        </w:rPr>
        <w:t>CC</w:t>
      </w:r>
      <w:r w:rsidR="00BD0297">
        <w:rPr>
          <w:rFonts w:eastAsia="MS Mincho" w:cs="Calibri"/>
          <w:iCs/>
          <w:spacing w:val="-3"/>
          <w:kern w:val="28"/>
          <w:sz w:val="56"/>
          <w:szCs w:val="24"/>
        </w:rPr>
        <w:t>P</w:t>
      </w:r>
    </w:p>
    <w:p w:rsidR="003D259D" w:rsidRDefault="003D259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3D259D" w:rsidRDefault="003D259D" w:rsidP="00C16AE4">
      <w:pPr>
        <w:shd w:val="clear" w:color="auto" w:fill="92CDDC"/>
        <w:tabs>
          <w:tab w:val="left" w:pos="850"/>
        </w:tabs>
        <w:overflowPunct w:val="0"/>
        <w:autoSpaceDE w:val="0"/>
        <w:adjustRightInd w:val="0"/>
        <w:ind w:right="-296"/>
        <w:jc w:val="center"/>
        <w:rPr>
          <w:rFonts w:ascii="Lucida Sans Unicode" w:eastAsia="MS Mincho" w:hAnsi="Lucida Sans Unicode" w:cs="Lucida Sans Unicode"/>
          <w:iCs/>
          <w:spacing w:val="-3"/>
          <w:kern w:val="28"/>
          <w:sz w:val="18"/>
          <w:szCs w:val="18"/>
        </w:rPr>
      </w:pPr>
    </w:p>
    <w:p w:rsidR="003D259D" w:rsidRPr="00EE3C8A" w:rsidRDefault="003D259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3D259D" w:rsidRDefault="003D259D" w:rsidP="00801CF0">
      <w:pPr>
        <w:overflowPunct w:val="0"/>
        <w:autoSpaceDE w:val="0"/>
        <w:adjustRightInd w:val="0"/>
        <w:jc w:val="center"/>
        <w:rPr>
          <w:rFonts w:eastAsia="MS Mincho" w:cs="Calibri"/>
          <w:iCs/>
          <w:spacing w:val="70"/>
          <w:kern w:val="28"/>
          <w:sz w:val="96"/>
          <w:szCs w:val="24"/>
        </w:rPr>
      </w:pPr>
    </w:p>
    <w:p w:rsidR="00801CF0" w:rsidRPr="00801CF0" w:rsidRDefault="00801CF0" w:rsidP="00E50754">
      <w:pPr>
        <w:overflowPunct w:val="0"/>
        <w:autoSpaceDE w:val="0"/>
        <w:adjustRightInd w:val="0"/>
        <w:ind w:left="709"/>
        <w:rPr>
          <w:rFonts w:eastAsia="MS Mincho" w:cs="Calibri"/>
          <w:iCs/>
          <w:spacing w:val="70"/>
          <w:kern w:val="28"/>
          <w:sz w:val="96"/>
          <w:szCs w:val="24"/>
        </w:rPr>
      </w:pPr>
      <w:r w:rsidRPr="00801CF0">
        <w:rPr>
          <w:rFonts w:eastAsia="MS Mincho" w:cs="Calibri"/>
          <w:iCs/>
          <w:spacing w:val="70"/>
          <w:kern w:val="28"/>
          <w:sz w:val="96"/>
          <w:szCs w:val="24"/>
        </w:rPr>
        <w:t>CONVENTION D’INTERCHANGE</w:t>
      </w:r>
    </w:p>
    <w:p w:rsidR="00801CF0" w:rsidRDefault="00801CF0" w:rsidP="00801CF0">
      <w:pPr>
        <w:spacing w:after="0" w:line="240" w:lineRule="auto"/>
        <w:ind w:right="850" w:firstLine="708"/>
        <w:jc w:val="center"/>
        <w:rPr>
          <w:rFonts w:ascii="Arial" w:eastAsia="Times New Roman" w:hAnsi="Arial" w:cs="Arial"/>
          <w:sz w:val="28"/>
          <w:szCs w:val="20"/>
          <w:lang w:eastAsia="fr-FR"/>
        </w:rPr>
      </w:pPr>
    </w:p>
    <w:p w:rsidR="00801CF0" w:rsidRPr="00C16AE4" w:rsidRDefault="00801CF0" w:rsidP="00E50754">
      <w:pPr>
        <w:spacing w:after="0" w:line="240" w:lineRule="auto"/>
        <w:ind w:left="709" w:right="850"/>
        <w:rPr>
          <w:rFonts w:eastAsia="Times New Roman" w:cs="Arial"/>
          <w:sz w:val="40"/>
          <w:szCs w:val="20"/>
          <w:lang w:eastAsia="fr-FR"/>
        </w:rPr>
      </w:pPr>
      <w:proofErr w:type="gramStart"/>
      <w:r w:rsidRPr="00C16AE4">
        <w:rPr>
          <w:rFonts w:eastAsia="Times New Roman" w:cs="Arial"/>
          <w:sz w:val="40"/>
          <w:szCs w:val="20"/>
          <w:lang w:eastAsia="fr-FR"/>
        </w:rPr>
        <w:t>relative</w:t>
      </w:r>
      <w:proofErr w:type="gramEnd"/>
      <w:r w:rsidRPr="00C16AE4">
        <w:rPr>
          <w:rFonts w:eastAsia="Times New Roman" w:cs="Arial"/>
          <w:sz w:val="40"/>
          <w:szCs w:val="20"/>
          <w:lang w:eastAsia="fr-FR"/>
        </w:rPr>
        <w:t xml:space="preserve"> au service d’échange électronique </w:t>
      </w:r>
    </w:p>
    <w:p w:rsidR="00801CF0" w:rsidRPr="001A3B28" w:rsidRDefault="00801CF0" w:rsidP="00E50754">
      <w:pPr>
        <w:spacing w:after="0" w:line="240" w:lineRule="auto"/>
        <w:ind w:left="709" w:right="850"/>
        <w:rPr>
          <w:rFonts w:ascii="Arial" w:eastAsia="Times New Roman" w:hAnsi="Arial" w:cs="Arial"/>
          <w:sz w:val="40"/>
          <w:szCs w:val="20"/>
          <w:lang w:eastAsia="fr-FR"/>
        </w:rPr>
      </w:pPr>
      <w:proofErr w:type="gramStart"/>
      <w:r w:rsidRPr="00C16AE4">
        <w:rPr>
          <w:rFonts w:eastAsia="Times New Roman" w:cs="Arial"/>
          <w:sz w:val="40"/>
          <w:szCs w:val="20"/>
          <w:lang w:eastAsia="fr-FR"/>
        </w:rPr>
        <w:t>de</w:t>
      </w:r>
      <w:proofErr w:type="gramEnd"/>
      <w:r w:rsidRPr="00C16AE4">
        <w:rPr>
          <w:rFonts w:eastAsia="Times New Roman" w:cs="Arial"/>
          <w:sz w:val="40"/>
          <w:szCs w:val="20"/>
          <w:lang w:eastAsia="fr-FR"/>
        </w:rPr>
        <w:t xml:space="preserve"> Gestion Financière des Marchés</w:t>
      </w:r>
    </w:p>
    <w:p w:rsidR="005E00AD" w:rsidRPr="00EE3C8A" w:rsidRDefault="005E00A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5E00AD" w:rsidRPr="00EE3C8A" w:rsidRDefault="005E00A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5E00AD" w:rsidRPr="00EE3C8A" w:rsidRDefault="005E00A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5E00AD" w:rsidRPr="00EE3C8A" w:rsidRDefault="005E00AD" w:rsidP="005E00AD">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5E00AD" w:rsidRPr="00EE3C8A" w:rsidRDefault="005E00AD" w:rsidP="005E00AD">
      <w:pPr>
        <w:tabs>
          <w:tab w:val="left" w:pos="850"/>
        </w:tabs>
        <w:overflowPunct w:val="0"/>
        <w:autoSpaceDE w:val="0"/>
        <w:adjustRightInd w:val="0"/>
        <w:ind w:right="696"/>
        <w:jc w:val="center"/>
        <w:rPr>
          <w:rFonts w:ascii="Arial" w:hAnsi="Arial" w:cs="Arial"/>
          <w:b/>
        </w:rPr>
      </w:pPr>
    </w:p>
    <w:p w:rsidR="005E00AD" w:rsidRDefault="005E00AD" w:rsidP="005E00AD">
      <w:pPr>
        <w:rPr>
          <w:rFonts w:ascii="Arial" w:hAnsi="Arial" w:cs="Arial"/>
          <w:b/>
          <w:bCs/>
          <w:sz w:val="32"/>
          <w:szCs w:val="40"/>
        </w:rPr>
      </w:pPr>
    </w:p>
    <w:p w:rsidR="005E00AD" w:rsidRPr="00EE3C8A" w:rsidRDefault="005E00AD" w:rsidP="005E00AD">
      <w:pPr>
        <w:rPr>
          <w:rFonts w:ascii="Cambria" w:eastAsia="MS Mincho" w:hAnsi="Cambria"/>
          <w:sz w:val="24"/>
          <w:szCs w:val="24"/>
        </w:rPr>
      </w:pPr>
    </w:p>
    <w:p w:rsidR="005E00AD" w:rsidRPr="00EE3C8A" w:rsidRDefault="005E00AD" w:rsidP="005E00AD">
      <w:pPr>
        <w:rPr>
          <w:rFonts w:ascii="Cambria" w:eastAsia="MS Mincho" w:hAnsi="Cambria"/>
          <w:sz w:val="24"/>
          <w:szCs w:val="24"/>
        </w:rPr>
      </w:pPr>
    </w:p>
    <w:p w:rsidR="005E00AD" w:rsidRDefault="005E00AD" w:rsidP="005E00AD">
      <w:pPr>
        <w:ind w:left="-851" w:right="-284"/>
        <w:rPr>
          <w:rFonts w:ascii="Arial" w:hAnsi="Arial" w:cs="Arial"/>
          <w:color w:val="000000"/>
        </w:rPr>
      </w:pPr>
    </w:p>
    <w:p w:rsidR="005E00AD" w:rsidRDefault="005E00AD" w:rsidP="005E00AD">
      <w:pPr>
        <w:ind w:left="-851" w:right="-284"/>
        <w:rPr>
          <w:rFonts w:ascii="Arial" w:hAnsi="Arial" w:cs="Arial"/>
          <w:color w:val="000000"/>
        </w:rPr>
      </w:pP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color w:val="31849B"/>
          <w:sz w:val="20"/>
          <w:szCs w:val="20"/>
          <w:lang w:eastAsia="fr-FR"/>
        </w:rPr>
      </w:pPr>
      <w:r w:rsidRPr="00C16AE4">
        <w:rPr>
          <w:rFonts w:ascii="Arial" w:eastAsia="Times New Roman" w:hAnsi="Arial" w:cs="Arial"/>
          <w:b/>
          <w:color w:val="31849B"/>
          <w:sz w:val="20"/>
          <w:szCs w:val="20"/>
          <w:lang w:eastAsia="fr-FR"/>
        </w:rPr>
        <w:t>1 - OBJET DE LA PRESENTE CONVENTION D'INTERCHANGE</w:t>
      </w:r>
    </w:p>
    <w:p w:rsidR="001A3B28" w:rsidRPr="001A3B28" w:rsidRDefault="001A3B28" w:rsidP="001A3B28">
      <w:pPr>
        <w:spacing w:after="0" w:line="240" w:lineRule="auto"/>
        <w:rPr>
          <w:rFonts w:ascii="Arial" w:eastAsia="Times New Roman" w:hAnsi="Arial" w:cs="Arial"/>
          <w:sz w:val="20"/>
          <w:szCs w:val="20"/>
          <w:lang w:eastAsia="fr-FR"/>
        </w:rPr>
      </w:pPr>
    </w:p>
    <w:p w:rsidR="00DE2159" w:rsidRDefault="00DE2159"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La présente convention fixe un cadre juridique à l'utilisation du service électronique de traitement, d'archivage et d'échange d'information EDIFLEX mis en œuvre pour </w:t>
      </w:r>
      <w:r w:rsidRPr="001A3B28">
        <w:rPr>
          <w:rFonts w:ascii="Arial" w:eastAsia="Times New Roman" w:hAnsi="Arial" w:cs="Arial"/>
          <w:b/>
          <w:sz w:val="20"/>
          <w:szCs w:val="20"/>
          <w:lang w:eastAsia="fr-FR"/>
        </w:rPr>
        <w:t xml:space="preserve">la gestion dématérialisée de la facturation des marchés de </w:t>
      </w:r>
      <w:r w:rsidR="007022B3">
        <w:rPr>
          <w:rFonts w:ascii="Arial" w:eastAsia="Times New Roman" w:hAnsi="Arial" w:cs="Arial"/>
          <w:b/>
          <w:sz w:val="20"/>
          <w:szCs w:val="20"/>
          <w:lang w:eastAsia="fr-FR"/>
        </w:rPr>
        <w:t>Prestations Intellectuelles</w:t>
      </w:r>
      <w:r w:rsidRPr="001A3B28">
        <w:rPr>
          <w:rFonts w:ascii="Arial" w:eastAsia="Times New Roman" w:hAnsi="Arial" w:cs="Arial"/>
          <w:b/>
          <w:sz w:val="20"/>
          <w:szCs w:val="20"/>
          <w:lang w:eastAsia="fr-FR"/>
        </w:rPr>
        <w:t xml:space="preserve"> </w:t>
      </w:r>
      <w:r w:rsidRPr="001A3B28">
        <w:rPr>
          <w:rFonts w:ascii="Arial" w:eastAsia="Times New Roman" w:hAnsi="Arial" w:cs="Arial"/>
          <w:sz w:val="20"/>
          <w:szCs w:val="20"/>
          <w:lang w:eastAsia="fr-FR"/>
        </w:rPr>
        <w:t xml:space="preserve">par la société EPICTURE en accord avec le </w:t>
      </w:r>
      <w:r w:rsidR="008D2062">
        <w:rPr>
          <w:rFonts w:ascii="Arial" w:eastAsia="Times New Roman" w:hAnsi="Arial" w:cs="Arial"/>
          <w:sz w:val="20"/>
          <w:szCs w:val="20"/>
          <w:lang w:eastAsia="fr-FR"/>
        </w:rPr>
        <w:t xml:space="preserve">Maître d’Ouvrage </w:t>
      </w:r>
      <w:r w:rsidR="00593001">
        <w:rPr>
          <w:rFonts w:ascii="Arial" w:eastAsia="Times New Roman" w:hAnsi="Arial" w:cs="Arial"/>
          <w:sz w:val="20"/>
          <w:szCs w:val="20"/>
          <w:lang w:eastAsia="fr-FR"/>
        </w:rPr>
        <w:t>SORBONNE UNIVERSITE</w:t>
      </w:r>
      <w:r w:rsidR="008D2062">
        <w:rPr>
          <w:rFonts w:ascii="Arial" w:eastAsia="Times New Roman" w:hAnsi="Arial" w:cs="Arial"/>
          <w:sz w:val="20"/>
          <w:szCs w:val="20"/>
          <w:lang w:eastAsia="fr-FR"/>
        </w:rPr>
        <w:t xml:space="preserve"> </w:t>
      </w:r>
      <w:r w:rsidR="009A5C73">
        <w:rPr>
          <w:rFonts w:ascii="Arial" w:eastAsia="Times New Roman" w:hAnsi="Arial" w:cs="Arial"/>
          <w:sz w:val="20"/>
          <w:szCs w:val="20"/>
          <w:lang w:eastAsia="fr-FR"/>
        </w:rPr>
        <w:t xml:space="preserve">sur l’opération </w:t>
      </w:r>
      <w:r w:rsidR="00931650">
        <w:rPr>
          <w:rFonts w:ascii="Arial" w:eastAsia="Times New Roman" w:hAnsi="Arial" w:cs="Arial"/>
          <w:sz w:val="20"/>
          <w:szCs w:val="20"/>
          <w:lang w:eastAsia="fr-FR"/>
        </w:rPr>
        <w:t xml:space="preserve">« Travaux d’aménagement </w:t>
      </w:r>
      <w:r w:rsidR="00681E14">
        <w:rPr>
          <w:rFonts w:ascii="Arial" w:eastAsia="Times New Roman" w:hAnsi="Arial" w:cs="Arial"/>
          <w:sz w:val="20"/>
          <w:szCs w:val="20"/>
          <w:lang w:eastAsia="fr-FR"/>
        </w:rPr>
        <w:t xml:space="preserve">du </w:t>
      </w:r>
      <w:r w:rsidR="00681E14" w:rsidRPr="00681E14">
        <w:rPr>
          <w:rFonts w:ascii="Arial" w:eastAsia="Times New Roman" w:hAnsi="Arial" w:cs="Arial"/>
          <w:sz w:val="20"/>
          <w:szCs w:val="20"/>
          <w:lang w:eastAsia="fr-FR"/>
        </w:rPr>
        <w:t xml:space="preserve">laboratoire de recherche en génétique et métabolisme des </w:t>
      </w:r>
      <w:r w:rsidR="00D60496">
        <w:rPr>
          <w:rFonts w:ascii="Arial" w:eastAsia="Times New Roman" w:hAnsi="Arial" w:cs="Arial"/>
          <w:sz w:val="20"/>
          <w:szCs w:val="20"/>
          <w:lang w:eastAsia="fr-FR"/>
        </w:rPr>
        <w:t>c</w:t>
      </w:r>
      <w:r w:rsidR="00681E14" w:rsidRPr="00681E14">
        <w:rPr>
          <w:rFonts w:ascii="Arial" w:eastAsia="Times New Roman" w:hAnsi="Arial" w:cs="Arial"/>
          <w:sz w:val="20"/>
          <w:szCs w:val="20"/>
          <w:lang w:eastAsia="fr-FR"/>
        </w:rPr>
        <w:t>ancers rares</w:t>
      </w:r>
      <w:r w:rsidR="00681E14">
        <w:rPr>
          <w:rFonts w:ascii="Arial" w:eastAsia="Times New Roman" w:hAnsi="Arial" w:cs="Arial"/>
          <w:sz w:val="20"/>
          <w:szCs w:val="20"/>
          <w:lang w:eastAsia="fr-FR"/>
        </w:rPr>
        <w:t xml:space="preserve"> </w:t>
      </w:r>
      <w:r w:rsidR="00D60496">
        <w:rPr>
          <w:rFonts w:ascii="Arial" w:eastAsia="Times New Roman" w:hAnsi="Arial" w:cs="Arial"/>
          <w:sz w:val="20"/>
          <w:szCs w:val="20"/>
          <w:lang w:eastAsia="fr-FR"/>
        </w:rPr>
        <w:t>sur le c</w:t>
      </w:r>
      <w:r w:rsidR="00931650">
        <w:rPr>
          <w:rFonts w:ascii="Arial" w:eastAsia="Times New Roman" w:hAnsi="Arial" w:cs="Arial"/>
          <w:sz w:val="20"/>
          <w:szCs w:val="20"/>
          <w:lang w:eastAsia="fr-FR"/>
        </w:rPr>
        <w:t>ampus des Cordeliers</w:t>
      </w:r>
      <w:r w:rsidR="006A1520">
        <w:rPr>
          <w:rFonts w:ascii="Arial" w:eastAsia="Times New Roman" w:hAnsi="Arial" w:cs="Arial"/>
          <w:b/>
          <w:sz w:val="20"/>
          <w:szCs w:val="20"/>
          <w:lang w:eastAsia="fr-FR"/>
        </w:rPr>
        <w:t xml:space="preserve"> </w:t>
      </w:r>
      <w:r w:rsidR="009A5C73">
        <w:rPr>
          <w:rFonts w:ascii="Arial" w:eastAsia="Times New Roman" w:hAnsi="Arial" w:cs="Arial"/>
          <w:sz w:val="20"/>
          <w:szCs w:val="20"/>
          <w:lang w:eastAsia="fr-FR"/>
        </w:rPr>
        <w:t>».</w:t>
      </w:r>
    </w:p>
    <w:p w:rsidR="001A3B28" w:rsidRPr="001A3B28" w:rsidRDefault="001A3B28" w:rsidP="00E02649">
      <w:pPr>
        <w:spacing w:after="0" w:line="360" w:lineRule="auto"/>
        <w:rPr>
          <w:rFonts w:ascii="Arial" w:eastAsia="Times New Roman" w:hAnsi="Arial" w:cs="Arial"/>
          <w:sz w:val="20"/>
          <w:szCs w:val="20"/>
          <w:lang w:eastAsia="fr-FR"/>
        </w:rPr>
      </w:pPr>
    </w:p>
    <w:p w:rsidR="00073CD7" w:rsidRPr="00E02649" w:rsidRDefault="00E02649" w:rsidP="00E02649">
      <w:pPr>
        <w:spacing w:after="0" w:line="360" w:lineRule="auto"/>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 xml:space="preserve">CONTACT </w:t>
      </w:r>
      <w:r w:rsidR="001A3B28" w:rsidRPr="00E02649">
        <w:rPr>
          <w:rFonts w:ascii="Arial" w:eastAsia="Times New Roman" w:hAnsi="Arial" w:cs="Arial"/>
          <w:b/>
          <w:sz w:val="20"/>
          <w:szCs w:val="20"/>
          <w:u w:val="single"/>
          <w:lang w:eastAsia="fr-FR"/>
        </w:rPr>
        <w:t xml:space="preserve">EPICTURE : </w:t>
      </w:r>
    </w:p>
    <w:p w:rsidR="001A3B28" w:rsidRPr="005E00AD" w:rsidRDefault="00625A0F" w:rsidP="00E02649">
      <w:pPr>
        <w:spacing w:after="0" w:line="360" w:lineRule="auto"/>
        <w:rPr>
          <w:rFonts w:ascii="Arial" w:eastAsia="Times New Roman" w:hAnsi="Arial" w:cs="Arial"/>
          <w:sz w:val="20"/>
          <w:szCs w:val="20"/>
          <w:lang w:eastAsia="fr-FR"/>
        </w:rPr>
      </w:pPr>
      <w:r w:rsidRPr="005E00AD">
        <w:rPr>
          <w:rFonts w:ascii="Arial" w:eastAsia="Times New Roman" w:hAnsi="Arial" w:cs="Arial"/>
          <w:sz w:val="20"/>
          <w:szCs w:val="20"/>
          <w:lang w:eastAsia="fr-FR"/>
        </w:rPr>
        <w:t>Jean-Sébastien LELEU</w:t>
      </w:r>
      <w:r w:rsidR="001A3B28" w:rsidRPr="005E00AD">
        <w:rPr>
          <w:rFonts w:ascii="Arial" w:eastAsia="Times New Roman" w:hAnsi="Arial" w:cs="Arial"/>
          <w:sz w:val="20"/>
          <w:szCs w:val="20"/>
          <w:lang w:eastAsia="fr-FR"/>
        </w:rPr>
        <w:t xml:space="preserve"> </w:t>
      </w:r>
    </w:p>
    <w:p w:rsidR="001A3B28" w:rsidRPr="005E00AD" w:rsidRDefault="001A3B28" w:rsidP="00E02649">
      <w:pPr>
        <w:spacing w:after="0" w:line="360" w:lineRule="auto"/>
        <w:rPr>
          <w:rFonts w:ascii="Arial" w:eastAsia="Times New Roman" w:hAnsi="Arial" w:cs="Arial"/>
          <w:sz w:val="20"/>
          <w:szCs w:val="20"/>
          <w:lang w:eastAsia="fr-FR"/>
        </w:rPr>
      </w:pPr>
      <w:r w:rsidRPr="005E00AD">
        <w:rPr>
          <w:rFonts w:ascii="Arial" w:eastAsia="Times New Roman" w:hAnsi="Arial" w:cs="Arial"/>
          <w:sz w:val="20"/>
          <w:szCs w:val="20"/>
          <w:lang w:eastAsia="fr-FR"/>
        </w:rPr>
        <w:t xml:space="preserve">01 44 41 02 24 </w:t>
      </w:r>
      <w:r w:rsidRPr="005E00AD">
        <w:rPr>
          <w:rFonts w:ascii="Arial" w:eastAsia="Times New Roman" w:hAnsi="Arial" w:cs="Arial"/>
          <w:sz w:val="20"/>
          <w:szCs w:val="20"/>
          <w:lang w:eastAsia="fr-FR"/>
        </w:rPr>
        <w:tab/>
      </w:r>
      <w:r w:rsidRPr="005E00AD">
        <w:rPr>
          <w:rFonts w:ascii="Arial" w:eastAsia="Times New Roman" w:hAnsi="Arial" w:cs="Arial"/>
          <w:sz w:val="20"/>
          <w:szCs w:val="20"/>
          <w:lang w:eastAsia="fr-FR"/>
        </w:rPr>
        <w:tab/>
      </w:r>
    </w:p>
    <w:p w:rsidR="001A3B28" w:rsidRPr="005E00AD" w:rsidRDefault="00D60496" w:rsidP="00E02649">
      <w:pPr>
        <w:spacing w:after="0" w:line="360" w:lineRule="auto"/>
        <w:rPr>
          <w:rFonts w:ascii="Arial" w:eastAsia="Times New Roman" w:hAnsi="Arial" w:cs="Arial"/>
          <w:sz w:val="20"/>
          <w:szCs w:val="20"/>
          <w:lang w:eastAsia="fr-FR"/>
        </w:rPr>
      </w:pPr>
      <w:hyperlink r:id="rId8" w:history="1">
        <w:r w:rsidR="005F714B" w:rsidRPr="005E00AD">
          <w:rPr>
            <w:rStyle w:val="Lienhypertexte"/>
            <w:rFonts w:ascii="Arial" w:eastAsia="Times New Roman" w:hAnsi="Arial" w:cs="Arial"/>
            <w:sz w:val="20"/>
            <w:szCs w:val="20"/>
            <w:lang w:eastAsia="fr-FR"/>
          </w:rPr>
          <w:t>support@epicture.fr</w:t>
        </w:r>
      </w:hyperlink>
    </w:p>
    <w:p w:rsidR="001A3B28" w:rsidRPr="005E00AD" w:rsidRDefault="001A3B28" w:rsidP="001A3B28">
      <w:pPr>
        <w:spacing w:after="0" w:line="360" w:lineRule="auto"/>
        <w:rPr>
          <w:rFonts w:ascii="Arial" w:eastAsia="Times New Roman" w:hAnsi="Arial" w:cs="Arial"/>
          <w:sz w:val="20"/>
          <w:szCs w:val="20"/>
          <w:lang w:eastAsia="fr-FR"/>
        </w:rPr>
      </w:pPr>
    </w:p>
    <w:p w:rsidR="001A3B28" w:rsidRPr="001A3B28" w:rsidRDefault="001A3B28" w:rsidP="001A3B28">
      <w:pPr>
        <w:spacing w:after="0" w:line="360" w:lineRule="auto"/>
        <w:rPr>
          <w:rFonts w:ascii="Arial" w:eastAsia="Times New Roman" w:hAnsi="Arial" w:cs="Arial"/>
          <w:sz w:val="20"/>
          <w:szCs w:val="20"/>
          <w:lang w:eastAsia="fr-FR"/>
        </w:rPr>
      </w:pPr>
      <w:r w:rsidRPr="001A3B28">
        <w:rPr>
          <w:rFonts w:ascii="Arial" w:eastAsia="Times New Roman" w:hAnsi="Arial" w:cs="Arial"/>
          <w:b/>
          <w:sz w:val="20"/>
          <w:szCs w:val="20"/>
          <w:lang w:eastAsia="fr-FR"/>
        </w:rPr>
        <w:t>Objectifs du service EDIFLEX :</w:t>
      </w:r>
      <w:r w:rsidRPr="001A3B28">
        <w:rPr>
          <w:rFonts w:ascii="Arial" w:eastAsia="Times New Roman" w:hAnsi="Arial" w:cs="Arial"/>
          <w:sz w:val="20"/>
          <w:szCs w:val="20"/>
          <w:lang w:eastAsia="fr-FR"/>
        </w:rPr>
        <w:t xml:space="preserve"> </w:t>
      </w:r>
    </w:p>
    <w:p w:rsidR="001A3B28" w:rsidRPr="001A3B28" w:rsidRDefault="001A3B28" w:rsidP="001A3B28">
      <w:pPr>
        <w:spacing w:after="0" w:line="360" w:lineRule="auto"/>
        <w:rPr>
          <w:rFonts w:ascii="Arial" w:eastAsia="Times New Roman" w:hAnsi="Arial" w:cs="Arial"/>
          <w:sz w:val="20"/>
          <w:szCs w:val="20"/>
          <w:lang w:eastAsia="fr-FR"/>
        </w:rPr>
      </w:pPr>
    </w:p>
    <w:p w:rsidR="001A3B28" w:rsidRPr="001A3B28" w:rsidRDefault="001A3B28" w:rsidP="007022B3">
      <w:pPr>
        <w:numPr>
          <w:ilvl w:val="0"/>
          <w:numId w:val="2"/>
        </w:numPr>
        <w:spacing w:after="0" w:line="360" w:lineRule="auto"/>
        <w:ind w:left="1418" w:hanging="425"/>
        <w:jc w:val="both"/>
        <w:rPr>
          <w:rFonts w:ascii="Arial" w:eastAsia="Times New Roman" w:hAnsi="Arial" w:cs="Arial"/>
          <w:sz w:val="20"/>
          <w:szCs w:val="20"/>
          <w:lang w:eastAsia="fr-FR"/>
        </w:rPr>
      </w:pPr>
      <w:r w:rsidRPr="001A3B28">
        <w:rPr>
          <w:rFonts w:ascii="Arial" w:eastAsia="Times New Roman" w:hAnsi="Arial" w:cs="Arial"/>
          <w:sz w:val="20"/>
          <w:szCs w:val="20"/>
          <w:u w:val="single"/>
          <w:lang w:eastAsia="fr-FR"/>
        </w:rPr>
        <w:t>Gagner 2 à 3 semaines sur le circuit des documents</w:t>
      </w:r>
      <w:r w:rsidRPr="001A3B28">
        <w:rPr>
          <w:rFonts w:ascii="Arial" w:eastAsia="Times New Roman" w:hAnsi="Arial" w:cs="Arial"/>
          <w:sz w:val="20"/>
          <w:szCs w:val="20"/>
          <w:lang w:eastAsia="fr-FR"/>
        </w:rPr>
        <w:t xml:space="preserve"> afin que le service financier du Maître d'ouvrage en dispose dans les meilleurs délais et que les entreprises connaissent aussitôt les montants acceptés en paiement, </w:t>
      </w:r>
    </w:p>
    <w:p w:rsidR="005218C4" w:rsidRPr="001A3B28" w:rsidRDefault="005218C4" w:rsidP="005218C4">
      <w:pPr>
        <w:numPr>
          <w:ilvl w:val="0"/>
          <w:numId w:val="2"/>
        </w:numPr>
        <w:spacing w:after="0" w:line="360" w:lineRule="auto"/>
        <w:ind w:left="1418" w:hanging="425"/>
        <w:jc w:val="both"/>
        <w:rPr>
          <w:rFonts w:ascii="Arial" w:eastAsia="Times New Roman" w:hAnsi="Arial" w:cs="Arial"/>
          <w:sz w:val="20"/>
          <w:szCs w:val="20"/>
          <w:lang w:eastAsia="fr-FR"/>
        </w:rPr>
      </w:pPr>
      <w:r w:rsidRPr="001A3B28">
        <w:rPr>
          <w:rFonts w:ascii="Arial" w:eastAsia="Times New Roman" w:hAnsi="Arial" w:cs="Arial"/>
          <w:sz w:val="20"/>
          <w:szCs w:val="20"/>
          <w:u w:val="single"/>
          <w:lang w:eastAsia="fr-FR"/>
        </w:rPr>
        <w:t>Eviter les litiges ou retards</w:t>
      </w:r>
      <w:r w:rsidRPr="001A3B28">
        <w:rPr>
          <w:rFonts w:ascii="Arial" w:eastAsia="Times New Roman" w:hAnsi="Arial" w:cs="Arial"/>
          <w:sz w:val="20"/>
          <w:szCs w:val="20"/>
          <w:lang w:eastAsia="fr-FR"/>
        </w:rPr>
        <w:t xml:space="preserve"> : </w:t>
      </w:r>
    </w:p>
    <w:p w:rsidR="005218C4" w:rsidRPr="001A3B28" w:rsidRDefault="005218C4" w:rsidP="005218C4">
      <w:pPr>
        <w:numPr>
          <w:ilvl w:val="0"/>
          <w:numId w:val="7"/>
        </w:numPr>
        <w:spacing w:after="0" w:line="360" w:lineRule="auto"/>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en</w:t>
      </w:r>
      <w:proofErr w:type="gramEnd"/>
      <w:r w:rsidRPr="001A3B28">
        <w:rPr>
          <w:rFonts w:ascii="Arial" w:eastAsia="Times New Roman" w:hAnsi="Arial" w:cs="Arial"/>
          <w:sz w:val="20"/>
          <w:szCs w:val="20"/>
          <w:lang w:eastAsia="fr-FR"/>
        </w:rPr>
        <w:t xml:space="preserve"> sécurisant le calcul</w:t>
      </w:r>
      <w:r>
        <w:rPr>
          <w:rFonts w:ascii="Arial" w:eastAsia="Times New Roman" w:hAnsi="Arial" w:cs="Arial"/>
          <w:sz w:val="20"/>
          <w:szCs w:val="20"/>
          <w:lang w:eastAsia="fr-FR"/>
        </w:rPr>
        <w:t xml:space="preserve"> des montants financiers par le r</w:t>
      </w:r>
      <w:r w:rsidRPr="001A3B28">
        <w:rPr>
          <w:rFonts w:ascii="Arial" w:eastAsia="Times New Roman" w:hAnsi="Arial" w:cs="Arial"/>
          <w:sz w:val="20"/>
          <w:szCs w:val="20"/>
          <w:lang w:eastAsia="fr-FR"/>
        </w:rPr>
        <w:t xml:space="preserve">espect </w:t>
      </w:r>
      <w:r>
        <w:rPr>
          <w:rFonts w:ascii="Arial" w:eastAsia="Times New Roman" w:hAnsi="Arial" w:cs="Arial"/>
          <w:sz w:val="20"/>
          <w:szCs w:val="20"/>
          <w:lang w:eastAsia="fr-FR"/>
        </w:rPr>
        <w:t xml:space="preserve">des conditions financières des </w:t>
      </w:r>
      <w:r w:rsidRPr="001A3B28">
        <w:rPr>
          <w:rFonts w:ascii="Arial" w:eastAsia="Times New Roman" w:hAnsi="Arial" w:cs="Arial"/>
          <w:sz w:val="20"/>
          <w:szCs w:val="20"/>
          <w:lang w:eastAsia="fr-FR"/>
        </w:rPr>
        <w:t xml:space="preserve">marchés et des règles en vigueur dans les marchés publics, </w:t>
      </w:r>
    </w:p>
    <w:p w:rsidR="005218C4" w:rsidRPr="001A3B28" w:rsidRDefault="005218C4" w:rsidP="005218C4">
      <w:pPr>
        <w:numPr>
          <w:ilvl w:val="0"/>
          <w:numId w:val="7"/>
        </w:numPr>
        <w:spacing w:after="0" w:line="360" w:lineRule="auto"/>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en</w:t>
      </w:r>
      <w:proofErr w:type="gramEnd"/>
      <w:r w:rsidRPr="001A3B28">
        <w:rPr>
          <w:rFonts w:ascii="Arial" w:eastAsia="Times New Roman" w:hAnsi="Arial" w:cs="Arial"/>
          <w:sz w:val="20"/>
          <w:szCs w:val="20"/>
          <w:lang w:eastAsia="fr-FR"/>
        </w:rPr>
        <w:t xml:space="preserve"> </w:t>
      </w:r>
      <w:r>
        <w:rPr>
          <w:rFonts w:ascii="Arial" w:eastAsia="Times New Roman" w:hAnsi="Arial" w:cs="Arial"/>
          <w:sz w:val="20"/>
          <w:szCs w:val="20"/>
          <w:lang w:eastAsia="fr-FR"/>
        </w:rPr>
        <w:t>uniformisant</w:t>
      </w:r>
      <w:r w:rsidRPr="001A3B28">
        <w:rPr>
          <w:rFonts w:ascii="Arial" w:eastAsia="Times New Roman" w:hAnsi="Arial" w:cs="Arial"/>
          <w:sz w:val="20"/>
          <w:szCs w:val="20"/>
          <w:lang w:eastAsia="fr-FR"/>
        </w:rPr>
        <w:t xml:space="preserve"> la présentation des documents, </w:t>
      </w:r>
    </w:p>
    <w:p w:rsidR="005218C4" w:rsidRPr="001A3B28" w:rsidRDefault="005218C4" w:rsidP="005218C4">
      <w:pPr>
        <w:numPr>
          <w:ilvl w:val="0"/>
          <w:numId w:val="7"/>
        </w:numPr>
        <w:spacing w:after="0" w:line="360" w:lineRule="auto"/>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en</w:t>
      </w:r>
      <w:proofErr w:type="gramEnd"/>
      <w:r w:rsidRPr="001A3B28">
        <w:rPr>
          <w:rFonts w:ascii="Arial" w:eastAsia="Times New Roman" w:hAnsi="Arial" w:cs="Arial"/>
          <w:sz w:val="20"/>
          <w:szCs w:val="20"/>
          <w:lang w:eastAsia="fr-FR"/>
        </w:rPr>
        <w:t xml:space="preserve"> permettant à chacun de suivre sur écran les documents qui le concernent dans la chaîne des intervenants, </w:t>
      </w:r>
    </w:p>
    <w:p w:rsidR="001A3B28" w:rsidRPr="001A3B28" w:rsidRDefault="001A3B28" w:rsidP="007022B3">
      <w:pPr>
        <w:numPr>
          <w:ilvl w:val="0"/>
          <w:numId w:val="2"/>
        </w:numPr>
        <w:spacing w:after="0" w:line="360" w:lineRule="auto"/>
        <w:ind w:left="1418" w:hanging="425"/>
        <w:jc w:val="both"/>
        <w:rPr>
          <w:rFonts w:ascii="Arial" w:eastAsia="Times New Roman" w:hAnsi="Arial" w:cs="Arial"/>
          <w:sz w:val="20"/>
          <w:szCs w:val="20"/>
          <w:lang w:eastAsia="fr-FR"/>
        </w:rPr>
      </w:pPr>
      <w:r w:rsidRPr="001A3B28">
        <w:rPr>
          <w:rFonts w:ascii="Arial" w:eastAsia="Times New Roman" w:hAnsi="Arial" w:cs="Arial"/>
          <w:sz w:val="20"/>
          <w:szCs w:val="20"/>
          <w:u w:val="single"/>
          <w:lang w:eastAsia="fr-FR"/>
        </w:rPr>
        <w:t>Réduire les coûts de gestion administrative</w:t>
      </w:r>
      <w:r w:rsidRPr="001A3B28">
        <w:rPr>
          <w:rFonts w:ascii="Arial" w:eastAsia="Times New Roman" w:hAnsi="Arial" w:cs="Arial"/>
          <w:sz w:val="20"/>
          <w:szCs w:val="20"/>
          <w:lang w:eastAsia="fr-FR"/>
        </w:rPr>
        <w:t xml:space="preserve"> des situations de travaux pour tous les acteurs. </w:t>
      </w:r>
      <w:r w:rsidRPr="001A3B28">
        <w:rPr>
          <w:rFonts w:ascii="Arial" w:eastAsia="Times New Roman" w:hAnsi="Arial" w:cs="Arial"/>
          <w:sz w:val="20"/>
          <w:szCs w:val="20"/>
          <w:lang w:eastAsia="fr-FR"/>
        </w:rPr>
        <w:br/>
      </w:r>
    </w:p>
    <w:p w:rsidR="001A3B28" w:rsidRPr="0047217E" w:rsidRDefault="001A3B28" w:rsidP="001A3B28">
      <w:pPr>
        <w:spacing w:after="0" w:line="360" w:lineRule="auto"/>
        <w:jc w:val="both"/>
        <w:rPr>
          <w:rFonts w:ascii="Arial" w:eastAsia="Times New Roman" w:hAnsi="Arial" w:cs="Arial"/>
          <w:color w:val="365F91"/>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2 - PARTIES CONCERNEES</w:t>
      </w:r>
    </w:p>
    <w:p w:rsidR="001A3B28" w:rsidRPr="001A3B28" w:rsidRDefault="001A3B28" w:rsidP="001A3B28">
      <w:pPr>
        <w:spacing w:after="0" w:line="240" w:lineRule="auto"/>
        <w:jc w:val="both"/>
        <w:rPr>
          <w:rFonts w:ascii="Arial" w:eastAsia="Times New Roman" w:hAnsi="Arial" w:cs="Arial"/>
          <w:b/>
          <w:i/>
          <w:color w:val="FF0000"/>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Les parties ci-dessous désignées conviennent des dispositions arrêtées dans la présente convention : </w:t>
      </w:r>
    </w:p>
    <w:p w:rsidR="001A3B28" w:rsidRPr="001A3B28" w:rsidRDefault="001A3B28" w:rsidP="001A3B28">
      <w:pPr>
        <w:spacing w:after="0" w:line="360" w:lineRule="auto"/>
        <w:jc w:val="both"/>
        <w:rPr>
          <w:rFonts w:ascii="Arial" w:eastAsia="Times New Roman" w:hAnsi="Arial" w:cs="Arial"/>
          <w:sz w:val="20"/>
          <w:szCs w:val="20"/>
          <w:lang w:eastAsia="fr-FR"/>
        </w:rPr>
      </w:pPr>
    </w:p>
    <w:p w:rsidR="005218C4" w:rsidRDefault="00A12B6F" w:rsidP="005218C4">
      <w:pPr>
        <w:numPr>
          <w:ilvl w:val="0"/>
          <w:numId w:val="8"/>
        </w:numPr>
        <w:spacing w:after="0" w:line="360" w:lineRule="auto"/>
        <w:ind w:left="1440" w:hanging="360"/>
        <w:jc w:val="both"/>
        <w:rPr>
          <w:rFonts w:ascii="Arial" w:eastAsia="Times New Roman" w:hAnsi="Arial" w:cs="Arial"/>
          <w:sz w:val="20"/>
          <w:szCs w:val="20"/>
          <w:lang w:eastAsia="fr-FR"/>
        </w:rPr>
      </w:pPr>
      <w:r w:rsidRPr="005218C4">
        <w:rPr>
          <w:rFonts w:ascii="Arial" w:eastAsia="Times New Roman" w:hAnsi="Arial" w:cs="Arial"/>
          <w:sz w:val="20"/>
          <w:szCs w:val="20"/>
          <w:lang w:eastAsia="fr-FR"/>
        </w:rPr>
        <w:t>Le Maître d'ouvrage</w:t>
      </w:r>
      <w:r w:rsidR="00593001">
        <w:rPr>
          <w:rFonts w:ascii="Arial" w:eastAsia="Times New Roman" w:hAnsi="Arial" w:cs="Arial"/>
          <w:sz w:val="20"/>
          <w:szCs w:val="20"/>
          <w:lang w:eastAsia="fr-FR"/>
        </w:rPr>
        <w:t xml:space="preserve"> SORBONNE UNIVERSITE</w:t>
      </w:r>
      <w:r w:rsidR="005218C4">
        <w:rPr>
          <w:rFonts w:ascii="Arial" w:eastAsia="Times New Roman" w:hAnsi="Arial" w:cs="Arial"/>
          <w:sz w:val="20"/>
          <w:szCs w:val="20"/>
          <w:lang w:eastAsia="fr-FR"/>
        </w:rPr>
        <w:t>,</w:t>
      </w:r>
    </w:p>
    <w:p w:rsidR="001A3B28" w:rsidRPr="005218C4" w:rsidRDefault="007022B3" w:rsidP="005218C4">
      <w:pPr>
        <w:numPr>
          <w:ilvl w:val="0"/>
          <w:numId w:val="8"/>
        </w:numPr>
        <w:spacing w:after="0" w:line="360" w:lineRule="auto"/>
        <w:ind w:left="1440" w:hanging="447"/>
        <w:jc w:val="both"/>
        <w:rPr>
          <w:rFonts w:ascii="Arial" w:eastAsia="Times New Roman" w:hAnsi="Arial" w:cs="Arial"/>
          <w:sz w:val="20"/>
          <w:szCs w:val="20"/>
          <w:lang w:eastAsia="fr-FR"/>
        </w:rPr>
      </w:pPr>
      <w:r w:rsidRPr="005218C4">
        <w:rPr>
          <w:rFonts w:ascii="Arial" w:eastAsia="Times New Roman" w:hAnsi="Arial" w:cs="Arial"/>
          <w:sz w:val="20"/>
          <w:szCs w:val="20"/>
          <w:lang w:eastAsia="fr-FR"/>
        </w:rPr>
        <w:t>L’ensemble des membres de la Maîtrise</w:t>
      </w:r>
      <w:r w:rsidR="001A3B28" w:rsidRPr="005218C4">
        <w:rPr>
          <w:rFonts w:ascii="Arial" w:eastAsia="Times New Roman" w:hAnsi="Arial" w:cs="Arial"/>
          <w:sz w:val="20"/>
          <w:szCs w:val="20"/>
          <w:lang w:eastAsia="fr-FR"/>
        </w:rPr>
        <w:t xml:space="preserve"> d'œuvre, </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3 - MODALITES</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La présente convention prend effet à la date de </w:t>
      </w:r>
      <w:r w:rsidR="00B574F1">
        <w:rPr>
          <w:rFonts w:ascii="Arial" w:eastAsia="Times New Roman" w:hAnsi="Arial" w:cs="Arial"/>
          <w:sz w:val="20"/>
          <w:szCs w:val="20"/>
          <w:lang w:eastAsia="fr-FR"/>
        </w:rPr>
        <w:t>notification des marchés</w:t>
      </w:r>
      <w:r w:rsidRPr="001A3B28">
        <w:rPr>
          <w:rFonts w:ascii="Arial" w:eastAsia="Times New Roman" w:hAnsi="Arial" w:cs="Arial"/>
          <w:sz w:val="20"/>
          <w:szCs w:val="20"/>
          <w:lang w:eastAsia="fr-FR"/>
        </w:rPr>
        <w:t xml:space="preserve"> de </w:t>
      </w:r>
      <w:r w:rsidR="007022B3">
        <w:rPr>
          <w:rFonts w:ascii="Arial" w:eastAsia="Times New Roman" w:hAnsi="Arial" w:cs="Arial"/>
          <w:sz w:val="20"/>
          <w:szCs w:val="20"/>
          <w:lang w:eastAsia="fr-FR"/>
        </w:rPr>
        <w:t>prestations intellectuelles</w:t>
      </w:r>
      <w:r w:rsidRPr="001A3B28">
        <w:rPr>
          <w:rFonts w:ascii="Arial" w:eastAsia="Times New Roman" w:hAnsi="Arial" w:cs="Arial"/>
          <w:sz w:val="20"/>
          <w:szCs w:val="20"/>
          <w:lang w:eastAsia="fr-FR"/>
        </w:rPr>
        <w:t>.</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Cette annexe prévaut aux articles du CCAG énoncés à la fin des présentes, liste non limitative.</w:t>
      </w:r>
    </w:p>
    <w:p w:rsidR="001A3B28" w:rsidRDefault="001A3B28" w:rsidP="001A3B28">
      <w:pPr>
        <w:spacing w:after="0" w:line="240" w:lineRule="auto"/>
        <w:jc w:val="both"/>
        <w:rPr>
          <w:rFonts w:ascii="Arial" w:eastAsia="Times New Roman" w:hAnsi="Arial" w:cs="Arial"/>
          <w:sz w:val="20"/>
          <w:szCs w:val="20"/>
          <w:lang w:eastAsia="fr-FR"/>
        </w:rPr>
      </w:pPr>
    </w:p>
    <w:p w:rsidR="00AC58E0" w:rsidRDefault="00AC58E0" w:rsidP="001A3B28">
      <w:pPr>
        <w:spacing w:after="0" w:line="240" w:lineRule="auto"/>
        <w:jc w:val="both"/>
        <w:rPr>
          <w:rFonts w:ascii="Arial" w:eastAsia="Times New Roman" w:hAnsi="Arial" w:cs="Arial"/>
          <w:sz w:val="20"/>
          <w:szCs w:val="20"/>
          <w:lang w:eastAsia="fr-FR"/>
        </w:rPr>
      </w:pPr>
    </w:p>
    <w:p w:rsidR="00AC58E0" w:rsidRDefault="00AC58E0" w:rsidP="001A3B28">
      <w:pPr>
        <w:spacing w:after="0" w:line="240" w:lineRule="auto"/>
        <w:jc w:val="both"/>
        <w:rPr>
          <w:rFonts w:ascii="Arial" w:eastAsia="Times New Roman" w:hAnsi="Arial" w:cs="Arial"/>
          <w:sz w:val="20"/>
          <w:szCs w:val="20"/>
          <w:lang w:eastAsia="fr-FR"/>
        </w:rPr>
      </w:pPr>
    </w:p>
    <w:p w:rsidR="007022B3" w:rsidRDefault="007022B3"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lastRenderedPageBreak/>
        <w:t>4 - OBJET DU SERVICE</w:t>
      </w:r>
    </w:p>
    <w:p w:rsidR="001A3B28" w:rsidRPr="001A3B28" w:rsidRDefault="001A3B28" w:rsidP="001A3B28">
      <w:pPr>
        <w:spacing w:after="0" w:line="24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 </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Sur leur terminal raccordé au service, les représentants des parties concernées, ci-après dénommés les abonnés, gèrent les informations suivantes : </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ind w:left="360" w:hanging="360"/>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4.1    Le Maître d'Ouvrage</w:t>
      </w:r>
    </w:p>
    <w:p w:rsidR="001A3B28" w:rsidRPr="001A3B28" w:rsidRDefault="001A3B28" w:rsidP="001A3B28">
      <w:pPr>
        <w:spacing w:after="0" w:line="240" w:lineRule="auto"/>
        <w:ind w:left="360" w:hanging="360"/>
        <w:jc w:val="both"/>
        <w:rPr>
          <w:rFonts w:ascii="Arial" w:eastAsia="Times New Roman" w:hAnsi="Arial" w:cs="Arial"/>
          <w:sz w:val="20"/>
          <w:szCs w:val="20"/>
          <w:lang w:eastAsia="fr-FR"/>
        </w:rPr>
      </w:pPr>
    </w:p>
    <w:p w:rsidR="00AE3B9A" w:rsidRDefault="00AE3B9A" w:rsidP="001A3B28">
      <w:pPr>
        <w:numPr>
          <w:ilvl w:val="0"/>
          <w:numId w:val="5"/>
        </w:numPr>
        <w:spacing w:after="0" w:line="360" w:lineRule="auto"/>
        <w:ind w:left="709" w:hanging="142"/>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Administrateur du service </w:t>
      </w:r>
      <w:proofErr w:type="spellStart"/>
      <w:r>
        <w:rPr>
          <w:rFonts w:ascii="Arial" w:eastAsia="Times New Roman" w:hAnsi="Arial" w:cs="Arial"/>
          <w:sz w:val="20"/>
          <w:szCs w:val="20"/>
          <w:lang w:eastAsia="fr-FR"/>
        </w:rPr>
        <w:t>Ediflex</w:t>
      </w:r>
      <w:proofErr w:type="spellEnd"/>
      <w:r>
        <w:rPr>
          <w:rFonts w:ascii="Arial" w:eastAsia="Times New Roman" w:hAnsi="Arial" w:cs="Arial"/>
          <w:sz w:val="20"/>
          <w:szCs w:val="20"/>
          <w:lang w:eastAsia="fr-FR"/>
        </w:rPr>
        <w:t>, il enregistre la fiche d’identité des intervenants</w:t>
      </w:r>
      <w:r w:rsidR="00B574F1" w:rsidRPr="00B574F1">
        <w:rPr>
          <w:rFonts w:ascii="Arial" w:eastAsia="Times New Roman" w:hAnsi="Arial" w:cs="Arial"/>
          <w:sz w:val="20"/>
          <w:szCs w:val="20"/>
          <w:lang w:eastAsia="fr-FR"/>
        </w:rPr>
        <w:t xml:space="preserve"> </w:t>
      </w:r>
      <w:r w:rsidR="00B574F1">
        <w:rPr>
          <w:rFonts w:ascii="Arial" w:eastAsia="Times New Roman" w:hAnsi="Arial" w:cs="Arial"/>
          <w:sz w:val="20"/>
          <w:szCs w:val="20"/>
          <w:lang w:eastAsia="fr-FR"/>
        </w:rPr>
        <w:t>et vérifie les index de révision utilisés dans les marchés.</w:t>
      </w:r>
      <w:r>
        <w:rPr>
          <w:rFonts w:ascii="Arial" w:eastAsia="Times New Roman" w:hAnsi="Arial" w:cs="Arial"/>
          <w:sz w:val="20"/>
          <w:szCs w:val="20"/>
          <w:lang w:eastAsia="fr-FR"/>
        </w:rPr>
        <w:t xml:space="preserve"> </w:t>
      </w:r>
    </w:p>
    <w:p w:rsidR="00B574F1" w:rsidRPr="00AE3B9A" w:rsidRDefault="00B574F1" w:rsidP="00B574F1">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Responsable des marchés, il abonne les intervenants concernés puis enregistre les conditions financières des marchés des entreprises (marché initial, </w:t>
      </w:r>
      <w:r>
        <w:rPr>
          <w:rFonts w:ascii="Arial" w:eastAsia="Times New Roman" w:hAnsi="Arial" w:cs="Arial"/>
          <w:sz w:val="20"/>
          <w:szCs w:val="20"/>
          <w:lang w:eastAsia="fr-FR"/>
        </w:rPr>
        <w:t xml:space="preserve">avenants </w:t>
      </w:r>
      <w:r w:rsidRPr="001A3B28">
        <w:rPr>
          <w:rFonts w:ascii="Arial" w:eastAsia="Times New Roman" w:hAnsi="Arial" w:cs="Arial"/>
          <w:sz w:val="20"/>
          <w:szCs w:val="20"/>
          <w:lang w:eastAsia="fr-FR"/>
        </w:rPr>
        <w:t>éventuels</w:t>
      </w:r>
      <w:r>
        <w:rPr>
          <w:rFonts w:ascii="Arial" w:eastAsia="Times New Roman" w:hAnsi="Arial" w:cs="Arial"/>
          <w:sz w:val="20"/>
          <w:szCs w:val="20"/>
          <w:lang w:eastAsia="fr-FR"/>
        </w:rPr>
        <w:t>,</w:t>
      </w:r>
      <w:r w:rsidRPr="001A3B28">
        <w:rPr>
          <w:rFonts w:ascii="Arial" w:eastAsia="Times New Roman" w:hAnsi="Arial" w:cs="Arial"/>
          <w:sz w:val="20"/>
          <w:szCs w:val="20"/>
          <w:lang w:eastAsia="fr-FR"/>
        </w:rPr>
        <w:t xml:space="preserve"> </w:t>
      </w:r>
      <w:r>
        <w:rPr>
          <w:rFonts w:ascii="Arial" w:eastAsia="Times New Roman" w:hAnsi="Arial" w:cs="Arial"/>
          <w:sz w:val="20"/>
          <w:szCs w:val="20"/>
          <w:lang w:eastAsia="fr-FR"/>
        </w:rPr>
        <w:t>prestations</w:t>
      </w:r>
      <w:r w:rsidRPr="001A3B28">
        <w:rPr>
          <w:rFonts w:ascii="Arial" w:eastAsia="Times New Roman" w:hAnsi="Arial" w:cs="Arial"/>
          <w:sz w:val="20"/>
          <w:szCs w:val="20"/>
          <w:lang w:eastAsia="fr-FR"/>
        </w:rPr>
        <w:t xml:space="preserve"> modificati</w:t>
      </w:r>
      <w:r>
        <w:rPr>
          <w:rFonts w:ascii="Arial" w:eastAsia="Times New Roman" w:hAnsi="Arial" w:cs="Arial"/>
          <w:sz w:val="20"/>
          <w:szCs w:val="20"/>
          <w:lang w:eastAsia="fr-FR"/>
        </w:rPr>
        <w:t>ves</w:t>
      </w:r>
      <w:r w:rsidRPr="001A3B28">
        <w:rPr>
          <w:rFonts w:ascii="Arial" w:eastAsia="Times New Roman" w:hAnsi="Arial" w:cs="Arial"/>
          <w:sz w:val="20"/>
          <w:szCs w:val="20"/>
          <w:lang w:eastAsia="fr-FR"/>
        </w:rPr>
        <w:t xml:space="preserve"> et sous-traitants en paiement direct).</w:t>
      </w:r>
    </w:p>
    <w:p w:rsidR="001A3B28" w:rsidRPr="001A3B28" w:rsidRDefault="006B2525" w:rsidP="001A3B28">
      <w:pPr>
        <w:numPr>
          <w:ilvl w:val="0"/>
          <w:numId w:val="5"/>
        </w:numPr>
        <w:spacing w:after="0" w:line="360" w:lineRule="auto"/>
        <w:ind w:left="709" w:hanging="142"/>
        <w:jc w:val="both"/>
        <w:rPr>
          <w:rFonts w:ascii="Arial" w:eastAsia="Times New Roman" w:hAnsi="Arial" w:cs="Arial"/>
          <w:sz w:val="20"/>
          <w:szCs w:val="20"/>
          <w:lang w:eastAsia="fr-FR"/>
        </w:rPr>
      </w:pPr>
      <w:r>
        <w:rPr>
          <w:rFonts w:ascii="Arial" w:eastAsia="Times New Roman" w:hAnsi="Arial" w:cs="Arial"/>
          <w:sz w:val="20"/>
          <w:szCs w:val="20"/>
          <w:lang w:eastAsia="fr-FR"/>
        </w:rPr>
        <w:t>Il valide les DPGF de</w:t>
      </w:r>
      <w:r w:rsidR="001A3B28" w:rsidRPr="001A3B28">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la maîtrise d’œuvre </w:t>
      </w:r>
      <w:r w:rsidR="001A3B28" w:rsidRPr="001A3B28">
        <w:rPr>
          <w:rFonts w:ascii="Arial" w:eastAsia="Times New Roman" w:hAnsi="Arial" w:cs="Arial"/>
          <w:sz w:val="20"/>
          <w:szCs w:val="20"/>
          <w:lang w:eastAsia="fr-FR"/>
        </w:rPr>
        <w:t>(Décompositions du Prix Global et Forfaitaire des marchés) ou les bordereaux de prix (marchés à prix unitaires).</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Il</w:t>
      </w:r>
      <w:r w:rsidR="00AE3B9A">
        <w:rPr>
          <w:rFonts w:ascii="Arial" w:eastAsia="Times New Roman" w:hAnsi="Arial" w:cs="Arial"/>
          <w:sz w:val="20"/>
          <w:szCs w:val="20"/>
          <w:lang w:eastAsia="fr-FR"/>
        </w:rPr>
        <w:t xml:space="preserve"> vérifie et valide les </w:t>
      </w:r>
      <w:r w:rsidR="00B574F1">
        <w:rPr>
          <w:rFonts w:ascii="Arial" w:eastAsia="Times New Roman" w:hAnsi="Arial" w:cs="Arial"/>
          <w:sz w:val="20"/>
          <w:szCs w:val="20"/>
          <w:lang w:eastAsia="fr-FR"/>
        </w:rPr>
        <w:t>demandes d’acompte</w:t>
      </w:r>
      <w:r w:rsidR="00AE3B9A">
        <w:rPr>
          <w:rFonts w:ascii="Arial" w:eastAsia="Times New Roman" w:hAnsi="Arial" w:cs="Arial"/>
          <w:sz w:val="20"/>
          <w:szCs w:val="20"/>
          <w:lang w:eastAsia="fr-FR"/>
        </w:rPr>
        <w:t xml:space="preserve"> avant de les éditer pour mise en paiement</w:t>
      </w:r>
      <w:r w:rsidRPr="001A3B28">
        <w:rPr>
          <w:rFonts w:ascii="Arial" w:eastAsia="Times New Roman" w:hAnsi="Arial" w:cs="Arial"/>
          <w:sz w:val="20"/>
          <w:szCs w:val="20"/>
          <w:lang w:eastAsia="fr-FR"/>
        </w:rPr>
        <w:t>.</w:t>
      </w:r>
    </w:p>
    <w:p w:rsidR="001A3B28" w:rsidRDefault="001A3B28" w:rsidP="001A3B28">
      <w:pPr>
        <w:spacing w:after="0" w:line="240" w:lineRule="auto"/>
        <w:jc w:val="both"/>
        <w:rPr>
          <w:rFonts w:ascii="Arial" w:eastAsia="Times New Roman" w:hAnsi="Arial" w:cs="Arial"/>
          <w:b/>
          <w:sz w:val="20"/>
          <w:szCs w:val="20"/>
          <w:lang w:eastAsia="fr-FR"/>
        </w:rPr>
      </w:pPr>
    </w:p>
    <w:p w:rsidR="00547781" w:rsidRPr="001A3B28" w:rsidRDefault="00547781"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6523F8"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4.2</w:t>
      </w:r>
      <w:r w:rsidR="009C7349">
        <w:rPr>
          <w:rFonts w:ascii="Arial" w:eastAsia="Times New Roman" w:hAnsi="Arial" w:cs="Arial"/>
          <w:b/>
          <w:sz w:val="20"/>
          <w:szCs w:val="20"/>
          <w:lang w:eastAsia="fr-FR"/>
        </w:rPr>
        <w:t xml:space="preserve">   </w:t>
      </w:r>
      <w:r>
        <w:rPr>
          <w:rFonts w:ascii="Arial" w:eastAsia="Times New Roman" w:hAnsi="Arial" w:cs="Arial"/>
          <w:b/>
          <w:sz w:val="20"/>
          <w:szCs w:val="20"/>
          <w:lang w:eastAsia="fr-FR"/>
        </w:rPr>
        <w:t>La Maîtrise d’œuvre (Mandataire + cotraitants)</w:t>
      </w:r>
    </w:p>
    <w:p w:rsidR="001A3B28" w:rsidRPr="001A3B28" w:rsidRDefault="001A3B28" w:rsidP="001A3B28">
      <w:pPr>
        <w:spacing w:after="0" w:line="240" w:lineRule="auto"/>
        <w:jc w:val="both"/>
        <w:rPr>
          <w:rFonts w:ascii="Arial" w:eastAsia="Times New Roman" w:hAnsi="Arial" w:cs="Arial"/>
          <w:i/>
          <w:color w:val="FF0000"/>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Ils consultent les conditions financières de leur marché puis enregistrent sur écran les DPGF (Décomposition</w:t>
      </w:r>
      <w:r w:rsidR="00395EC0">
        <w:rPr>
          <w:rFonts w:ascii="Arial" w:eastAsia="Times New Roman" w:hAnsi="Arial" w:cs="Arial"/>
          <w:sz w:val="20"/>
          <w:szCs w:val="20"/>
          <w:lang w:eastAsia="fr-FR"/>
        </w:rPr>
        <w:t>s</w:t>
      </w:r>
      <w:r w:rsidRPr="001A3B28">
        <w:rPr>
          <w:rFonts w:ascii="Arial" w:eastAsia="Times New Roman" w:hAnsi="Arial" w:cs="Arial"/>
          <w:sz w:val="20"/>
          <w:szCs w:val="20"/>
          <w:lang w:eastAsia="fr-FR"/>
        </w:rPr>
        <w:t xml:space="preserve"> du Prix Global et Forfaitaire) ou les bordereaux de prix correspondant à leur corps d’état </w:t>
      </w:r>
      <w:r w:rsidR="006523F8">
        <w:rPr>
          <w:rFonts w:ascii="Arial" w:eastAsia="Times New Roman" w:hAnsi="Arial" w:cs="Arial"/>
          <w:sz w:val="20"/>
          <w:szCs w:val="20"/>
          <w:lang w:eastAsia="fr-FR"/>
        </w:rPr>
        <w:t>en accord avec le Maître d’ouvrage</w:t>
      </w:r>
      <w:r w:rsidRPr="001A3B28">
        <w:rPr>
          <w:rFonts w:ascii="Arial" w:eastAsia="Times New Roman" w:hAnsi="Arial" w:cs="Arial"/>
          <w:sz w:val="20"/>
          <w:szCs w:val="20"/>
          <w:lang w:eastAsia="fr-FR"/>
        </w:rPr>
        <w:t xml:space="preserve"> ceci pour leur marché initial et les éventuel</w:t>
      </w:r>
      <w:r w:rsidR="00B574F1">
        <w:rPr>
          <w:rFonts w:ascii="Arial" w:eastAsia="Times New Roman" w:hAnsi="Arial" w:cs="Arial"/>
          <w:sz w:val="20"/>
          <w:szCs w:val="20"/>
          <w:lang w:eastAsia="fr-FR"/>
        </w:rPr>
        <w:t>s avenants ou</w:t>
      </w:r>
      <w:r w:rsidRPr="001A3B28">
        <w:rPr>
          <w:rFonts w:ascii="Arial" w:eastAsia="Times New Roman" w:hAnsi="Arial" w:cs="Arial"/>
          <w:sz w:val="20"/>
          <w:szCs w:val="20"/>
          <w:lang w:eastAsia="fr-FR"/>
        </w:rPr>
        <w:t xml:space="preserve"> </w:t>
      </w:r>
      <w:r w:rsidR="006523F8">
        <w:rPr>
          <w:rFonts w:ascii="Arial" w:eastAsia="Times New Roman" w:hAnsi="Arial" w:cs="Arial"/>
          <w:sz w:val="20"/>
          <w:szCs w:val="20"/>
          <w:lang w:eastAsia="fr-FR"/>
        </w:rPr>
        <w:t>prestations supplémentaires</w:t>
      </w:r>
      <w:r w:rsidRPr="001A3B28">
        <w:rPr>
          <w:rFonts w:ascii="Arial" w:eastAsia="Times New Roman" w:hAnsi="Arial" w:cs="Arial"/>
          <w:sz w:val="20"/>
          <w:szCs w:val="20"/>
          <w:lang w:eastAsia="fr-FR"/>
        </w:rPr>
        <w:t>.</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Ils présentent leurs situations par</w:t>
      </w:r>
      <w:r w:rsidR="00734077">
        <w:rPr>
          <w:rFonts w:ascii="Arial" w:eastAsia="Times New Roman" w:hAnsi="Arial" w:cs="Arial"/>
          <w:sz w:val="20"/>
          <w:szCs w:val="20"/>
          <w:lang w:eastAsia="fr-FR"/>
        </w:rPr>
        <w:t xml:space="preserve"> saisie de leurs avancements </w:t>
      </w:r>
      <w:r w:rsidRPr="001A3B28">
        <w:rPr>
          <w:rFonts w:ascii="Arial" w:eastAsia="Times New Roman" w:hAnsi="Arial" w:cs="Arial"/>
          <w:sz w:val="20"/>
          <w:szCs w:val="20"/>
          <w:lang w:eastAsia="fr-FR"/>
        </w:rPr>
        <w:t>et des montants à payer à leurs sous-traitants.</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Si nécessaire, ils signent les documents papier « Attestation de Paiement Direct » concernant les sous-traitants.</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S’il s’agit d’une entreprise mandataire d’un groupement, celle-ci vérifie les situations présentées par ses cotraitants. </w:t>
      </w:r>
    </w:p>
    <w:p w:rsidR="001A3B28" w:rsidRPr="001A3B28" w:rsidRDefault="00734077" w:rsidP="00734077">
      <w:pPr>
        <w:spacing w:after="0"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NB : les cotraitants d’un groupement d’entreprise doivent disposer d’un accès au service lorsque les paiements ne sont pas effectués vers un compte bancaire unique pour le groupement.</w:t>
      </w:r>
    </w:p>
    <w:p w:rsidR="00547781" w:rsidRDefault="00547781" w:rsidP="001A3B28">
      <w:pPr>
        <w:spacing w:after="0" w:line="240" w:lineRule="auto"/>
        <w:ind w:left="1080"/>
        <w:jc w:val="both"/>
        <w:rPr>
          <w:rFonts w:ascii="Arial" w:eastAsia="Times New Roman" w:hAnsi="Arial" w:cs="Arial"/>
          <w:sz w:val="20"/>
          <w:szCs w:val="20"/>
          <w:lang w:eastAsia="fr-FR"/>
        </w:rPr>
      </w:pPr>
    </w:p>
    <w:p w:rsidR="00547781" w:rsidRDefault="00547781" w:rsidP="001A3B28">
      <w:pPr>
        <w:spacing w:after="0" w:line="240" w:lineRule="auto"/>
        <w:ind w:left="1080"/>
        <w:jc w:val="both"/>
        <w:rPr>
          <w:rFonts w:ascii="Arial" w:eastAsia="Times New Roman" w:hAnsi="Arial" w:cs="Arial"/>
          <w:sz w:val="20"/>
          <w:szCs w:val="20"/>
          <w:lang w:eastAsia="fr-FR"/>
        </w:rPr>
      </w:pPr>
    </w:p>
    <w:p w:rsidR="00547781" w:rsidRPr="001A3B28" w:rsidRDefault="00547781" w:rsidP="001A3B28">
      <w:pPr>
        <w:spacing w:after="0" w:line="240" w:lineRule="auto"/>
        <w:ind w:left="1080"/>
        <w:jc w:val="both"/>
        <w:rPr>
          <w:rFonts w:ascii="Arial" w:eastAsia="Times New Roman" w:hAnsi="Arial" w:cs="Arial"/>
          <w:sz w:val="20"/>
          <w:szCs w:val="20"/>
          <w:lang w:eastAsia="fr-FR"/>
        </w:rPr>
      </w:pPr>
    </w:p>
    <w:p w:rsidR="001A3B28" w:rsidRPr="001A3B28" w:rsidRDefault="00547781"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4.3</w:t>
      </w:r>
      <w:r w:rsidR="001A3B28" w:rsidRPr="001A3B28">
        <w:rPr>
          <w:rFonts w:ascii="Arial" w:eastAsia="Times New Roman" w:hAnsi="Arial" w:cs="Arial"/>
          <w:b/>
          <w:sz w:val="20"/>
          <w:szCs w:val="20"/>
          <w:lang w:eastAsia="fr-FR"/>
        </w:rPr>
        <w:t xml:space="preserve">   Dates de saisie des données </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6B2525" w:rsidP="001A3B28">
      <w:pPr>
        <w:numPr>
          <w:ilvl w:val="0"/>
          <w:numId w:val="5"/>
        </w:numPr>
        <w:spacing w:after="0" w:line="360" w:lineRule="auto"/>
        <w:ind w:left="709" w:hanging="142"/>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Saisie des marchés de la maîtrise d’œuvre </w:t>
      </w:r>
      <w:r w:rsidR="001A3B28" w:rsidRPr="001A3B28">
        <w:rPr>
          <w:rFonts w:ascii="Arial" w:eastAsia="Times New Roman" w:hAnsi="Arial" w:cs="Arial"/>
          <w:sz w:val="20"/>
          <w:szCs w:val="20"/>
          <w:lang w:eastAsia="fr-FR"/>
        </w:rPr>
        <w:t xml:space="preserve">par le Maître d'ouvrage dans les 10 jours suivant la notification des marchés ; </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Mise au point des DPGF de l’entreprise en liaison avec le Maître d’</w:t>
      </w:r>
      <w:r w:rsidR="00547781">
        <w:rPr>
          <w:rFonts w:ascii="Arial" w:eastAsia="Times New Roman" w:hAnsi="Arial" w:cs="Arial"/>
          <w:sz w:val="20"/>
          <w:szCs w:val="20"/>
          <w:lang w:eastAsia="fr-FR"/>
        </w:rPr>
        <w:t>ouvrage</w:t>
      </w:r>
      <w:r w:rsidRPr="001A3B28">
        <w:rPr>
          <w:rFonts w:ascii="Arial" w:eastAsia="Times New Roman" w:hAnsi="Arial" w:cs="Arial"/>
          <w:sz w:val="20"/>
          <w:szCs w:val="20"/>
          <w:lang w:eastAsia="fr-FR"/>
        </w:rPr>
        <w:t xml:space="preserve">, puis saisie des DPGF ou des bordereaux de prix dans </w:t>
      </w:r>
      <w:r w:rsidRPr="00E63F62">
        <w:rPr>
          <w:rFonts w:ascii="Arial" w:eastAsia="Times New Roman" w:hAnsi="Arial" w:cs="Arial"/>
          <w:sz w:val="20"/>
          <w:szCs w:val="20"/>
          <w:lang w:eastAsia="fr-FR"/>
        </w:rPr>
        <w:t>les 25 jours</w:t>
      </w:r>
      <w:r w:rsidRPr="001A3B28">
        <w:rPr>
          <w:rFonts w:ascii="Arial" w:eastAsia="Times New Roman" w:hAnsi="Arial" w:cs="Arial"/>
          <w:sz w:val="20"/>
          <w:szCs w:val="20"/>
          <w:lang w:eastAsia="fr-FR"/>
        </w:rPr>
        <w:t xml:space="preserve"> suivant la notification du marché ;</w:t>
      </w:r>
    </w:p>
    <w:p w:rsidR="001A3B28" w:rsidRPr="001A3B28" w:rsidRDefault="001F0B85" w:rsidP="001A3B28">
      <w:pPr>
        <w:numPr>
          <w:ilvl w:val="0"/>
          <w:numId w:val="5"/>
        </w:numPr>
        <w:spacing w:after="0" w:line="360" w:lineRule="auto"/>
        <w:ind w:left="709" w:hanging="142"/>
        <w:jc w:val="both"/>
        <w:rPr>
          <w:rFonts w:ascii="Arial" w:eastAsia="Times New Roman" w:hAnsi="Arial" w:cs="Arial"/>
          <w:sz w:val="20"/>
          <w:szCs w:val="20"/>
          <w:lang w:eastAsia="fr-FR"/>
        </w:rPr>
      </w:pPr>
      <w:r>
        <w:rPr>
          <w:rFonts w:ascii="Arial" w:eastAsia="Times New Roman" w:hAnsi="Arial" w:cs="Arial"/>
          <w:sz w:val="20"/>
          <w:szCs w:val="20"/>
          <w:lang w:eastAsia="fr-FR"/>
        </w:rPr>
        <w:t>Demandes d’acompte</w:t>
      </w:r>
      <w:r w:rsidR="001A3B28" w:rsidRPr="001A3B28">
        <w:rPr>
          <w:rFonts w:ascii="Arial" w:eastAsia="Times New Roman" w:hAnsi="Arial" w:cs="Arial"/>
          <w:sz w:val="20"/>
          <w:szCs w:val="20"/>
          <w:lang w:eastAsia="fr-FR"/>
        </w:rPr>
        <w:t xml:space="preserve">: </w:t>
      </w:r>
    </w:p>
    <w:p w:rsidR="001A3B28" w:rsidRPr="001A3B28" w:rsidRDefault="006B2525" w:rsidP="001A3B28">
      <w:pPr>
        <w:numPr>
          <w:ilvl w:val="0"/>
          <w:numId w:val="1"/>
        </w:numPr>
        <w:tabs>
          <w:tab w:val="num" w:pos="1080"/>
        </w:tabs>
        <w:spacing w:after="0" w:line="360" w:lineRule="auto"/>
        <w:ind w:left="1077" w:hanging="357"/>
        <w:jc w:val="both"/>
        <w:rPr>
          <w:rFonts w:ascii="Arial" w:eastAsia="Times New Roman" w:hAnsi="Arial" w:cs="Arial"/>
          <w:sz w:val="20"/>
          <w:szCs w:val="20"/>
          <w:lang w:eastAsia="fr-FR"/>
        </w:rPr>
      </w:pPr>
      <w:proofErr w:type="gramStart"/>
      <w:r>
        <w:rPr>
          <w:rFonts w:ascii="Arial" w:eastAsia="Times New Roman" w:hAnsi="Arial" w:cs="Arial"/>
          <w:sz w:val="20"/>
          <w:szCs w:val="20"/>
          <w:lang w:eastAsia="fr-FR"/>
        </w:rPr>
        <w:t>la</w:t>
      </w:r>
      <w:proofErr w:type="gramEnd"/>
      <w:r>
        <w:rPr>
          <w:rFonts w:ascii="Arial" w:eastAsia="Times New Roman" w:hAnsi="Arial" w:cs="Arial"/>
          <w:sz w:val="20"/>
          <w:szCs w:val="20"/>
          <w:lang w:eastAsia="fr-FR"/>
        </w:rPr>
        <w:t xml:space="preserve"> maîtrise d’œuvre</w:t>
      </w:r>
      <w:r w:rsidR="001A3B28" w:rsidRPr="001A3B28">
        <w:rPr>
          <w:rFonts w:ascii="Arial" w:eastAsia="Times New Roman" w:hAnsi="Arial" w:cs="Arial"/>
          <w:sz w:val="20"/>
          <w:szCs w:val="20"/>
          <w:lang w:eastAsia="fr-FR"/>
        </w:rPr>
        <w:t xml:space="preserve"> les présente sur les écrans EDIFLEX suivant le calendrier établi par le Maître </w:t>
      </w:r>
      <w:r w:rsidR="00547781">
        <w:rPr>
          <w:rFonts w:ascii="Arial" w:eastAsia="Times New Roman" w:hAnsi="Arial" w:cs="Arial"/>
          <w:sz w:val="20"/>
          <w:szCs w:val="20"/>
          <w:lang w:eastAsia="fr-FR"/>
        </w:rPr>
        <w:t>d’ouvrage</w:t>
      </w:r>
      <w:r w:rsidR="001A3B28" w:rsidRPr="001A3B28">
        <w:rPr>
          <w:rFonts w:ascii="Arial" w:eastAsia="Times New Roman" w:hAnsi="Arial" w:cs="Arial"/>
          <w:sz w:val="20"/>
          <w:szCs w:val="20"/>
          <w:lang w:eastAsia="fr-FR"/>
        </w:rPr>
        <w:t>,</w:t>
      </w:r>
    </w:p>
    <w:p w:rsidR="001A3B28" w:rsidRPr="001A3B28" w:rsidRDefault="001A3B28" w:rsidP="001A3B28">
      <w:pPr>
        <w:numPr>
          <w:ilvl w:val="0"/>
          <w:numId w:val="1"/>
        </w:numPr>
        <w:tabs>
          <w:tab w:val="num" w:pos="1080"/>
        </w:tabs>
        <w:spacing w:after="0" w:line="360" w:lineRule="auto"/>
        <w:ind w:left="1077" w:hanging="357"/>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 Maître d'Ouvrage les vérifie et émet son “ avis d'intention de payer ” puis transmet les pièces justificatives à son service financier pour mandatement dans un délai permettant un paiemen</w:t>
      </w:r>
      <w:r w:rsidR="004207F3">
        <w:rPr>
          <w:rFonts w:ascii="Arial" w:eastAsia="Times New Roman" w:hAnsi="Arial" w:cs="Arial"/>
          <w:sz w:val="20"/>
          <w:szCs w:val="20"/>
          <w:lang w:eastAsia="fr-FR"/>
        </w:rPr>
        <w:t xml:space="preserve">t à </w:t>
      </w:r>
      <w:r w:rsidR="004207F3" w:rsidRPr="00E63F62">
        <w:rPr>
          <w:rFonts w:ascii="Arial" w:eastAsia="Times New Roman" w:hAnsi="Arial" w:cs="Arial"/>
          <w:sz w:val="20"/>
          <w:szCs w:val="20"/>
          <w:lang w:eastAsia="fr-FR"/>
        </w:rPr>
        <w:t>J+</w:t>
      </w:r>
      <w:r w:rsidR="006B2525" w:rsidRPr="00E63F62">
        <w:rPr>
          <w:rFonts w:ascii="Arial" w:eastAsia="Times New Roman" w:hAnsi="Arial" w:cs="Arial"/>
          <w:sz w:val="20"/>
          <w:szCs w:val="20"/>
          <w:lang w:eastAsia="fr-FR"/>
        </w:rPr>
        <w:t>3</w:t>
      </w:r>
      <w:r w:rsidR="009A5C73" w:rsidRPr="00E63F62">
        <w:rPr>
          <w:rFonts w:ascii="Arial" w:eastAsia="Times New Roman" w:hAnsi="Arial" w:cs="Arial"/>
          <w:sz w:val="20"/>
          <w:szCs w:val="20"/>
          <w:lang w:eastAsia="fr-FR"/>
        </w:rPr>
        <w:t>0</w:t>
      </w:r>
      <w:r w:rsidRPr="00E63F62">
        <w:rPr>
          <w:rFonts w:ascii="Arial" w:eastAsia="Times New Roman" w:hAnsi="Arial" w:cs="Arial"/>
          <w:sz w:val="20"/>
          <w:szCs w:val="20"/>
          <w:lang w:eastAsia="fr-FR"/>
        </w:rPr>
        <w:t>.</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71416"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4.4</w:t>
      </w:r>
      <w:r w:rsidR="001A3B28" w:rsidRPr="001A3B28">
        <w:rPr>
          <w:rFonts w:ascii="Arial" w:eastAsia="Times New Roman" w:hAnsi="Arial" w:cs="Arial"/>
          <w:b/>
          <w:sz w:val="20"/>
          <w:szCs w:val="20"/>
          <w:lang w:eastAsia="fr-FR"/>
        </w:rPr>
        <w:t xml:space="preserve">   Gestion électronique et archivage des informations sur le serveur </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856E27" w:rsidP="001A3B28">
      <w:pPr>
        <w:spacing w:after="0"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w:t>
      </w:r>
      <w:r w:rsidR="001F0B85">
        <w:rPr>
          <w:rFonts w:ascii="Arial" w:eastAsia="Times New Roman" w:hAnsi="Arial" w:cs="Arial"/>
          <w:sz w:val="20"/>
          <w:szCs w:val="20"/>
          <w:lang w:eastAsia="fr-FR"/>
        </w:rPr>
        <w:t>demandes d’acompte</w:t>
      </w:r>
      <w:r>
        <w:rPr>
          <w:rFonts w:ascii="Arial" w:eastAsia="Times New Roman" w:hAnsi="Arial" w:cs="Arial"/>
          <w:sz w:val="20"/>
          <w:szCs w:val="20"/>
          <w:lang w:eastAsia="fr-FR"/>
        </w:rPr>
        <w:t xml:space="preserve"> </w:t>
      </w:r>
      <w:r w:rsidR="001A3B28" w:rsidRPr="001A3B28">
        <w:rPr>
          <w:rFonts w:ascii="Arial" w:eastAsia="Times New Roman" w:hAnsi="Arial" w:cs="Arial"/>
          <w:sz w:val="20"/>
          <w:szCs w:val="20"/>
          <w:lang w:eastAsia="fr-FR"/>
        </w:rPr>
        <w:t>sont archivées sur le serveur EDIFLEX pendant toute la durée du chantier jusqu'à la date de fermeture du service définie à l'article suivant. Les abonnés peuvent télécharger sur le</w:t>
      </w:r>
      <w:r>
        <w:rPr>
          <w:rFonts w:ascii="Arial" w:eastAsia="Times New Roman" w:hAnsi="Arial" w:cs="Arial"/>
          <w:sz w:val="20"/>
          <w:szCs w:val="20"/>
          <w:lang w:eastAsia="fr-FR"/>
        </w:rPr>
        <w:t xml:space="preserve">ur ordinateur les situations </w:t>
      </w:r>
      <w:r w:rsidR="001A3B28" w:rsidRPr="001A3B28">
        <w:rPr>
          <w:rFonts w:ascii="Arial" w:eastAsia="Times New Roman" w:hAnsi="Arial" w:cs="Arial"/>
          <w:sz w:val="20"/>
          <w:szCs w:val="20"/>
          <w:lang w:eastAsia="fr-FR"/>
        </w:rPr>
        <w:t>archivées sur le serveur EDIFLEX pour les éditer en local.</w:t>
      </w:r>
    </w:p>
    <w:p w:rsidR="001A3B28" w:rsidRPr="001A3B28" w:rsidRDefault="001A3B28" w:rsidP="001A3B28">
      <w:pPr>
        <w:spacing w:after="0" w:line="360" w:lineRule="auto"/>
        <w:jc w:val="both"/>
        <w:rPr>
          <w:rFonts w:ascii="Arial" w:eastAsia="Times New Roman" w:hAnsi="Arial" w:cs="Arial"/>
          <w:sz w:val="20"/>
          <w:szCs w:val="20"/>
          <w:lang w:eastAsia="fr-FR"/>
        </w:rPr>
      </w:pPr>
    </w:p>
    <w:p w:rsidR="001F0B85" w:rsidRPr="001A3B28" w:rsidRDefault="001F0B85" w:rsidP="001F0B85">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C'est la procédure utilisée pour éditer sur papier les pièces justificatives (</w:t>
      </w:r>
      <w:r>
        <w:rPr>
          <w:rFonts w:ascii="Arial" w:eastAsia="Times New Roman" w:hAnsi="Arial" w:cs="Arial"/>
          <w:sz w:val="20"/>
          <w:szCs w:val="20"/>
          <w:lang w:eastAsia="fr-FR"/>
        </w:rPr>
        <w:t xml:space="preserve">états d’acompte </w:t>
      </w:r>
      <w:r w:rsidRPr="001A3B28">
        <w:rPr>
          <w:rFonts w:ascii="Arial" w:eastAsia="Times New Roman" w:hAnsi="Arial" w:cs="Arial"/>
          <w:sz w:val="20"/>
          <w:szCs w:val="20"/>
          <w:lang w:eastAsia="fr-FR"/>
        </w:rPr>
        <w:t>et décompte général</w:t>
      </w:r>
      <w:r>
        <w:rPr>
          <w:rFonts w:ascii="Arial" w:eastAsia="Times New Roman" w:hAnsi="Arial" w:cs="Arial"/>
          <w:sz w:val="20"/>
          <w:szCs w:val="20"/>
          <w:lang w:eastAsia="fr-FR"/>
        </w:rPr>
        <w:t>,</w:t>
      </w:r>
      <w:r w:rsidRPr="001A3B28">
        <w:rPr>
          <w:rFonts w:ascii="Arial" w:eastAsia="Times New Roman" w:hAnsi="Arial" w:cs="Arial"/>
          <w:sz w:val="20"/>
          <w:szCs w:val="20"/>
          <w:lang w:eastAsia="fr-FR"/>
        </w:rPr>
        <w:t xml:space="preserve"> pièces qui doivent être archivées sur support papier par les intervenants concernés (</w:t>
      </w:r>
      <w:r>
        <w:rPr>
          <w:rFonts w:ascii="Arial" w:eastAsia="Times New Roman" w:hAnsi="Arial" w:cs="Arial"/>
          <w:sz w:val="20"/>
          <w:szCs w:val="20"/>
          <w:lang w:eastAsia="fr-FR"/>
        </w:rPr>
        <w:t>Equipe de maîtrise d’</w:t>
      </w:r>
      <w:r w:rsidR="00395EC0">
        <w:rPr>
          <w:rFonts w:ascii="Arial" w:eastAsia="Times New Roman" w:hAnsi="Arial" w:cs="Arial"/>
          <w:sz w:val="20"/>
          <w:szCs w:val="20"/>
          <w:lang w:eastAsia="fr-FR"/>
        </w:rPr>
        <w:t>œuvre</w:t>
      </w:r>
      <w:r w:rsidRPr="001A3B28">
        <w:rPr>
          <w:rFonts w:ascii="Arial" w:eastAsia="Times New Roman" w:hAnsi="Arial" w:cs="Arial"/>
          <w:sz w:val="20"/>
          <w:szCs w:val="20"/>
          <w:lang w:eastAsia="fr-FR"/>
        </w:rPr>
        <w:t>, Maître d'ouvrage notamment) dans leur comptabilité selon les exigences légales.</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71416"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4.5</w:t>
      </w:r>
      <w:r w:rsidR="001A3B28" w:rsidRPr="001A3B28">
        <w:rPr>
          <w:rFonts w:ascii="Arial" w:eastAsia="Times New Roman" w:hAnsi="Arial" w:cs="Arial"/>
          <w:b/>
          <w:sz w:val="20"/>
          <w:szCs w:val="20"/>
          <w:lang w:eastAsia="fr-FR"/>
        </w:rPr>
        <w:t xml:space="preserve">   Ouverture et fermeture du service </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 service est ouvert à partir de la date de notification des marchés ; les abonnés seront alors convoqués à une séance de formation au service EDIFLEX (délai de convocation : 10 jours minimum). Les codes d'accès et mot de passe seront remis aux participants lors de la séance de formation.</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La confidentialité est garantie par le mot de passe que l'abonné peut changer à tout moment.</w:t>
      </w:r>
    </w:p>
    <w:p w:rsidR="001A3B28" w:rsidRPr="001A3B28" w:rsidRDefault="001A3B28" w:rsidP="001A3B28">
      <w:pPr>
        <w:spacing w:after="0" w:line="360" w:lineRule="auto"/>
        <w:jc w:val="both"/>
        <w:rPr>
          <w:rFonts w:ascii="Arial" w:eastAsia="Times New Roman" w:hAnsi="Arial" w:cs="Arial"/>
          <w:sz w:val="20"/>
          <w:szCs w:val="20"/>
          <w:lang w:eastAsia="fr-FR"/>
        </w:rPr>
      </w:pPr>
    </w:p>
    <w:p w:rsidR="001F0B85" w:rsidRPr="001A3B28" w:rsidRDefault="001F0B85" w:rsidP="001F0B85">
      <w:pPr>
        <w:spacing w:after="0" w:line="360" w:lineRule="auto"/>
        <w:jc w:val="both"/>
        <w:rPr>
          <w:rFonts w:ascii="Arial" w:eastAsia="Times New Roman" w:hAnsi="Arial" w:cs="Arial"/>
          <w:b/>
          <w:sz w:val="20"/>
          <w:szCs w:val="20"/>
          <w:lang w:eastAsia="fr-FR"/>
        </w:rPr>
      </w:pPr>
      <w:r w:rsidRPr="001A3B28">
        <w:rPr>
          <w:rFonts w:ascii="Arial" w:eastAsia="Times New Roman" w:hAnsi="Arial" w:cs="Arial"/>
          <w:sz w:val="20"/>
          <w:szCs w:val="20"/>
          <w:lang w:eastAsia="fr-FR"/>
        </w:rPr>
        <w:t xml:space="preserve">L'accès au service EDIFLEX sera fermé lorsque le Maître d’ouvrage aura validé et édité les </w:t>
      </w:r>
      <w:r>
        <w:rPr>
          <w:rFonts w:ascii="Arial" w:eastAsia="Times New Roman" w:hAnsi="Arial" w:cs="Arial"/>
          <w:sz w:val="20"/>
          <w:szCs w:val="20"/>
          <w:lang w:eastAsia="fr-FR"/>
        </w:rPr>
        <w:t>Décomptes Généraux</w:t>
      </w:r>
      <w:r w:rsidRPr="001A3B28">
        <w:rPr>
          <w:rFonts w:ascii="Arial" w:eastAsia="Times New Roman" w:hAnsi="Arial" w:cs="Arial"/>
          <w:sz w:val="20"/>
          <w:szCs w:val="20"/>
          <w:lang w:eastAsia="fr-FR"/>
        </w:rPr>
        <w:t xml:space="preserve"> de </w:t>
      </w:r>
      <w:r>
        <w:rPr>
          <w:rFonts w:ascii="Arial" w:eastAsia="Times New Roman" w:hAnsi="Arial" w:cs="Arial"/>
          <w:sz w:val="20"/>
          <w:szCs w:val="20"/>
          <w:lang w:eastAsia="fr-FR"/>
        </w:rPr>
        <w:t>chaque membre de la maîtrise d’œuvre</w:t>
      </w:r>
      <w:r w:rsidRPr="001A3B28">
        <w:rPr>
          <w:rFonts w:ascii="Arial" w:eastAsia="Times New Roman" w:hAnsi="Arial" w:cs="Arial"/>
          <w:sz w:val="20"/>
          <w:szCs w:val="20"/>
          <w:lang w:eastAsia="fr-FR"/>
        </w:rPr>
        <w:t xml:space="preserve"> et qu'il aura transféré les archives stockées sur le serveur EDIFLEX vers son ordinateur. Cette date de fermeture du service EDIFLEX sera confirmée par courrier adressé par le Maître d'ouvrage à la société </w:t>
      </w:r>
      <w:r w:rsidRPr="001A3B28">
        <w:rPr>
          <w:rFonts w:ascii="Arial" w:eastAsia="Times New Roman" w:hAnsi="Arial" w:cs="Arial"/>
          <w:b/>
          <w:sz w:val="20"/>
          <w:szCs w:val="20"/>
          <w:lang w:eastAsia="fr-FR"/>
        </w:rPr>
        <w:t>EPICTURE.</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proofErr w:type="spellStart"/>
      <w:r w:rsidRPr="001A3B28">
        <w:rPr>
          <w:rFonts w:ascii="Arial" w:eastAsia="Times New Roman" w:hAnsi="Arial" w:cs="Arial"/>
          <w:sz w:val="20"/>
          <w:szCs w:val="20"/>
          <w:lang w:eastAsia="fr-FR"/>
        </w:rPr>
        <w:t>Au delà</w:t>
      </w:r>
      <w:proofErr w:type="spellEnd"/>
      <w:r w:rsidRPr="001A3B28">
        <w:rPr>
          <w:rFonts w:ascii="Arial" w:eastAsia="Times New Roman" w:hAnsi="Arial" w:cs="Arial"/>
          <w:sz w:val="20"/>
          <w:szCs w:val="20"/>
          <w:lang w:eastAsia="fr-FR"/>
        </w:rPr>
        <w:t xml:space="preserve"> de cette fermeture du service, les informations ne seront plus disponibles sur le serveur EDIFLEX. </w:t>
      </w:r>
    </w:p>
    <w:p w:rsidR="00171416" w:rsidRDefault="00171416" w:rsidP="001A3B28">
      <w:pPr>
        <w:spacing w:after="0" w:line="240" w:lineRule="auto"/>
        <w:jc w:val="both"/>
        <w:rPr>
          <w:rFonts w:ascii="Arial" w:eastAsia="Times New Roman" w:hAnsi="Arial" w:cs="Arial"/>
          <w:sz w:val="20"/>
          <w:szCs w:val="20"/>
          <w:lang w:eastAsia="fr-FR"/>
        </w:rPr>
      </w:pPr>
    </w:p>
    <w:p w:rsidR="00171416" w:rsidRPr="001A3B28" w:rsidRDefault="00171416"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71416"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4.6</w:t>
      </w:r>
      <w:r w:rsidR="001A3B28" w:rsidRPr="001A3B28">
        <w:rPr>
          <w:rFonts w:ascii="Arial" w:eastAsia="Times New Roman" w:hAnsi="Arial" w:cs="Arial"/>
          <w:b/>
          <w:sz w:val="20"/>
          <w:szCs w:val="20"/>
          <w:lang w:eastAsia="fr-FR"/>
        </w:rPr>
        <w:t xml:space="preserve">   Rôle de la société</w:t>
      </w:r>
      <w:r w:rsidR="001A3B28" w:rsidRPr="001A3B28">
        <w:rPr>
          <w:rFonts w:ascii="Arial" w:eastAsia="Times New Roman" w:hAnsi="Arial" w:cs="Arial"/>
          <w:sz w:val="20"/>
          <w:szCs w:val="20"/>
          <w:lang w:eastAsia="fr-FR"/>
        </w:rPr>
        <w:t xml:space="preserve"> </w:t>
      </w:r>
      <w:r w:rsidR="001A3B28" w:rsidRPr="001A3B28">
        <w:rPr>
          <w:rFonts w:ascii="Arial" w:eastAsia="Times New Roman" w:hAnsi="Arial" w:cs="Arial"/>
          <w:b/>
          <w:sz w:val="20"/>
          <w:szCs w:val="20"/>
          <w:lang w:eastAsia="fr-FR"/>
        </w:rPr>
        <w:t>EPICTURE</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71416" w:rsidP="001A3B28">
      <w:pPr>
        <w:spacing w:after="0" w:line="240" w:lineRule="auto"/>
        <w:jc w:val="both"/>
        <w:rPr>
          <w:rFonts w:ascii="Arial" w:eastAsia="Times New Roman" w:hAnsi="Arial" w:cs="Arial"/>
          <w:sz w:val="20"/>
          <w:szCs w:val="20"/>
          <w:lang w:eastAsia="fr-FR"/>
        </w:rPr>
      </w:pPr>
      <w:proofErr w:type="gramStart"/>
      <w:r>
        <w:rPr>
          <w:rFonts w:ascii="Arial" w:eastAsia="Times New Roman" w:hAnsi="Arial" w:cs="Arial"/>
          <w:b/>
          <w:sz w:val="20"/>
          <w:szCs w:val="20"/>
          <w:lang w:eastAsia="fr-FR"/>
        </w:rPr>
        <w:t>4.6</w:t>
      </w:r>
      <w:r w:rsidR="001A3B28" w:rsidRPr="001A3B28">
        <w:rPr>
          <w:rFonts w:ascii="Arial" w:eastAsia="Times New Roman" w:hAnsi="Arial" w:cs="Arial"/>
          <w:b/>
          <w:sz w:val="20"/>
          <w:szCs w:val="20"/>
          <w:lang w:eastAsia="fr-FR"/>
        </w:rPr>
        <w:t xml:space="preserve">.1  </w:t>
      </w:r>
      <w:r w:rsidR="001A3B28" w:rsidRPr="001A3B28">
        <w:rPr>
          <w:rFonts w:ascii="Arial" w:eastAsia="Times New Roman" w:hAnsi="Arial" w:cs="Arial"/>
          <w:sz w:val="20"/>
          <w:szCs w:val="20"/>
          <w:lang w:eastAsia="fr-FR"/>
        </w:rPr>
        <w:t>La</w:t>
      </w:r>
      <w:proofErr w:type="gramEnd"/>
      <w:r w:rsidR="001A3B28" w:rsidRPr="001A3B28">
        <w:rPr>
          <w:rFonts w:ascii="Arial" w:eastAsia="Times New Roman" w:hAnsi="Arial" w:cs="Arial"/>
          <w:sz w:val="20"/>
          <w:szCs w:val="20"/>
          <w:lang w:eastAsia="fr-FR"/>
        </w:rPr>
        <w:t xml:space="preserve"> société </w:t>
      </w:r>
      <w:r w:rsidR="001A3B28" w:rsidRPr="001A3B28">
        <w:rPr>
          <w:rFonts w:ascii="Arial" w:eastAsia="Times New Roman" w:hAnsi="Arial" w:cs="Arial"/>
          <w:b/>
          <w:sz w:val="20"/>
          <w:szCs w:val="20"/>
          <w:lang w:eastAsia="fr-FR"/>
        </w:rPr>
        <w:t>EPICTURE</w:t>
      </w:r>
      <w:r w:rsidR="001A3B28" w:rsidRPr="001A3B28">
        <w:rPr>
          <w:rFonts w:ascii="Arial" w:eastAsia="Times New Roman" w:hAnsi="Arial" w:cs="Arial"/>
          <w:sz w:val="20"/>
          <w:szCs w:val="20"/>
          <w:lang w:eastAsia="fr-FR"/>
        </w:rPr>
        <w:t xml:space="preserve"> exploite le service EDIFLEX et, à ce titre, assure les prestations suivantes : </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Maintenance technique du service, suivant les fonctionnalités décrites dans les manuels utilisateurs accessibles en ligne sur le serveur, </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Formation des abonnés à l'utilisation du service ; des séances de formation d’une ½ journée seront planifiées en fonction de l’intervention des entreprises. </w:t>
      </w:r>
    </w:p>
    <w:p w:rsidR="001F0B85" w:rsidRPr="001A3B28" w:rsidRDefault="001F0B85" w:rsidP="001F0B85">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Assistance téléphonique pour les abonnés : </w:t>
      </w:r>
      <w:r>
        <w:rPr>
          <w:rFonts w:ascii="Arial" w:eastAsia="Times New Roman" w:hAnsi="Arial" w:cs="Arial"/>
          <w:sz w:val="20"/>
          <w:szCs w:val="20"/>
          <w:lang w:eastAsia="fr-FR"/>
        </w:rPr>
        <w:t>du lundi au jeudi de 9h00 à 13</w:t>
      </w:r>
      <w:r w:rsidRPr="001A3B28">
        <w:rPr>
          <w:rFonts w:ascii="Arial" w:eastAsia="Times New Roman" w:hAnsi="Arial" w:cs="Arial"/>
          <w:sz w:val="20"/>
          <w:szCs w:val="20"/>
          <w:lang w:eastAsia="fr-FR"/>
        </w:rPr>
        <w:t>h00 et 14h00 à 18h00</w:t>
      </w:r>
      <w:r>
        <w:rPr>
          <w:rFonts w:ascii="Arial" w:eastAsia="Times New Roman" w:hAnsi="Arial" w:cs="Arial"/>
          <w:sz w:val="20"/>
          <w:szCs w:val="20"/>
          <w:lang w:eastAsia="fr-FR"/>
        </w:rPr>
        <w:t>,</w:t>
      </w:r>
      <w:r w:rsidRPr="001A3B28">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le </w:t>
      </w:r>
      <w:r w:rsidRPr="001A3B28">
        <w:rPr>
          <w:rFonts w:ascii="Arial" w:eastAsia="Times New Roman" w:hAnsi="Arial" w:cs="Arial"/>
          <w:sz w:val="20"/>
          <w:szCs w:val="20"/>
          <w:lang w:eastAsia="fr-FR"/>
        </w:rPr>
        <w:t>vendredi</w:t>
      </w:r>
      <w:r>
        <w:rPr>
          <w:rFonts w:ascii="Arial" w:eastAsia="Times New Roman" w:hAnsi="Arial" w:cs="Arial"/>
          <w:sz w:val="20"/>
          <w:szCs w:val="20"/>
          <w:lang w:eastAsia="fr-FR"/>
        </w:rPr>
        <w:t xml:space="preserve"> de 9h00 à 13h00 et 14h00 à 17h00).</w:t>
      </w:r>
      <w:r w:rsidRPr="001A3B28">
        <w:rPr>
          <w:rFonts w:ascii="Arial" w:eastAsia="Times New Roman" w:hAnsi="Arial" w:cs="Arial"/>
          <w:sz w:val="20"/>
          <w:szCs w:val="20"/>
          <w:lang w:eastAsia="fr-FR"/>
        </w:rPr>
        <w:t xml:space="preserve"> </w:t>
      </w:r>
      <w:r>
        <w:rPr>
          <w:rFonts w:ascii="Arial" w:eastAsia="Times New Roman" w:hAnsi="Arial" w:cs="Arial"/>
          <w:sz w:val="20"/>
          <w:szCs w:val="20"/>
          <w:lang w:eastAsia="fr-FR"/>
        </w:rPr>
        <w:t>E</w:t>
      </w:r>
      <w:r w:rsidRPr="001A3B28">
        <w:rPr>
          <w:rFonts w:ascii="Arial" w:eastAsia="Times New Roman" w:hAnsi="Arial" w:cs="Arial"/>
          <w:sz w:val="20"/>
          <w:szCs w:val="20"/>
          <w:lang w:eastAsia="fr-FR"/>
        </w:rPr>
        <w:t>n dehors des heures de bureaux les abonnées peuvent</w:t>
      </w:r>
      <w:r>
        <w:rPr>
          <w:rFonts w:ascii="Arial" w:eastAsia="Times New Roman" w:hAnsi="Arial" w:cs="Arial"/>
          <w:sz w:val="20"/>
          <w:szCs w:val="20"/>
          <w:lang w:eastAsia="fr-FR"/>
        </w:rPr>
        <w:t xml:space="preserve"> émettre des </w:t>
      </w:r>
      <w:r w:rsidRPr="001A3B28">
        <w:rPr>
          <w:rFonts w:ascii="Arial" w:eastAsia="Times New Roman" w:hAnsi="Arial" w:cs="Arial"/>
          <w:sz w:val="20"/>
          <w:szCs w:val="20"/>
          <w:lang w:eastAsia="fr-FR"/>
        </w:rPr>
        <w:t>messages électroniques qui seront traités dès réception pendant les heures de bureau.</w:t>
      </w: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1A3B28" w:rsidRDefault="00171416" w:rsidP="001A3B28">
      <w:pPr>
        <w:spacing w:after="0" w:line="240" w:lineRule="auto"/>
        <w:rPr>
          <w:rFonts w:ascii="Arial" w:eastAsia="Times New Roman" w:hAnsi="Arial" w:cs="Arial"/>
          <w:b/>
          <w:sz w:val="20"/>
          <w:szCs w:val="20"/>
          <w:lang w:eastAsia="fr-FR"/>
        </w:rPr>
      </w:pPr>
      <w:proofErr w:type="gramStart"/>
      <w:r>
        <w:rPr>
          <w:rFonts w:ascii="Arial" w:eastAsia="Times New Roman" w:hAnsi="Arial" w:cs="Arial"/>
          <w:b/>
          <w:sz w:val="20"/>
          <w:szCs w:val="20"/>
          <w:lang w:eastAsia="fr-FR"/>
        </w:rPr>
        <w:t>4.6</w:t>
      </w:r>
      <w:r w:rsidR="001A3B28" w:rsidRPr="001A3B28">
        <w:rPr>
          <w:rFonts w:ascii="Arial" w:eastAsia="Times New Roman" w:hAnsi="Arial" w:cs="Arial"/>
          <w:b/>
          <w:sz w:val="20"/>
          <w:szCs w:val="20"/>
          <w:lang w:eastAsia="fr-FR"/>
        </w:rPr>
        <w:t>.2  Qualité</w:t>
      </w:r>
      <w:proofErr w:type="gramEnd"/>
      <w:r w:rsidR="001A3B28" w:rsidRPr="001A3B28">
        <w:rPr>
          <w:rFonts w:ascii="Arial" w:eastAsia="Times New Roman" w:hAnsi="Arial" w:cs="Arial"/>
          <w:b/>
          <w:sz w:val="20"/>
          <w:szCs w:val="20"/>
          <w:lang w:eastAsia="fr-FR"/>
        </w:rPr>
        <w:t xml:space="preserve"> de service</w:t>
      </w:r>
    </w:p>
    <w:p w:rsidR="001A3B28" w:rsidRPr="001A3B28" w:rsidRDefault="001A3B28" w:rsidP="001A3B28">
      <w:pPr>
        <w:spacing w:after="0" w:line="240" w:lineRule="auto"/>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 </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La société </w:t>
      </w:r>
      <w:r w:rsidRPr="001A3B28">
        <w:rPr>
          <w:rFonts w:ascii="Arial" w:eastAsia="Times New Roman" w:hAnsi="Arial" w:cs="Arial"/>
          <w:b/>
          <w:sz w:val="20"/>
          <w:szCs w:val="20"/>
          <w:lang w:eastAsia="fr-FR"/>
        </w:rPr>
        <w:t>EPICTURE</w:t>
      </w:r>
      <w:r w:rsidRPr="001A3B28">
        <w:rPr>
          <w:rFonts w:ascii="Arial" w:eastAsia="Times New Roman" w:hAnsi="Arial" w:cs="Arial"/>
          <w:sz w:val="20"/>
          <w:szCs w:val="20"/>
          <w:lang w:eastAsia="fr-FR"/>
        </w:rPr>
        <w:t xml:space="preserve"> garantit un service accessible en temps partagé sur le serveur tous les jours ouvrables de 7h à 20h (du lundi au vendredi, hors jours fériés), avec un taux minimal de disponibilité supérieur à 95 %.</w:t>
      </w: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p>
    <w:p w:rsidR="001A3B28" w:rsidRPr="001A3B28" w:rsidRDefault="00171416" w:rsidP="001A3B28">
      <w:pPr>
        <w:spacing w:after="0" w:line="240" w:lineRule="auto"/>
        <w:rPr>
          <w:rFonts w:ascii="Arial" w:eastAsia="Times New Roman" w:hAnsi="Arial" w:cs="Arial"/>
          <w:sz w:val="20"/>
          <w:szCs w:val="20"/>
          <w:lang w:eastAsia="fr-FR"/>
        </w:rPr>
      </w:pPr>
      <w:proofErr w:type="gramStart"/>
      <w:r>
        <w:rPr>
          <w:rFonts w:ascii="Arial" w:eastAsia="Times New Roman" w:hAnsi="Arial" w:cs="Arial"/>
          <w:b/>
          <w:sz w:val="20"/>
          <w:szCs w:val="20"/>
          <w:lang w:eastAsia="fr-FR"/>
        </w:rPr>
        <w:t>4.6</w:t>
      </w:r>
      <w:r w:rsidR="001A3B28" w:rsidRPr="001A3B28">
        <w:rPr>
          <w:rFonts w:ascii="Arial" w:eastAsia="Times New Roman" w:hAnsi="Arial" w:cs="Arial"/>
          <w:b/>
          <w:sz w:val="20"/>
          <w:szCs w:val="20"/>
          <w:lang w:eastAsia="fr-FR"/>
        </w:rPr>
        <w:t>.3  Obligation</w:t>
      </w:r>
      <w:proofErr w:type="gramEnd"/>
      <w:r w:rsidR="001A3B28" w:rsidRPr="001A3B28">
        <w:rPr>
          <w:rFonts w:ascii="Arial" w:eastAsia="Times New Roman" w:hAnsi="Arial" w:cs="Arial"/>
          <w:b/>
          <w:sz w:val="20"/>
          <w:szCs w:val="20"/>
          <w:lang w:eastAsia="fr-FR"/>
        </w:rPr>
        <w:t xml:space="preserve"> de discrétion</w:t>
      </w:r>
      <w:r w:rsidR="001A3B28" w:rsidRPr="001A3B28">
        <w:rPr>
          <w:rFonts w:ascii="Arial" w:eastAsia="Times New Roman" w:hAnsi="Arial" w:cs="Arial"/>
          <w:sz w:val="20"/>
          <w:szCs w:val="20"/>
          <w:lang w:eastAsia="fr-FR"/>
        </w:rPr>
        <w:t xml:space="preserve"> </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Les documents ou renseignements fournis par les abonnés au service, ainsi que les états, études et documents provenant de leur traitement par la société EPICTURE sont couverts par le secret professionnel.</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En particulier, aucune communication ne pourra être effectuée à des tiers, sauf autorisation expresse du client. La société EPICTURE s'oblige à respecter de façon absolue cette obligation au secret et à la faire respecter par son personnel.</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 xml:space="preserve">5 - TERMINAL D'ACCES AU SERVICE </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 </w:t>
      </w:r>
      <w:r w:rsidRPr="001A3B28">
        <w:rPr>
          <w:rFonts w:ascii="Arial" w:eastAsia="Times New Roman" w:hAnsi="Arial" w:cs="Arial"/>
          <w:sz w:val="20"/>
          <w:szCs w:val="20"/>
          <w:lang w:eastAsia="fr-FR"/>
        </w:rPr>
        <w:br/>
        <w:t>Pour accéder au service, l'abonné devra disposer d’un ordinateur avec accès à INTERNET et d’une adresse électronique.</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47217E" w:rsidRDefault="001A3B28" w:rsidP="001A3B28">
      <w:pPr>
        <w:spacing w:after="0" w:line="240" w:lineRule="auto"/>
        <w:jc w:val="both"/>
        <w:rPr>
          <w:rFonts w:ascii="Arial" w:eastAsia="Times New Roman" w:hAnsi="Arial" w:cs="Arial"/>
          <w:b/>
          <w:color w:val="365F91"/>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 xml:space="preserve">6 - CONDITIONS GENERALES D'UTILISATION DU SERVICE </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b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rsidR="0056294B" w:rsidRPr="001A3B28" w:rsidRDefault="0056294B"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A cet effet, l'abonné au service reconnaît explicitement par le présent document que : </w:t>
      </w:r>
    </w:p>
    <w:p w:rsid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6.1   Authentification de l'abonné</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L'accès au service par son code d'accès et son mot de passe confidentiel implique son authentification vis à vis des informations qu'il émet.</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 xml:space="preserve">6.2   Emission d'information </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Les informations qu'il transmet à travers le service lui sont opposables jusqu'à preuve d'un dysfonctionnement du service.</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Les validations </w:t>
      </w:r>
      <w:r w:rsidR="0056294B">
        <w:rPr>
          <w:rFonts w:ascii="Arial" w:eastAsia="Times New Roman" w:hAnsi="Arial" w:cs="Arial"/>
          <w:sz w:val="20"/>
          <w:szCs w:val="20"/>
          <w:lang w:eastAsia="fr-FR"/>
        </w:rPr>
        <w:t xml:space="preserve">des marchés et </w:t>
      </w:r>
      <w:r w:rsidR="001F0B85">
        <w:rPr>
          <w:rFonts w:ascii="Arial" w:eastAsia="Times New Roman" w:hAnsi="Arial" w:cs="Arial"/>
          <w:sz w:val="20"/>
          <w:szCs w:val="20"/>
          <w:lang w:eastAsia="fr-FR"/>
        </w:rPr>
        <w:t>des demandes d’acompte</w:t>
      </w:r>
      <w:r w:rsidRPr="001A3B28">
        <w:rPr>
          <w:rFonts w:ascii="Arial" w:eastAsia="Times New Roman" w:hAnsi="Arial" w:cs="Arial"/>
          <w:sz w:val="20"/>
          <w:szCs w:val="20"/>
          <w:lang w:eastAsia="fr-FR"/>
        </w:rPr>
        <w:t>, telles que prévues dans le service EDIFLEX et conformément au circuit de vérification imposé par ce service, valent expression de la volonté de celui qui les a effectuées.</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6.3   Réception d'information</w:t>
      </w:r>
    </w:p>
    <w:p w:rsidR="001A3B28" w:rsidRPr="001A3B28" w:rsidRDefault="001A3B28" w:rsidP="001A3B28">
      <w:pPr>
        <w:spacing w:after="0" w:line="240" w:lineRule="auto"/>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 xml:space="preserve"> </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Les informations qui sont communiquées à l'abonné à travers le service lui ont été réellement transmises, charge à lui de les consulter en accédant au service sauf constat que cet accès ne lui était matériellement pas possible.</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Les validations par un intervenant </w:t>
      </w:r>
      <w:r w:rsidR="0056294B">
        <w:rPr>
          <w:rFonts w:ascii="Arial" w:eastAsia="Times New Roman" w:hAnsi="Arial" w:cs="Arial"/>
          <w:sz w:val="20"/>
          <w:szCs w:val="20"/>
          <w:lang w:eastAsia="fr-FR"/>
        </w:rPr>
        <w:t xml:space="preserve">des marchés et des </w:t>
      </w:r>
      <w:r w:rsidR="001F0B85">
        <w:rPr>
          <w:rFonts w:ascii="Arial" w:eastAsia="Times New Roman" w:hAnsi="Arial" w:cs="Arial"/>
          <w:sz w:val="20"/>
          <w:szCs w:val="20"/>
          <w:lang w:eastAsia="fr-FR"/>
        </w:rPr>
        <w:t>demandes d’acompte</w:t>
      </w:r>
      <w:r w:rsidRPr="001A3B28">
        <w:rPr>
          <w:rFonts w:ascii="Arial" w:eastAsia="Times New Roman" w:hAnsi="Arial" w:cs="Arial"/>
          <w:sz w:val="20"/>
          <w:szCs w:val="20"/>
          <w:lang w:eastAsia="fr-FR"/>
        </w:rPr>
        <w:t xml:space="preserve">, telles que prévues dans le service EDIFLEX et conformément au circuit de vérification imposé par ce service, valent </w:t>
      </w:r>
      <w:proofErr w:type="gramStart"/>
      <w:r w:rsidRPr="001A3B28">
        <w:rPr>
          <w:rFonts w:ascii="Arial" w:eastAsia="Times New Roman" w:hAnsi="Arial" w:cs="Arial"/>
          <w:sz w:val="20"/>
          <w:szCs w:val="20"/>
          <w:lang w:eastAsia="fr-FR"/>
        </w:rPr>
        <w:t>accusé</w:t>
      </w:r>
      <w:proofErr w:type="gramEnd"/>
      <w:r w:rsidRPr="001A3B28">
        <w:rPr>
          <w:rFonts w:ascii="Arial" w:eastAsia="Times New Roman" w:hAnsi="Arial" w:cs="Arial"/>
          <w:sz w:val="20"/>
          <w:szCs w:val="20"/>
          <w:lang w:eastAsia="fr-FR"/>
        </w:rPr>
        <w:t xml:space="preserve"> de réception pour l'intervenant suivant.</w:t>
      </w:r>
    </w:p>
    <w:p w:rsidR="001A3B28" w:rsidRPr="001A3B28" w:rsidRDefault="001A3B28" w:rsidP="001A3B28">
      <w:pPr>
        <w:spacing w:after="0" w:line="240" w:lineRule="auto"/>
        <w:jc w:val="both"/>
        <w:rPr>
          <w:rFonts w:ascii="Arial" w:eastAsia="Times New Roman" w:hAnsi="Arial" w:cs="Arial"/>
          <w:b/>
          <w:sz w:val="20"/>
          <w:szCs w:val="20"/>
          <w:lang w:eastAsia="fr-FR"/>
        </w:rPr>
      </w:pPr>
      <w:bookmarkStart w:id="0" w:name="_Toc531766539"/>
      <w:bookmarkStart w:id="1" w:name="_Toc531766841"/>
      <w:bookmarkStart w:id="2" w:name="_Toc531766986"/>
      <w:r w:rsidRPr="001A3B28">
        <w:rPr>
          <w:rFonts w:ascii="Arial" w:eastAsia="Times New Roman" w:hAnsi="Arial" w:cs="Arial"/>
          <w:b/>
          <w:sz w:val="20"/>
          <w:szCs w:val="20"/>
          <w:lang w:eastAsia="fr-FR"/>
        </w:rPr>
        <w:lastRenderedPageBreak/>
        <w:t xml:space="preserve">6.4   Edition d'information sur support papier </w:t>
      </w:r>
      <w:bookmarkEnd w:id="0"/>
      <w:bookmarkEnd w:id="1"/>
      <w:bookmarkEnd w:id="2"/>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Pour des raisons juridiques, certaines informations archivées dans le serveur pourront nécessiter une édition sur support papier pour signature, </w:t>
      </w:r>
      <w:r w:rsidR="007D5EFF">
        <w:rPr>
          <w:rFonts w:ascii="Arial" w:eastAsia="Times New Roman" w:hAnsi="Arial" w:cs="Arial"/>
          <w:sz w:val="20"/>
          <w:szCs w:val="20"/>
          <w:lang w:eastAsia="fr-FR"/>
        </w:rPr>
        <w:t>par exemple le décompte général</w:t>
      </w:r>
      <w:r w:rsidRPr="001A3B28">
        <w:rPr>
          <w:rFonts w:ascii="Arial" w:eastAsia="Times New Roman" w:hAnsi="Arial" w:cs="Arial"/>
          <w:sz w:val="20"/>
          <w:szCs w:val="20"/>
          <w:lang w:eastAsia="fr-FR"/>
        </w:rPr>
        <w:t>.</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jc w:val="both"/>
        <w:rPr>
          <w:rFonts w:ascii="Arial" w:eastAsia="Times New Roman" w:hAnsi="Arial" w:cs="Arial"/>
          <w:b/>
          <w:sz w:val="20"/>
          <w:szCs w:val="20"/>
          <w:lang w:eastAsia="fr-FR"/>
        </w:rPr>
      </w:pPr>
      <w:r w:rsidRPr="001A3B28">
        <w:rPr>
          <w:rFonts w:ascii="Arial" w:eastAsia="Times New Roman" w:hAnsi="Arial" w:cs="Arial"/>
          <w:b/>
          <w:sz w:val="20"/>
          <w:szCs w:val="20"/>
          <w:lang w:eastAsia="fr-FR"/>
        </w:rPr>
        <w:t xml:space="preserve">6.5   Convention sur la preuve </w:t>
      </w:r>
    </w:p>
    <w:p w:rsidR="001A3B28" w:rsidRPr="001A3B28" w:rsidRDefault="001A3B28" w:rsidP="001A3B28">
      <w:pPr>
        <w:spacing w:after="0" w:line="240" w:lineRule="auto"/>
        <w:jc w:val="both"/>
        <w:rPr>
          <w:rFonts w:ascii="Arial" w:eastAsia="Times New Roman" w:hAnsi="Arial" w:cs="Arial"/>
          <w:b/>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Par dérogation aux règles de preuve figurant au Code Civil et par l'application de l'article 109 du Code du Commerce, les parties déclarent que les informations délivrées par le service EDIFLEX de la société </w:t>
      </w:r>
      <w:r w:rsidRPr="001A3B28">
        <w:rPr>
          <w:rFonts w:ascii="Arial" w:eastAsia="Times New Roman" w:hAnsi="Arial" w:cs="Arial"/>
          <w:b/>
          <w:sz w:val="20"/>
          <w:szCs w:val="20"/>
          <w:lang w:eastAsia="fr-FR"/>
        </w:rPr>
        <w:t>EPICTURE</w:t>
      </w:r>
      <w:r w:rsidRPr="001A3B28">
        <w:rPr>
          <w:rFonts w:ascii="Arial" w:eastAsia="Times New Roman" w:hAnsi="Arial" w:cs="Arial"/>
          <w:sz w:val="20"/>
          <w:szCs w:val="20"/>
          <w:lang w:eastAsia="fr-FR"/>
        </w:rPr>
        <w:t xml:space="preserve"> font foi entre elles tant qu'aucun écrit contradictoirement authentifié, venant remettre en cause ces informations informatisées, ne sera produit.</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En particulier, l’entreprise titulaire d’un marché reconnaît explicitement par le présent document que :</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u w:val="single"/>
          <w:lang w:eastAsia="fr-FR"/>
        </w:rPr>
        <w:t>Les attestations de paiement direct de ses sous-traitants, tel qu’éditées par le Maître d’ouvrage à l’aide du service EDIFLEX, sont des documents qui l’engagent, sans nécessité d’une signature manuscrite par l’entreprise titulaire</w:t>
      </w:r>
      <w:r w:rsidRPr="001A3B28">
        <w:rPr>
          <w:rFonts w:ascii="Arial" w:eastAsia="Times New Roman" w:hAnsi="Arial" w:cs="Arial"/>
          <w:sz w:val="20"/>
          <w:szCs w:val="20"/>
          <w:lang w:eastAsia="fr-FR"/>
        </w:rPr>
        <w:t xml:space="preserve"> dans la mesure où le montant des travaux base marché à payer au sous-traitant n’a pas été modifié par un tiers lors du contrôle de la situation présentée.</w:t>
      </w:r>
    </w:p>
    <w:p w:rsidR="001A3B28" w:rsidRPr="001A3B28" w:rsidRDefault="001A3B28" w:rsidP="001A3B28">
      <w:pPr>
        <w:spacing w:after="0" w:line="360" w:lineRule="auto"/>
        <w:ind w:left="709"/>
        <w:jc w:val="both"/>
        <w:rPr>
          <w:rFonts w:ascii="Arial" w:eastAsia="Times New Roman" w:hAnsi="Arial" w:cs="Arial"/>
          <w:sz w:val="20"/>
          <w:szCs w:val="20"/>
          <w:lang w:eastAsia="fr-FR"/>
        </w:rPr>
      </w:pPr>
    </w:p>
    <w:p w:rsid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Dans le cas contraire, la mention « après correction du montant des travaux base marché proposé par nous-mêmes » apparaîtra sur l’édition issue du service EDIFLEX avant la somme à payer. Dans ce cas seulement, l’entreprise devra signer le document pour accord.</w:t>
      </w:r>
    </w:p>
    <w:p w:rsidR="001A3B28" w:rsidRPr="001A3B28" w:rsidRDefault="001A3B28" w:rsidP="009C7349">
      <w:pPr>
        <w:spacing w:after="0" w:line="360" w:lineRule="auto"/>
        <w:ind w:left="709"/>
        <w:jc w:val="both"/>
        <w:rPr>
          <w:rFonts w:ascii="Arial" w:eastAsia="Times New Roman" w:hAnsi="Arial" w:cs="Arial"/>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Sauf indication contraire par lettre recommandée avec accusé de réception, les paiements effectués aux sous-traitants par </w:t>
      </w:r>
      <w:r w:rsidR="001F0B85">
        <w:rPr>
          <w:rFonts w:ascii="Arial" w:eastAsia="Times New Roman" w:hAnsi="Arial" w:cs="Arial"/>
          <w:sz w:val="20"/>
          <w:szCs w:val="20"/>
          <w:lang w:eastAsia="fr-FR"/>
        </w:rPr>
        <w:t xml:space="preserve">le </w:t>
      </w:r>
      <w:r w:rsidR="007D5EFF">
        <w:rPr>
          <w:rFonts w:ascii="Arial" w:eastAsia="Times New Roman" w:hAnsi="Arial" w:cs="Arial"/>
          <w:sz w:val="20"/>
          <w:szCs w:val="20"/>
          <w:lang w:eastAsia="fr-FR"/>
        </w:rPr>
        <w:t xml:space="preserve">comptable </w:t>
      </w:r>
      <w:r w:rsidRPr="001A3B28">
        <w:rPr>
          <w:rFonts w:ascii="Arial" w:eastAsia="Times New Roman" w:hAnsi="Arial" w:cs="Arial"/>
          <w:sz w:val="20"/>
          <w:szCs w:val="20"/>
          <w:lang w:eastAsia="fr-FR"/>
        </w:rPr>
        <w:t>sur la base de ces documents ne sauraient donner lieu à contestation ultérieure dans la relation susceptible d’intervenir entre l’entreprise et ses sous-traitants, ceci pour tout marché passé avec le Maître d’ouvrage et géré dans le service EDIFLEX.</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Dans le cas des transmissions à distance de données, les éléments tels que la date d'émission ou de réception ainsi que les données transmises feront foi par priorité telles que figurant dans les systèmes de la société </w:t>
      </w:r>
      <w:r w:rsidRPr="001A3B28">
        <w:rPr>
          <w:rFonts w:ascii="Arial" w:eastAsia="Times New Roman" w:hAnsi="Arial" w:cs="Arial"/>
          <w:b/>
          <w:sz w:val="20"/>
          <w:szCs w:val="20"/>
          <w:lang w:eastAsia="fr-FR"/>
        </w:rPr>
        <w:t>EPICTURE</w:t>
      </w:r>
      <w:r w:rsidRPr="001A3B28">
        <w:rPr>
          <w:rFonts w:ascii="Arial" w:eastAsia="Times New Roman" w:hAnsi="Arial" w:cs="Arial"/>
          <w:sz w:val="20"/>
          <w:szCs w:val="20"/>
          <w:lang w:eastAsia="fr-FR"/>
        </w:rPr>
        <w:t xml:space="preserve"> ou telles qu'authentifiées dans ses systèmes par les procédures informatisées de la société </w:t>
      </w:r>
      <w:r w:rsidRPr="001A3B28">
        <w:rPr>
          <w:rFonts w:ascii="Arial" w:eastAsia="Times New Roman" w:hAnsi="Arial" w:cs="Arial"/>
          <w:b/>
          <w:sz w:val="20"/>
          <w:szCs w:val="20"/>
          <w:lang w:eastAsia="fr-FR"/>
        </w:rPr>
        <w:t>EPICTURE</w:t>
      </w:r>
      <w:r w:rsidRPr="001A3B28">
        <w:rPr>
          <w:rFonts w:ascii="Arial" w:eastAsia="Times New Roman" w:hAnsi="Arial" w:cs="Arial"/>
          <w:sz w:val="20"/>
          <w:szCs w:val="20"/>
          <w:lang w:eastAsia="fr-FR"/>
        </w:rPr>
        <w:t>.</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r w:rsidRPr="001A3B28">
        <w:rPr>
          <w:rFonts w:ascii="Arial" w:eastAsia="Times New Roman" w:hAnsi="Arial" w:cs="Arial"/>
          <w:b/>
          <w:sz w:val="20"/>
          <w:szCs w:val="20"/>
          <w:lang w:eastAsia="fr-FR"/>
        </w:rPr>
        <w:t>6.6   Effet de la convention</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La présente convention prend effet à la </w:t>
      </w:r>
      <w:r w:rsidR="00E63F62">
        <w:rPr>
          <w:rFonts w:ascii="Arial" w:eastAsia="Times New Roman" w:hAnsi="Arial" w:cs="Arial"/>
          <w:sz w:val="20"/>
          <w:szCs w:val="20"/>
          <w:lang w:eastAsia="fr-FR"/>
        </w:rPr>
        <w:t>notification des marchés.</w:t>
      </w:r>
    </w:p>
    <w:p w:rsidR="001A3B28" w:rsidRPr="001A3B28" w:rsidRDefault="001A3B28" w:rsidP="001A3B28">
      <w:pPr>
        <w:spacing w:after="0" w:line="240" w:lineRule="auto"/>
        <w:rPr>
          <w:rFonts w:ascii="Arial" w:eastAsia="Times New Roman" w:hAnsi="Arial" w:cs="Arial"/>
          <w:sz w:val="20"/>
          <w:szCs w:val="20"/>
          <w:lang w:eastAsia="fr-FR"/>
        </w:rPr>
      </w:pPr>
    </w:p>
    <w:p w:rsidR="00E63F62" w:rsidRPr="001A3B28" w:rsidRDefault="00E63F62"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r w:rsidRPr="001A3B28">
        <w:rPr>
          <w:rFonts w:ascii="Arial" w:eastAsia="Times New Roman" w:hAnsi="Arial" w:cs="Arial"/>
          <w:b/>
          <w:sz w:val="20"/>
          <w:szCs w:val="20"/>
          <w:lang w:eastAsia="fr-FR"/>
        </w:rPr>
        <w:t xml:space="preserve">6.7   Cessation de la convention </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br/>
        <w:t xml:space="preserve">Il sera mis fin à la présente convention </w:t>
      </w:r>
      <w:r w:rsidR="00D71C3D">
        <w:rPr>
          <w:rFonts w:ascii="Arial" w:eastAsia="Times New Roman" w:hAnsi="Arial" w:cs="Arial"/>
          <w:sz w:val="20"/>
          <w:szCs w:val="20"/>
          <w:lang w:eastAsia="fr-FR"/>
        </w:rPr>
        <w:t>par application de l'article 4.5</w:t>
      </w:r>
      <w:r w:rsidRPr="001A3B28">
        <w:rPr>
          <w:rFonts w:ascii="Arial" w:eastAsia="Times New Roman" w:hAnsi="Arial" w:cs="Arial"/>
          <w:sz w:val="20"/>
          <w:szCs w:val="20"/>
          <w:lang w:eastAsia="fr-FR"/>
        </w:rPr>
        <w:t xml:space="preserve"> "Ouverture et fermeture du service". </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240" w:lineRule="auto"/>
        <w:rPr>
          <w:rFonts w:ascii="Arial" w:eastAsia="Times New Roman" w:hAnsi="Arial" w:cs="Arial"/>
          <w:b/>
          <w:sz w:val="20"/>
          <w:szCs w:val="20"/>
          <w:lang w:eastAsia="fr-FR"/>
        </w:rPr>
      </w:pPr>
      <w:r w:rsidRPr="001A3B28">
        <w:rPr>
          <w:rFonts w:ascii="Arial" w:eastAsia="Times New Roman" w:hAnsi="Arial" w:cs="Arial"/>
          <w:b/>
          <w:sz w:val="20"/>
          <w:szCs w:val="20"/>
          <w:lang w:eastAsia="fr-FR"/>
        </w:rPr>
        <w:t xml:space="preserve">6.8   Diffusion de la convention  </w:t>
      </w:r>
    </w:p>
    <w:p w:rsidR="001A3B28" w:rsidRPr="001A3B28" w:rsidRDefault="001A3B28" w:rsidP="001A3B28">
      <w:pPr>
        <w:spacing w:after="0" w:line="240" w:lineRule="auto"/>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Une copie de la présente est annexée dans le marché passé entre le Maître d'ouvrage et les entreprises.</w:t>
      </w:r>
    </w:p>
    <w:p w:rsidR="001A3B28" w:rsidRPr="001A3B28" w:rsidRDefault="001A3B28" w:rsidP="00247A99">
      <w:pPr>
        <w:keepNext/>
        <w:spacing w:before="240" w:after="60" w:line="240" w:lineRule="auto"/>
        <w:outlineLvl w:val="0"/>
        <w:rPr>
          <w:rFonts w:ascii="Arial" w:eastAsia="Times New Roman" w:hAnsi="Arial" w:cs="Arial"/>
          <w:b/>
          <w:sz w:val="20"/>
          <w:szCs w:val="20"/>
          <w:lang w:eastAsia="fr-FR"/>
        </w:rPr>
      </w:pPr>
    </w:p>
    <w:p w:rsidR="001A3B28" w:rsidRPr="00C16AE4" w:rsidRDefault="001A3B28"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7 - FACTURATION DU SERVICE EDIFLEX</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 xml:space="preserve">Le coût du service est pris en charge par le </w:t>
      </w:r>
      <w:r w:rsidR="006049ED">
        <w:rPr>
          <w:rFonts w:ascii="Arial" w:eastAsia="Times New Roman" w:hAnsi="Arial" w:cs="Arial"/>
          <w:sz w:val="20"/>
          <w:szCs w:val="20"/>
          <w:lang w:eastAsia="fr-FR"/>
        </w:rPr>
        <w:t xml:space="preserve">Maître d’ouvrage, </w:t>
      </w:r>
      <w:r w:rsidR="00395EC0">
        <w:rPr>
          <w:rFonts w:ascii="Arial" w:eastAsia="Times New Roman" w:hAnsi="Arial" w:cs="Arial"/>
          <w:sz w:val="20"/>
          <w:szCs w:val="20"/>
          <w:lang w:eastAsia="fr-FR"/>
        </w:rPr>
        <w:t>SORBONNE UNIVERSITE</w:t>
      </w:r>
      <w:r w:rsidR="002F10D7">
        <w:rPr>
          <w:rFonts w:ascii="Arial" w:eastAsia="Times New Roman" w:hAnsi="Arial" w:cs="Arial"/>
          <w:sz w:val="20"/>
          <w:szCs w:val="20"/>
          <w:lang w:eastAsia="fr-FR"/>
        </w:rPr>
        <w:t>.</w:t>
      </w: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L’abonnement au service comprend :</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l’ouverture</w:t>
      </w:r>
      <w:proofErr w:type="gramEnd"/>
      <w:r w:rsidRPr="001A3B28">
        <w:rPr>
          <w:rFonts w:ascii="Arial" w:eastAsia="Times New Roman" w:hAnsi="Arial" w:cs="Arial"/>
          <w:sz w:val="20"/>
          <w:szCs w:val="20"/>
          <w:lang w:eastAsia="fr-FR"/>
        </w:rPr>
        <w:t xml:space="preserve"> des codes d’accès sur le serveur,</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la</w:t>
      </w:r>
      <w:proofErr w:type="gramEnd"/>
      <w:r w:rsidRPr="001A3B28">
        <w:rPr>
          <w:rFonts w:ascii="Arial" w:eastAsia="Times New Roman" w:hAnsi="Arial" w:cs="Arial"/>
          <w:sz w:val="20"/>
          <w:szCs w:val="20"/>
          <w:lang w:eastAsia="fr-FR"/>
        </w:rPr>
        <w:t xml:space="preserve"> mise à disposition des manuels « utilisateurs », code d'accès et mot de passe ;</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l'assistance</w:t>
      </w:r>
      <w:proofErr w:type="gramEnd"/>
      <w:r w:rsidRPr="001A3B28">
        <w:rPr>
          <w:rFonts w:ascii="Arial" w:eastAsia="Times New Roman" w:hAnsi="Arial" w:cs="Arial"/>
          <w:sz w:val="20"/>
          <w:szCs w:val="20"/>
          <w:lang w:eastAsia="fr-FR"/>
        </w:rPr>
        <w:t xml:space="preserve"> téléphonique pour l'utilisation du service,</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le</w:t>
      </w:r>
      <w:proofErr w:type="gramEnd"/>
      <w:r w:rsidRPr="001A3B28">
        <w:rPr>
          <w:rFonts w:ascii="Arial" w:eastAsia="Times New Roman" w:hAnsi="Arial" w:cs="Arial"/>
          <w:sz w:val="20"/>
          <w:szCs w:val="20"/>
          <w:lang w:eastAsia="fr-FR"/>
        </w:rPr>
        <w:t xml:space="preserve"> droit d'utilisation du service EDIFLEX (connexion sur le serveur), </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l’archivage</w:t>
      </w:r>
      <w:proofErr w:type="gramEnd"/>
      <w:r w:rsidRPr="001A3B28">
        <w:rPr>
          <w:rFonts w:ascii="Arial" w:eastAsia="Times New Roman" w:hAnsi="Arial" w:cs="Arial"/>
          <w:sz w:val="20"/>
          <w:szCs w:val="20"/>
          <w:lang w:eastAsia="fr-FR"/>
        </w:rPr>
        <w:t xml:space="preserve"> des informations sur le serveur durant le chantier.</w:t>
      </w:r>
    </w:p>
    <w:p w:rsidR="001A3B28" w:rsidRPr="001A3B28" w:rsidRDefault="001A3B28" w:rsidP="001A3B28">
      <w:pPr>
        <w:spacing w:after="0" w:line="240" w:lineRule="auto"/>
        <w:ind w:left="709" w:hanging="709"/>
        <w:jc w:val="both"/>
        <w:rPr>
          <w:rFonts w:ascii="Arial" w:eastAsia="Times New Roman" w:hAnsi="Arial"/>
          <w:sz w:val="20"/>
          <w:szCs w:val="20"/>
          <w:lang w:eastAsia="fr-FR"/>
        </w:rPr>
      </w:pPr>
    </w:p>
    <w:p w:rsidR="001A3B28" w:rsidRPr="001A3B28" w:rsidRDefault="001A3B28" w:rsidP="001A3B28">
      <w:pPr>
        <w:spacing w:after="0" w:line="360" w:lineRule="auto"/>
        <w:jc w:val="both"/>
        <w:rPr>
          <w:rFonts w:ascii="Arial" w:eastAsia="Times New Roman" w:hAnsi="Arial" w:cs="Arial"/>
          <w:sz w:val="20"/>
          <w:szCs w:val="20"/>
          <w:lang w:eastAsia="fr-FR"/>
        </w:rPr>
      </w:pPr>
      <w:r w:rsidRPr="001A3B28">
        <w:rPr>
          <w:rFonts w:ascii="Arial" w:eastAsia="Times New Roman" w:hAnsi="Arial" w:cs="Arial"/>
          <w:sz w:val="20"/>
          <w:szCs w:val="20"/>
          <w:lang w:eastAsia="fr-FR"/>
        </w:rPr>
        <w:t>Le coût des fournitures suivantes est à la charge de chaque abonné au service :</w:t>
      </w:r>
    </w:p>
    <w:p w:rsidR="001A3B28" w:rsidRPr="001A3B28" w:rsidRDefault="001A3B28" w:rsidP="001A3B28">
      <w:pPr>
        <w:spacing w:after="0" w:line="360" w:lineRule="auto"/>
        <w:jc w:val="both"/>
        <w:rPr>
          <w:rFonts w:ascii="Arial" w:eastAsia="Times New Roman" w:hAnsi="Arial" w:cs="Arial"/>
          <w:sz w:val="20"/>
          <w:szCs w:val="20"/>
          <w:lang w:eastAsia="fr-FR"/>
        </w:rPr>
      </w:pP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terminal</w:t>
      </w:r>
      <w:proofErr w:type="gramEnd"/>
      <w:r w:rsidRPr="001A3B28">
        <w:rPr>
          <w:rFonts w:ascii="Arial" w:eastAsia="Times New Roman" w:hAnsi="Arial" w:cs="Arial"/>
          <w:sz w:val="20"/>
          <w:szCs w:val="20"/>
          <w:lang w:eastAsia="fr-FR"/>
        </w:rPr>
        <w:t xml:space="preserve"> d’accès au service (ordinateur + accès à Internet),</w:t>
      </w:r>
    </w:p>
    <w:p w:rsidR="001A3B28" w:rsidRPr="001A3B28" w:rsidRDefault="001A3B28" w:rsidP="001A3B28">
      <w:pPr>
        <w:numPr>
          <w:ilvl w:val="0"/>
          <w:numId w:val="5"/>
        </w:numPr>
        <w:spacing w:after="0" w:line="360" w:lineRule="auto"/>
        <w:ind w:left="709" w:hanging="142"/>
        <w:jc w:val="both"/>
        <w:rPr>
          <w:rFonts w:ascii="Arial" w:eastAsia="Times New Roman" w:hAnsi="Arial" w:cs="Arial"/>
          <w:sz w:val="20"/>
          <w:szCs w:val="20"/>
          <w:lang w:eastAsia="fr-FR"/>
        </w:rPr>
      </w:pPr>
      <w:proofErr w:type="gramStart"/>
      <w:r w:rsidRPr="001A3B28">
        <w:rPr>
          <w:rFonts w:ascii="Arial" w:eastAsia="Times New Roman" w:hAnsi="Arial" w:cs="Arial"/>
          <w:sz w:val="20"/>
          <w:szCs w:val="20"/>
          <w:lang w:eastAsia="fr-FR"/>
        </w:rPr>
        <w:t>frais</w:t>
      </w:r>
      <w:proofErr w:type="gramEnd"/>
      <w:r w:rsidRPr="001A3B28">
        <w:rPr>
          <w:rFonts w:ascii="Arial" w:eastAsia="Times New Roman" w:hAnsi="Arial" w:cs="Arial"/>
          <w:sz w:val="20"/>
          <w:szCs w:val="20"/>
          <w:lang w:eastAsia="fr-FR"/>
        </w:rPr>
        <w:t xml:space="preserve"> de télécommunications lors de la connexion au serveur.</w:t>
      </w:r>
    </w:p>
    <w:p w:rsidR="001A3B28" w:rsidRDefault="001A3B28" w:rsidP="001A3B28">
      <w:pPr>
        <w:spacing w:after="0" w:line="240" w:lineRule="auto"/>
        <w:jc w:val="both"/>
        <w:rPr>
          <w:rFonts w:ascii="Arial" w:eastAsia="Times New Roman" w:hAnsi="Arial" w:cs="Arial"/>
          <w:sz w:val="20"/>
          <w:szCs w:val="20"/>
          <w:lang w:eastAsia="fr-FR"/>
        </w:rPr>
      </w:pPr>
    </w:p>
    <w:p w:rsidR="00171416" w:rsidRDefault="00171416" w:rsidP="001A3B28">
      <w:pPr>
        <w:spacing w:after="0" w:line="240" w:lineRule="auto"/>
        <w:jc w:val="both"/>
        <w:rPr>
          <w:rFonts w:ascii="Arial" w:eastAsia="Times New Roman" w:hAnsi="Arial" w:cs="Arial"/>
          <w:sz w:val="20"/>
          <w:szCs w:val="20"/>
          <w:lang w:eastAsia="fr-FR"/>
        </w:rPr>
      </w:pPr>
    </w:p>
    <w:p w:rsidR="00171416" w:rsidRPr="001A3B28" w:rsidRDefault="00171416" w:rsidP="001A3B28">
      <w:pPr>
        <w:spacing w:after="0" w:line="240" w:lineRule="auto"/>
        <w:jc w:val="both"/>
        <w:rPr>
          <w:rFonts w:ascii="Arial" w:eastAsia="Times New Roman" w:hAnsi="Arial" w:cs="Arial"/>
          <w:sz w:val="20"/>
          <w:szCs w:val="20"/>
          <w:lang w:eastAsia="fr-FR"/>
        </w:rPr>
      </w:pPr>
    </w:p>
    <w:p w:rsidR="00216CB0" w:rsidRPr="00C16AE4" w:rsidRDefault="00216CB0" w:rsidP="00C16AE4">
      <w:pPr>
        <w:pBdr>
          <w:bottom w:val="single" w:sz="4" w:space="1" w:color="31849B"/>
        </w:pBdr>
        <w:spacing w:after="0" w:line="240" w:lineRule="auto"/>
        <w:rPr>
          <w:rFonts w:ascii="Arial" w:eastAsia="Times New Roman" w:hAnsi="Arial" w:cs="Arial"/>
          <w:b/>
          <w:color w:val="31849B"/>
          <w:sz w:val="20"/>
          <w:szCs w:val="20"/>
          <w:lang w:eastAsia="fr-FR"/>
        </w:rPr>
      </w:pPr>
      <w:r w:rsidRPr="00C16AE4">
        <w:rPr>
          <w:rFonts w:ascii="Arial" w:eastAsia="Times New Roman" w:hAnsi="Arial" w:cs="Arial"/>
          <w:b/>
          <w:color w:val="31849B"/>
          <w:sz w:val="20"/>
          <w:szCs w:val="20"/>
          <w:lang w:eastAsia="fr-FR"/>
        </w:rPr>
        <w:t xml:space="preserve">8 - </w:t>
      </w:r>
      <w:r w:rsidR="002F10D7" w:rsidRPr="00C16AE4">
        <w:rPr>
          <w:rFonts w:ascii="Arial" w:eastAsia="Times New Roman" w:hAnsi="Arial" w:cs="Arial"/>
          <w:b/>
          <w:color w:val="31849B"/>
          <w:sz w:val="20"/>
          <w:szCs w:val="20"/>
          <w:lang w:eastAsia="fr-FR"/>
        </w:rPr>
        <w:t>DERO</w:t>
      </w:r>
      <w:r w:rsidR="002F10D7">
        <w:rPr>
          <w:rFonts w:ascii="Arial" w:eastAsia="Times New Roman" w:hAnsi="Arial" w:cs="Arial"/>
          <w:b/>
          <w:color w:val="31849B"/>
          <w:sz w:val="20"/>
          <w:szCs w:val="20"/>
          <w:lang w:eastAsia="fr-FR"/>
        </w:rPr>
        <w:t>GATION RELATIVE</w:t>
      </w:r>
      <w:r w:rsidR="006049ED">
        <w:rPr>
          <w:rFonts w:ascii="Arial" w:eastAsia="Times New Roman" w:hAnsi="Arial" w:cs="Arial"/>
          <w:b/>
          <w:color w:val="31849B"/>
          <w:sz w:val="20"/>
          <w:szCs w:val="20"/>
          <w:lang w:eastAsia="fr-FR"/>
        </w:rPr>
        <w:t xml:space="preserve"> A L’ARTICLE 11</w:t>
      </w:r>
      <w:r w:rsidRPr="00C16AE4">
        <w:rPr>
          <w:rFonts w:ascii="Arial" w:eastAsia="Times New Roman" w:hAnsi="Arial" w:cs="Arial"/>
          <w:b/>
          <w:color w:val="31849B"/>
          <w:sz w:val="20"/>
          <w:szCs w:val="20"/>
          <w:lang w:eastAsia="fr-FR"/>
        </w:rPr>
        <w:t xml:space="preserve"> DU CCAG</w:t>
      </w:r>
      <w:r w:rsidR="006049ED">
        <w:rPr>
          <w:rFonts w:ascii="Arial" w:eastAsia="Times New Roman" w:hAnsi="Arial" w:cs="Arial"/>
          <w:b/>
          <w:color w:val="31849B"/>
          <w:sz w:val="20"/>
          <w:szCs w:val="20"/>
          <w:lang w:eastAsia="fr-FR"/>
        </w:rPr>
        <w:t xml:space="preserve"> PI</w:t>
      </w:r>
    </w:p>
    <w:p w:rsidR="00216CB0" w:rsidRDefault="00216CB0" w:rsidP="00216CB0">
      <w:pPr>
        <w:rPr>
          <w:rFonts w:ascii="Arial" w:hAnsi="Arial" w:cs="Arial"/>
        </w:rPr>
      </w:pPr>
    </w:p>
    <w:p w:rsidR="00216CB0" w:rsidRPr="009A5C73" w:rsidRDefault="00216CB0" w:rsidP="009A5C73">
      <w:pPr>
        <w:spacing w:after="0" w:line="360" w:lineRule="auto"/>
        <w:jc w:val="both"/>
        <w:rPr>
          <w:rFonts w:ascii="Arial" w:eastAsia="Times New Roman" w:hAnsi="Arial" w:cs="Arial"/>
          <w:sz w:val="20"/>
          <w:szCs w:val="20"/>
          <w:lang w:eastAsia="fr-FR"/>
        </w:rPr>
      </w:pPr>
      <w:r w:rsidRPr="009A5C73">
        <w:rPr>
          <w:rFonts w:ascii="Arial" w:eastAsia="Times New Roman" w:hAnsi="Arial" w:cs="Arial"/>
          <w:sz w:val="20"/>
          <w:szCs w:val="20"/>
          <w:lang w:eastAsia="fr-FR"/>
        </w:rPr>
        <w:t xml:space="preserve">Les dates de présentation des situations par l’entreprise, de vérification et de validation par les représentants cités au chapitre 2 ci-dessus, telles qu’elles figurent sur les écrans et les éditions du service </w:t>
      </w:r>
      <w:proofErr w:type="spellStart"/>
      <w:r w:rsidRPr="009A5C73">
        <w:rPr>
          <w:rFonts w:ascii="Arial" w:eastAsia="Times New Roman" w:hAnsi="Arial" w:cs="Arial"/>
          <w:sz w:val="20"/>
          <w:szCs w:val="20"/>
          <w:lang w:eastAsia="fr-FR"/>
        </w:rPr>
        <w:t>Ediflex</w:t>
      </w:r>
      <w:proofErr w:type="spellEnd"/>
      <w:r w:rsidRPr="009A5C73">
        <w:rPr>
          <w:rFonts w:ascii="Arial" w:eastAsia="Times New Roman" w:hAnsi="Arial" w:cs="Arial"/>
          <w:sz w:val="20"/>
          <w:szCs w:val="20"/>
          <w:lang w:eastAsia="fr-FR"/>
        </w:rPr>
        <w:t xml:space="preserve">, font foi. Ces dates valent </w:t>
      </w:r>
      <w:proofErr w:type="gramStart"/>
      <w:r w:rsidRPr="009A5C73">
        <w:rPr>
          <w:rFonts w:ascii="Arial" w:eastAsia="Times New Roman" w:hAnsi="Arial" w:cs="Arial"/>
          <w:sz w:val="20"/>
          <w:szCs w:val="20"/>
          <w:lang w:eastAsia="fr-FR"/>
        </w:rPr>
        <w:t>accusé</w:t>
      </w:r>
      <w:proofErr w:type="gramEnd"/>
      <w:r w:rsidRPr="009A5C73">
        <w:rPr>
          <w:rFonts w:ascii="Arial" w:eastAsia="Times New Roman" w:hAnsi="Arial" w:cs="Arial"/>
          <w:sz w:val="20"/>
          <w:szCs w:val="20"/>
          <w:lang w:eastAsia="fr-FR"/>
        </w:rPr>
        <w:t xml:space="preserve"> de réception pour l’abonné suivant, conformément au circuit de vérification imposé par le service.</w:t>
      </w:r>
    </w:p>
    <w:p w:rsidR="00216CB0" w:rsidRPr="009A5C73" w:rsidRDefault="00216CB0" w:rsidP="009A5C73">
      <w:pPr>
        <w:spacing w:after="0" w:line="360" w:lineRule="auto"/>
        <w:jc w:val="both"/>
        <w:rPr>
          <w:rFonts w:ascii="Arial" w:eastAsia="Times New Roman" w:hAnsi="Arial" w:cs="Arial"/>
          <w:sz w:val="20"/>
          <w:szCs w:val="20"/>
          <w:lang w:eastAsia="fr-FR"/>
        </w:rPr>
      </w:pPr>
      <w:r w:rsidRPr="009A5C73">
        <w:rPr>
          <w:rFonts w:ascii="Arial" w:eastAsia="Times New Roman" w:hAnsi="Arial" w:cs="Arial"/>
          <w:sz w:val="20"/>
          <w:szCs w:val="20"/>
          <w:lang w:eastAsia="fr-FR"/>
        </w:rPr>
        <w:tab/>
      </w:r>
    </w:p>
    <w:p w:rsidR="00216CB0" w:rsidRPr="009A5C73" w:rsidRDefault="00216CB0" w:rsidP="009A5C73">
      <w:pPr>
        <w:spacing w:after="0" w:line="360" w:lineRule="auto"/>
        <w:jc w:val="both"/>
        <w:rPr>
          <w:rFonts w:ascii="Arial" w:eastAsia="Times New Roman" w:hAnsi="Arial" w:cs="Arial"/>
          <w:sz w:val="20"/>
          <w:szCs w:val="20"/>
          <w:lang w:eastAsia="fr-FR"/>
        </w:rPr>
      </w:pPr>
      <w:r w:rsidRPr="009A5C73">
        <w:rPr>
          <w:rFonts w:ascii="Arial" w:eastAsia="Times New Roman" w:hAnsi="Arial" w:cs="Arial"/>
          <w:sz w:val="20"/>
          <w:szCs w:val="20"/>
          <w:lang w:eastAsia="fr-FR"/>
        </w:rPr>
        <w:t xml:space="preserve">Les décomptes mensuels </w:t>
      </w:r>
      <w:r w:rsidR="000626F0">
        <w:rPr>
          <w:rFonts w:ascii="Arial" w:eastAsia="Times New Roman" w:hAnsi="Arial" w:cs="Arial"/>
          <w:sz w:val="20"/>
          <w:szCs w:val="20"/>
          <w:lang w:eastAsia="fr-FR"/>
        </w:rPr>
        <w:t xml:space="preserve">et le décompte final </w:t>
      </w:r>
      <w:r w:rsidRPr="009A5C73">
        <w:rPr>
          <w:rFonts w:ascii="Arial" w:eastAsia="Times New Roman" w:hAnsi="Arial" w:cs="Arial"/>
          <w:sz w:val="20"/>
          <w:szCs w:val="20"/>
          <w:lang w:eastAsia="fr-FR"/>
        </w:rPr>
        <w:t xml:space="preserve">sont pris en charge et gérés par le service </w:t>
      </w:r>
      <w:proofErr w:type="spellStart"/>
      <w:r w:rsidRPr="009A5C73">
        <w:rPr>
          <w:rFonts w:ascii="Arial" w:eastAsia="Times New Roman" w:hAnsi="Arial" w:cs="Arial"/>
          <w:sz w:val="20"/>
          <w:szCs w:val="20"/>
          <w:lang w:eastAsia="fr-FR"/>
        </w:rPr>
        <w:t>Ediflex</w:t>
      </w:r>
      <w:proofErr w:type="spellEnd"/>
      <w:r w:rsidRPr="009A5C73">
        <w:rPr>
          <w:rFonts w:ascii="Arial" w:eastAsia="Times New Roman" w:hAnsi="Arial" w:cs="Arial"/>
          <w:sz w:val="20"/>
          <w:szCs w:val="20"/>
          <w:lang w:eastAsia="fr-FR"/>
        </w:rPr>
        <w:t xml:space="preserve"> qui détermine les informations qui les constituent, leur circuit de vérification et le modèle de présentation des pièces justificatives transmises au comptable public. Le service </w:t>
      </w:r>
      <w:proofErr w:type="spellStart"/>
      <w:r w:rsidRPr="009A5C73">
        <w:rPr>
          <w:rFonts w:ascii="Arial" w:eastAsia="Times New Roman" w:hAnsi="Arial" w:cs="Arial"/>
          <w:sz w:val="20"/>
          <w:szCs w:val="20"/>
          <w:lang w:eastAsia="fr-FR"/>
        </w:rPr>
        <w:t>Ediflex</w:t>
      </w:r>
      <w:proofErr w:type="spellEnd"/>
      <w:r w:rsidRPr="009A5C73">
        <w:rPr>
          <w:rFonts w:ascii="Arial" w:eastAsia="Times New Roman" w:hAnsi="Arial" w:cs="Arial"/>
          <w:sz w:val="20"/>
          <w:szCs w:val="20"/>
          <w:lang w:eastAsia="fr-FR"/>
        </w:rPr>
        <w:t xml:space="preserve"> évite ainsi les transmissions systématiques de décomptes sur support papier, l’envoi de lettres recommandées.</w:t>
      </w:r>
    </w:p>
    <w:p w:rsidR="004E067A" w:rsidRDefault="004E067A" w:rsidP="00216CB0">
      <w:pPr>
        <w:keepNext/>
        <w:spacing w:before="240" w:after="60" w:line="240" w:lineRule="auto"/>
        <w:outlineLvl w:val="0"/>
      </w:pPr>
    </w:p>
    <w:p w:rsidR="00D60496" w:rsidRDefault="00D60496" w:rsidP="00216CB0">
      <w:pPr>
        <w:keepNext/>
        <w:spacing w:before="240" w:after="60" w:line="240" w:lineRule="auto"/>
        <w:outlineLvl w:val="0"/>
      </w:pPr>
      <w:r>
        <w:t>Date</w:t>
      </w:r>
      <w:r>
        <w:tab/>
      </w:r>
      <w:r>
        <w:tab/>
      </w:r>
      <w:r>
        <w:tab/>
      </w:r>
      <w:r>
        <w:tab/>
      </w:r>
      <w:r>
        <w:tab/>
      </w:r>
      <w:r>
        <w:tab/>
      </w:r>
      <w:r>
        <w:tab/>
      </w:r>
      <w:r>
        <w:tab/>
        <w:t>Cachet et signature</w:t>
      </w:r>
      <w:bookmarkStart w:id="3" w:name="_GoBack"/>
      <w:bookmarkEnd w:id="3"/>
    </w:p>
    <w:sectPr w:rsidR="00D60496" w:rsidSect="00222D29">
      <w:footerReference w:type="even" r:id="rId9"/>
      <w:footerReference w:type="default" r:id="rId10"/>
      <w:footerReference w:type="first" r:id="rId11"/>
      <w:pgSz w:w="11906" w:h="16838"/>
      <w:pgMar w:top="851" w:right="998" w:bottom="851" w:left="9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1DE" w:rsidRDefault="006971DE">
      <w:pPr>
        <w:spacing w:after="0" w:line="240" w:lineRule="auto"/>
      </w:pPr>
      <w:r>
        <w:separator/>
      </w:r>
    </w:p>
  </w:endnote>
  <w:endnote w:type="continuationSeparator" w:id="0">
    <w:p w:rsidR="006971DE" w:rsidRDefault="0069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Default="00222D29" w:rsidP="00222D29">
    <w:pPr>
      <w:pStyle w:val="Pieddepage"/>
      <w:framePr w:wrap="around" w:vAnchor="text" w:hAnchor="margin" w:xAlign="right" w:y="1"/>
      <w:rPr>
        <w:rStyle w:val="Numrodepage"/>
      </w:rPr>
    </w:pPr>
    <w:r>
      <w:rPr>
        <w:rStyle w:val="Numrodepage"/>
      </w:rPr>
      <w:fldChar w:fldCharType="begin"/>
    </w:r>
    <w:r w:rsidR="00C16AE4">
      <w:rPr>
        <w:rStyle w:val="Numrodepage"/>
      </w:rPr>
      <w:instrText>PAGE</w:instrText>
    </w:r>
    <w:r>
      <w:rPr>
        <w:rStyle w:val="Numrodepage"/>
      </w:rPr>
      <w:instrText xml:space="preserve">  </w:instrText>
    </w:r>
    <w:r>
      <w:rPr>
        <w:rStyle w:val="Numrodepage"/>
      </w:rPr>
      <w:fldChar w:fldCharType="end"/>
    </w:r>
  </w:p>
  <w:p w:rsidR="00222D29" w:rsidRDefault="00222D29" w:rsidP="00222D2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Pr="005E00AD" w:rsidRDefault="00222D29" w:rsidP="005E00AD">
    <w:pPr>
      <w:pStyle w:val="Pieddepage"/>
      <w:jc w:val="right"/>
      <w:rPr>
        <w:rFonts w:ascii="Arial" w:hAnsi="Arial" w:cs="Arial"/>
        <w:sz w:val="16"/>
        <w:szCs w:val="16"/>
      </w:rPr>
    </w:pPr>
    <w:r w:rsidRPr="005E00AD">
      <w:rPr>
        <w:rFonts w:ascii="Arial" w:hAnsi="Arial" w:cs="Arial"/>
        <w:sz w:val="16"/>
        <w:szCs w:val="16"/>
      </w:rPr>
      <w:fldChar w:fldCharType="begin"/>
    </w:r>
    <w:r w:rsidRPr="005E00AD">
      <w:rPr>
        <w:rFonts w:ascii="Arial" w:hAnsi="Arial" w:cs="Arial"/>
        <w:sz w:val="16"/>
        <w:szCs w:val="16"/>
      </w:rPr>
      <w:instrText xml:space="preserve"> </w:instrText>
    </w:r>
    <w:r w:rsidR="00C16AE4" w:rsidRPr="005E00AD">
      <w:rPr>
        <w:rFonts w:ascii="Arial" w:hAnsi="Arial" w:cs="Arial"/>
        <w:sz w:val="16"/>
        <w:szCs w:val="16"/>
      </w:rPr>
      <w:instrText>PAGE</w:instrText>
    </w:r>
    <w:r w:rsidRPr="005E00AD">
      <w:rPr>
        <w:rFonts w:ascii="Arial" w:hAnsi="Arial" w:cs="Arial"/>
        <w:sz w:val="16"/>
        <w:szCs w:val="16"/>
      </w:rPr>
      <w:instrText xml:space="preserve">   \* MERGEFORMAT </w:instrText>
    </w:r>
    <w:r w:rsidRPr="005E00AD">
      <w:rPr>
        <w:rFonts w:ascii="Arial" w:hAnsi="Arial" w:cs="Arial"/>
        <w:sz w:val="16"/>
        <w:szCs w:val="16"/>
      </w:rPr>
      <w:fldChar w:fldCharType="separate"/>
    </w:r>
    <w:r w:rsidR="00D60496">
      <w:rPr>
        <w:rFonts w:ascii="Arial" w:hAnsi="Arial" w:cs="Arial"/>
        <w:noProof/>
        <w:sz w:val="16"/>
        <w:szCs w:val="16"/>
      </w:rPr>
      <w:t>5</w:t>
    </w:r>
    <w:r w:rsidRPr="005E00AD">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Default="00222D29" w:rsidP="00222D29">
    <w:pPr>
      <w:pStyle w:val="Pieddepage"/>
      <w:framePr w:wrap="around" w:vAnchor="text" w:hAnchor="margin" w:xAlign="right" w:y="1"/>
      <w:rPr>
        <w:rStyle w:val="Numrodepage"/>
      </w:rPr>
    </w:pPr>
  </w:p>
  <w:p w:rsidR="00222D29" w:rsidRDefault="00222D29" w:rsidP="00222D2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1DE" w:rsidRDefault="006971DE">
      <w:pPr>
        <w:spacing w:after="0" w:line="240" w:lineRule="auto"/>
      </w:pPr>
      <w:r>
        <w:separator/>
      </w:r>
    </w:p>
  </w:footnote>
  <w:footnote w:type="continuationSeparator" w:id="0">
    <w:p w:rsidR="006971DE" w:rsidRDefault="006971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026C7"/>
    <w:multiLevelType w:val="hybridMultilevel"/>
    <w:tmpl w:val="5F9C41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3B7284"/>
    <w:multiLevelType w:val="hybridMultilevel"/>
    <w:tmpl w:val="F6B2BC12"/>
    <w:lvl w:ilvl="0" w:tplc="94CE354E">
      <w:start w:val="1"/>
      <w:numFmt w:val="bullet"/>
      <w:lvlText w:val=""/>
      <w:lvlJc w:val="left"/>
      <w:pPr>
        <w:ind w:left="2422" w:hanging="360"/>
      </w:pPr>
      <w:rPr>
        <w:rFonts w:ascii="Symbol" w:hAnsi="Symbol" w:hint="default"/>
      </w:rPr>
    </w:lvl>
    <w:lvl w:ilvl="1" w:tplc="040C0003" w:tentative="1">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3" w15:restartNumberingAfterBreak="0">
    <w:nsid w:val="1D853D01"/>
    <w:multiLevelType w:val="hybridMultilevel"/>
    <w:tmpl w:val="FB045600"/>
    <w:lvl w:ilvl="0" w:tplc="8956250C">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2145"/>
        </w:tabs>
        <w:ind w:left="2145" w:hanging="360"/>
      </w:pPr>
      <w:rPr>
        <w:rFonts w:ascii="Courier New" w:hAnsi="Courier New" w:cs="Courier New" w:hint="default"/>
      </w:rPr>
    </w:lvl>
    <w:lvl w:ilvl="2" w:tplc="7504B1A2">
      <w:start w:val="1"/>
      <w:numFmt w:val="bullet"/>
      <w:lvlText w:val=""/>
      <w:lvlJc w:val="left"/>
      <w:pPr>
        <w:tabs>
          <w:tab w:val="num" w:pos="2865"/>
        </w:tabs>
        <w:ind w:left="2865" w:hanging="360"/>
      </w:pPr>
      <w:rPr>
        <w:rFonts w:ascii="Symbol" w:hAnsi="Symbol" w:hint="default"/>
        <w:color w:val="auto"/>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2D1714A8"/>
    <w:multiLevelType w:val="hybridMultilevel"/>
    <w:tmpl w:val="55643606"/>
    <w:lvl w:ilvl="0" w:tplc="FFFFFFFF">
      <w:numFmt w:val="bullet"/>
      <w:lvlText w:val=""/>
      <w:legacy w:legacy="1" w:legacySpace="0" w:legacyIndent="360"/>
      <w:lvlJc w:val="left"/>
      <w:pPr>
        <w:ind w:left="1776" w:hanging="360"/>
      </w:pPr>
      <w:rPr>
        <w:rFonts w:ascii="Symbol" w:hAnsi="Symbol" w:hint="default"/>
      </w:rPr>
    </w:lvl>
    <w:lvl w:ilvl="1" w:tplc="040C0003">
      <w:start w:val="1"/>
      <w:numFmt w:val="bullet"/>
      <w:lvlText w:val="o"/>
      <w:lvlJc w:val="left"/>
      <w:pPr>
        <w:tabs>
          <w:tab w:val="num" w:pos="1776"/>
        </w:tabs>
        <w:ind w:left="1776" w:hanging="360"/>
      </w:pPr>
      <w:rPr>
        <w:rFonts w:ascii="Courier New" w:hAnsi="Courier New" w:cs="Courier New" w:hint="default"/>
      </w:rPr>
    </w:lvl>
    <w:lvl w:ilvl="2" w:tplc="040C0005" w:tentative="1">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cs="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cs="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abstractNum w:abstractNumId="5" w15:restartNumberingAfterBreak="0">
    <w:nsid w:val="3F612B72"/>
    <w:multiLevelType w:val="singleLevel"/>
    <w:tmpl w:val="FFFFFFFF"/>
    <w:lvl w:ilvl="0">
      <w:numFmt w:val="decimal"/>
      <w:lvlText w:val="*"/>
      <w:lvlJc w:val="left"/>
    </w:lvl>
  </w:abstractNum>
  <w:abstractNum w:abstractNumId="6" w15:restartNumberingAfterBreak="0">
    <w:nsid w:val="65C618CF"/>
    <w:multiLevelType w:val="singleLevel"/>
    <w:tmpl w:val="06D451DE"/>
    <w:lvl w:ilvl="0">
      <w:start w:val="4"/>
      <w:numFmt w:val="bullet"/>
      <w:lvlText w:val="-"/>
      <w:lvlJc w:val="left"/>
      <w:pPr>
        <w:tabs>
          <w:tab w:val="num" w:pos="2160"/>
        </w:tabs>
        <w:ind w:left="2160" w:hanging="360"/>
      </w:pPr>
      <w:rPr>
        <w:rFonts w:hint="default"/>
      </w:rPr>
    </w:lvl>
  </w:abstractNum>
  <w:abstractNum w:abstractNumId="7" w15:restartNumberingAfterBreak="0">
    <w:nsid w:val="7D2417C4"/>
    <w:multiLevelType w:val="hybridMultilevel"/>
    <w:tmpl w:val="D39EFFE2"/>
    <w:lvl w:ilvl="0" w:tplc="FFFFFFFF">
      <w:numFmt w:val="bullet"/>
      <w:lvlText w:val=""/>
      <w:legacy w:legacy="1" w:legacySpace="0" w:legacyIndent="360"/>
      <w:lvlJc w:val="left"/>
      <w:pPr>
        <w:ind w:left="1776" w:hanging="360"/>
      </w:pPr>
      <w:rPr>
        <w:rFonts w:ascii="Symbol" w:hAnsi="Symbol" w:hint="default"/>
      </w:rPr>
    </w:lvl>
    <w:lvl w:ilvl="1" w:tplc="040C0003" w:tentative="1">
      <w:start w:val="1"/>
      <w:numFmt w:val="bullet"/>
      <w:lvlText w:val="o"/>
      <w:lvlJc w:val="left"/>
      <w:pPr>
        <w:tabs>
          <w:tab w:val="num" w:pos="1776"/>
        </w:tabs>
        <w:ind w:left="1776" w:hanging="360"/>
      </w:pPr>
      <w:rPr>
        <w:rFonts w:ascii="Courier New" w:hAnsi="Courier New" w:cs="Courier New" w:hint="default"/>
      </w:rPr>
    </w:lvl>
    <w:lvl w:ilvl="2" w:tplc="040C0005" w:tentative="1">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cs="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cs="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num w:numId="1">
    <w:abstractNumId w:val="6"/>
  </w:num>
  <w:num w:numId="2">
    <w:abstractNumId w:val="0"/>
    <w:lvlOverride w:ilvl="0">
      <w:lvl w:ilvl="0">
        <w:numFmt w:val="bullet"/>
        <w:lvlText w:val=""/>
        <w:legacy w:legacy="1" w:legacySpace="0" w:legacyIndent="360"/>
        <w:lvlJc w:val="left"/>
        <w:pPr>
          <w:ind w:left="1440" w:hanging="360"/>
        </w:pPr>
        <w:rPr>
          <w:rFonts w:ascii="Symbol" w:hAnsi="Symbol" w:hint="default"/>
        </w:rPr>
      </w:lvl>
    </w:lvlOverride>
  </w:num>
  <w:num w:numId="3">
    <w:abstractNumId w:val="4"/>
  </w:num>
  <w:num w:numId="4">
    <w:abstractNumId w:val="7"/>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1DE"/>
    <w:rsid w:val="00031AA0"/>
    <w:rsid w:val="000626F0"/>
    <w:rsid w:val="00073CD7"/>
    <w:rsid w:val="00106346"/>
    <w:rsid w:val="00171416"/>
    <w:rsid w:val="001A3B28"/>
    <w:rsid w:val="001F0B85"/>
    <w:rsid w:val="00216CB0"/>
    <w:rsid w:val="00222D29"/>
    <w:rsid w:val="00223017"/>
    <w:rsid w:val="00247A99"/>
    <w:rsid w:val="002F10D7"/>
    <w:rsid w:val="00395EC0"/>
    <w:rsid w:val="003D259D"/>
    <w:rsid w:val="004207F3"/>
    <w:rsid w:val="00463F36"/>
    <w:rsid w:val="0047217E"/>
    <w:rsid w:val="004A718C"/>
    <w:rsid w:val="004C1A51"/>
    <w:rsid w:val="004E067A"/>
    <w:rsid w:val="004F27FE"/>
    <w:rsid w:val="00517AD9"/>
    <w:rsid w:val="005218C4"/>
    <w:rsid w:val="00547781"/>
    <w:rsid w:val="0056294B"/>
    <w:rsid w:val="00591444"/>
    <w:rsid w:val="00593001"/>
    <w:rsid w:val="005E00AD"/>
    <w:rsid w:val="005F714B"/>
    <w:rsid w:val="006049ED"/>
    <w:rsid w:val="00625A0F"/>
    <w:rsid w:val="006523F8"/>
    <w:rsid w:val="00681E14"/>
    <w:rsid w:val="006971DE"/>
    <w:rsid w:val="006A04DF"/>
    <w:rsid w:val="006A1520"/>
    <w:rsid w:val="006B2525"/>
    <w:rsid w:val="007022B3"/>
    <w:rsid w:val="00734077"/>
    <w:rsid w:val="007D5EFF"/>
    <w:rsid w:val="00801CF0"/>
    <w:rsid w:val="00806BEA"/>
    <w:rsid w:val="00856E27"/>
    <w:rsid w:val="00891092"/>
    <w:rsid w:val="008978F3"/>
    <w:rsid w:val="008A51CD"/>
    <w:rsid w:val="008D2062"/>
    <w:rsid w:val="00931650"/>
    <w:rsid w:val="00972F6B"/>
    <w:rsid w:val="009A5C73"/>
    <w:rsid w:val="009C7349"/>
    <w:rsid w:val="009F0DDE"/>
    <w:rsid w:val="00A12B6F"/>
    <w:rsid w:val="00AC58E0"/>
    <w:rsid w:val="00AE3B9A"/>
    <w:rsid w:val="00B574F1"/>
    <w:rsid w:val="00BD0297"/>
    <w:rsid w:val="00C11926"/>
    <w:rsid w:val="00C16AE4"/>
    <w:rsid w:val="00C318EE"/>
    <w:rsid w:val="00CA49B2"/>
    <w:rsid w:val="00D60496"/>
    <w:rsid w:val="00D71C3D"/>
    <w:rsid w:val="00DE2159"/>
    <w:rsid w:val="00E02649"/>
    <w:rsid w:val="00E50754"/>
    <w:rsid w:val="00E63F62"/>
    <w:rsid w:val="00EF6252"/>
    <w:rsid w:val="00F66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4AB41"/>
  <w15:docId w15:val="{D4225EBF-F5CF-477A-9918-78C2A336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1A3B28"/>
    <w:pPr>
      <w:tabs>
        <w:tab w:val="center" w:pos="4536"/>
        <w:tab w:val="right" w:pos="9072"/>
      </w:tabs>
    </w:pPr>
  </w:style>
  <w:style w:type="character" w:customStyle="1" w:styleId="PieddepageCar">
    <w:name w:val="Pied de page Car"/>
    <w:link w:val="Pieddepage"/>
    <w:uiPriority w:val="99"/>
    <w:semiHidden/>
    <w:rsid w:val="001A3B28"/>
    <w:rPr>
      <w:sz w:val="22"/>
      <w:szCs w:val="22"/>
      <w:lang w:eastAsia="en-US"/>
    </w:rPr>
  </w:style>
  <w:style w:type="character" w:styleId="Numrodepage">
    <w:name w:val="page number"/>
    <w:rsid w:val="001A3B28"/>
  </w:style>
  <w:style w:type="paragraph" w:customStyle="1" w:styleId="Listecouleur-Accent11">
    <w:name w:val="Liste couleur - Accent 11"/>
    <w:basedOn w:val="Normal"/>
    <w:uiPriority w:val="34"/>
    <w:qFormat/>
    <w:rsid w:val="001A3B28"/>
    <w:pPr>
      <w:ind w:left="708"/>
    </w:pPr>
  </w:style>
  <w:style w:type="character" w:styleId="Lienhypertexte">
    <w:name w:val="Hyperlink"/>
    <w:uiPriority w:val="99"/>
    <w:unhideWhenUsed/>
    <w:rsid w:val="005F714B"/>
    <w:rPr>
      <w:color w:val="0563C1"/>
      <w:u w:val="single"/>
    </w:rPr>
  </w:style>
  <w:style w:type="paragraph" w:styleId="En-tte">
    <w:name w:val="header"/>
    <w:basedOn w:val="Normal"/>
    <w:link w:val="En-tteCar"/>
    <w:uiPriority w:val="99"/>
    <w:unhideWhenUsed/>
    <w:rsid w:val="005E00AD"/>
    <w:pPr>
      <w:tabs>
        <w:tab w:val="center" w:pos="4536"/>
        <w:tab w:val="right" w:pos="9072"/>
      </w:tabs>
    </w:pPr>
  </w:style>
  <w:style w:type="character" w:customStyle="1" w:styleId="En-tteCar">
    <w:name w:val="En-tête Car"/>
    <w:link w:val="En-tte"/>
    <w:uiPriority w:val="99"/>
    <w:rsid w:val="005E00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56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epictur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B293-B368-4F20-9B52-03E8B2CE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2011</Words>
  <Characters>11064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13049</CharactersWithSpaces>
  <SharedDoc>false</SharedDoc>
  <HLinks>
    <vt:vector size="6" baseType="variant">
      <vt:variant>
        <vt:i4>2883608</vt:i4>
      </vt:variant>
      <vt:variant>
        <vt:i4>0</vt:i4>
      </vt:variant>
      <vt:variant>
        <vt:i4>0</vt:i4>
      </vt:variant>
      <vt:variant>
        <vt:i4>5</vt:i4>
      </vt:variant>
      <vt:variant>
        <vt:lpwstr>mailto:support@epicture.fr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GUIOT</dc:creator>
  <cp:lastModifiedBy>GOLDMAN Joel</cp:lastModifiedBy>
  <cp:revision>3</cp:revision>
  <dcterms:created xsi:type="dcterms:W3CDTF">2025-04-07T15:35:00Z</dcterms:created>
  <dcterms:modified xsi:type="dcterms:W3CDTF">2025-04-10T12:14:00Z</dcterms:modified>
</cp:coreProperties>
</file>