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32FD75AB" w:rsidR="00233798" w:rsidRPr="00233798" w:rsidRDefault="00D02464"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w:t>
          </w:r>
          <w: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sdtContent>
      </w:sdt>
    </w:p>
    <w:p w14:paraId="024BB819" w14:textId="77777777" w:rsidR="00233798" w:rsidRPr="00F1761C" w:rsidRDefault="00233798" w:rsidP="00233798">
      <w:pPr>
        <w:ind w:firstLine="284"/>
        <w:jc w:val="center"/>
        <w:rPr>
          <w:b/>
          <w:i/>
          <w:color w:val="3F3F3F" w:themeColor="text1"/>
          <w:sz w:val="24"/>
        </w:rPr>
      </w:pPr>
    </w:p>
    <w:p w14:paraId="2DE23CC6" w14:textId="14F24697" w:rsidR="00233798" w:rsidRPr="00F1761C" w:rsidRDefault="00D02464"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Calibri"/>
            <w:b/>
            <w:bCs/>
            <w:sz w:val="36"/>
            <w:szCs w:val="36"/>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sidRPr="0078087E">
            <w:rPr>
              <w:rFonts w:eastAsia="Calibri"/>
              <w:b/>
              <w:bCs/>
              <w:sz w:val="36"/>
              <w:szCs w:val="36"/>
            </w:rPr>
            <w:t xml:space="preserve">Autorisation d’occupation temporaire (AOT) du domaine public pour </w:t>
          </w:r>
          <w:r w:rsidR="0078087E" w:rsidRPr="0078087E">
            <w:rPr>
              <w:rFonts w:eastAsia="Calibri"/>
              <w:b/>
              <w:bCs/>
              <w:sz w:val="36"/>
              <w:szCs w:val="36"/>
            </w:rPr>
            <w:br/>
            <w:t>l’implantation et l’exploitation de distributeurs automatiques de boissons et de denrées alimentaires – site de l’INSPÉ de Cahors</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D02464">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D02464">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D02464">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D02464">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17D8F07A"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PREMABULE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71FF756E" w:rsidR="0043381D" w:rsidRDefault="00486FA2" w:rsidP="0043381D">
      <w:pPr>
        <w:pStyle w:val="DirectionAchats1Title"/>
      </w:pPr>
      <w:r>
        <w:t xml:space="preserve"> </w:t>
      </w:r>
      <w:bookmarkStart w:id="7" w:name="_Toc194501537"/>
      <w:r w:rsidR="0043381D">
        <w:t>CADRE 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73796E82" w:rsidR="00FB5B0C" w:rsidRPr="00486FA2" w:rsidRDefault="00FB5B0C" w:rsidP="00486FA2">
            <w:pPr>
              <w:ind w:firstLine="0"/>
              <w:jc w:val="left"/>
              <w:rPr>
                <w:szCs w:val="20"/>
              </w:rPr>
            </w:pPr>
            <w:r w:rsidRPr="00486FA2">
              <w:rPr>
                <w:szCs w:val="20"/>
              </w:rPr>
              <w:t>Description technique et présentation détaillée des appareils (marque - encombrement – poids – performances - état neuf ou ancien - visuel pour chaque type de machines)</w:t>
            </w:r>
            <w:r w:rsidR="00677AB0" w:rsidRPr="00486FA2">
              <w:rPr>
                <w:szCs w:val="20"/>
              </w:rPr>
              <w:t> : 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05470419" w:rsidR="00FB5B0C" w:rsidRPr="00486FA2" w:rsidRDefault="00FB5B0C" w:rsidP="00486FA2">
            <w:pPr>
              <w:ind w:firstLine="0"/>
              <w:jc w:val="left"/>
              <w:rPr>
                <w:szCs w:val="20"/>
              </w:rPr>
            </w:pPr>
            <w:r w:rsidRPr="00486FA2">
              <w:rPr>
                <w:szCs w:val="20"/>
              </w:rPr>
              <w:t>Economie d’énergie (Classification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0877BAFA" w:rsidR="00613995" w:rsidRPr="00313F24" w:rsidRDefault="00613995" w:rsidP="00486FA2">
            <w:pPr>
              <w:ind w:firstLine="0"/>
              <w:jc w:val="left"/>
              <w:rPr>
                <w:szCs w:val="20"/>
              </w:rPr>
            </w:pPr>
            <w:r w:rsidRPr="004E1B28">
              <w:rPr>
                <w:szCs w:val="20"/>
              </w:rPr>
              <w:lastRenderedPageBreak/>
              <w:t>Description de l’organisation du tri des déchets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77777777" w:rsidR="00613995" w:rsidRPr="004E1B28" w:rsidRDefault="00613995" w:rsidP="00486FA2">
            <w:pPr>
              <w:pStyle w:val="Paragraphedeliste"/>
              <w:numPr>
                <w:ilvl w:val="0"/>
                <w:numId w:val="50"/>
              </w:numPr>
              <w:jc w:val="left"/>
              <w:rPr>
                <w:szCs w:val="20"/>
              </w:rPr>
            </w:pPr>
            <w:r w:rsidRPr="004E1B28">
              <w:rPr>
                <w:szCs w:val="20"/>
              </w:rPr>
              <w:t>Collecteur de gobelets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30CAE88" w:rsidR="0043381D" w:rsidRDefault="0043381D" w:rsidP="00D215FA">
      <w:pPr>
        <w:jc w:val="left"/>
        <w:rPr>
          <w:rFonts w:eastAsia="MS Mincho" w:cs="Tahoma"/>
          <w:b/>
          <w:bCs/>
          <w:szCs w:val="28"/>
          <w:u w:val="single"/>
        </w:rPr>
      </w:pPr>
    </w:p>
    <w:p w14:paraId="1F54177E" w14:textId="7D9E1C3A"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50F9C0E3" w:rsidR="0043381D" w:rsidRPr="008F1AFB" w:rsidRDefault="00677AB0" w:rsidP="008F1AFB">
            <w:pPr>
              <w:ind w:firstLine="0"/>
              <w:jc w:val="left"/>
              <w:rPr>
                <w:szCs w:val="20"/>
              </w:rPr>
            </w:pPr>
            <w:permStart w:id="701051320" w:edGrp="everyone" w:colFirst="1" w:colLast="1"/>
            <w:r>
              <w:rPr>
                <w:szCs w:val="20"/>
              </w:rPr>
              <w:t>Organisation de la mise en place d</w:t>
            </w:r>
            <w:r w:rsidR="0078087E">
              <w:rPr>
                <w:szCs w:val="20"/>
              </w:rPr>
              <w:t>es distributeurs</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079500BA" w:rsidR="0043381D" w:rsidRPr="008F1AFB" w:rsidRDefault="00677AB0" w:rsidP="008F1AFB">
            <w:pPr>
              <w:ind w:firstLine="0"/>
              <w:jc w:val="left"/>
              <w:rPr>
                <w:szCs w:val="20"/>
              </w:rPr>
            </w:pPr>
            <w:permStart w:id="1021135511" w:edGrp="everyone" w:colFirst="1" w:colLast="1"/>
            <w:permEnd w:id="701051320"/>
            <w:r>
              <w:rPr>
                <w:szCs w:val="20"/>
              </w:rPr>
              <w:t>Organisation de la maintenance préventive (procédures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57BEA648" w:rsidR="00677AB0" w:rsidRPr="008F1AFB" w:rsidRDefault="00677AB0" w:rsidP="008F1AFB">
            <w:pPr>
              <w:ind w:firstLine="0"/>
              <w:jc w:val="left"/>
              <w:rPr>
                <w:szCs w:val="20"/>
              </w:rPr>
            </w:pPr>
            <w:r w:rsidRPr="008F1AFB">
              <w:rPr>
                <w:szCs w:val="20"/>
              </w:rPr>
              <w:t>Organisation de la maintenance corrective (</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 y compris week-end)</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186993D1" w:rsidR="00677AB0" w:rsidRPr="008F1AFB" w:rsidRDefault="00677AB0" w:rsidP="008F1AFB">
            <w:pPr>
              <w:ind w:firstLine="0"/>
              <w:jc w:val="left"/>
              <w:rPr>
                <w:szCs w:val="20"/>
              </w:rPr>
            </w:pPr>
            <w:r w:rsidRPr="008F1AFB">
              <w:rPr>
                <w:szCs w:val="20"/>
              </w:rPr>
              <w:t>Traçabilité des contrôles sanitaires périodiques</w:t>
            </w:r>
          </w:p>
        </w:tc>
        <w:tc>
          <w:tcPr>
            <w:tcW w:w="7626" w:type="dxa"/>
            <w:vAlign w:val="center"/>
          </w:tcPr>
          <w:p w14:paraId="59609F86" w14:textId="77777777" w:rsidR="00677AB0" w:rsidRPr="00724585" w:rsidRDefault="00677AB0" w:rsidP="00D215FA">
            <w:pPr>
              <w:rPr>
                <w:sz w:val="18"/>
                <w:szCs w:val="18"/>
              </w:rPr>
            </w:pPr>
          </w:p>
        </w:tc>
      </w:tr>
    </w:tbl>
    <w:p w14:paraId="19DD9105" w14:textId="63339A6C" w:rsidR="0043381D" w:rsidRDefault="0043381D" w:rsidP="00677AB0"/>
    <w:bookmarkEnd w:id="3"/>
    <w:bookmarkEnd w:id="4"/>
    <w:bookmarkEnd w:id="5"/>
    <w:bookmarkEnd w:id="2"/>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72D4F5A4"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083D7588" w:rsidR="00BD4888" w:rsidRDefault="00D02464"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Pr>
            <w:b/>
            <w:i/>
            <w:color w:val="0070C0"/>
            <w:sz w:val="16"/>
            <w:szCs w:val="16"/>
          </w:rPr>
          <w:t xml:space="preserve">Autorisation d’occupation temporaire (AOT) du domaine public pour </w:t>
        </w:r>
        <w:r w:rsidR="0078087E">
          <w:rPr>
            <w:b/>
            <w:i/>
            <w:color w:val="0070C0"/>
            <w:sz w:val="16"/>
            <w:szCs w:val="16"/>
          </w:rPr>
          <w:br/>
          <w:t>l’implantation et l’exploitation de distributeurs automatiques de boissons et de denrées alimentaires – site de l’INSPÉ de Cahors</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012A1B63" w:rsidR="00BD4888" w:rsidRDefault="00D02464" w:rsidP="00BD4888">
    <w:pPr>
      <w:pStyle w:val="En-tte"/>
      <w:ind w:firstLine="0"/>
      <w:jc w:val="center"/>
      <w:rPr>
        <w:b/>
        <w:i/>
        <w:color w:val="0070C0"/>
        <w:sz w:val="16"/>
        <w:szCs w:val="16"/>
      </w:rPr>
    </w:pPr>
    <w:bookmarkStart w:id="11" w:name="_Hlk104973743"/>
    <w:r>
      <w:rPr>
        <w:noProof/>
      </w:rPr>
      <w:pict w14:anchorId="11F53B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7828" type="#_x0000_t136" style="position:absolute;left:0;text-align:left;margin-left:0;margin-top:0;width:564.15pt;height:75.2pt;rotation:315;z-index:-251658752;mso-position-horizontal:center;mso-position-horizontal-relative:margin;mso-position-vertical:center;mso-position-vertical-relative:margin" o:allowincell="f" fillcolor="#d8d8d8 [2732]" stroked="f">
          <v:textpath style="font-family:&quot;Arial&quot;;font-size:1pt" string="Version_Travail_V1"/>
          <w10:wrap anchorx="margin" anchory="margin"/>
        </v:shape>
      </w:pict>
    </w:r>
    <w:r w:rsidR="00BD4888">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1DB7ECC1" w:rsidR="00573AEF" w:rsidRPr="00573AEF" w:rsidRDefault="00D02464"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2025AOTPSCON020</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78087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l’implantation et l’exploitation de distributeurs automatiques de boissons et de denrées alimentaires – site de l’INSPÉ de Cahors</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77829"/>
    <o:shapelayout v:ext="edit">
      <o:idmap v:ext="edit" data="7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308"/>
    <w:rsid w:val="00751F28"/>
    <w:rsid w:val="00752046"/>
    <w:rsid w:val="007528BF"/>
    <w:rsid w:val="00760F39"/>
    <w:rsid w:val="00764726"/>
    <w:rsid w:val="0076692F"/>
    <w:rsid w:val="00766CE3"/>
    <w:rsid w:val="007743B9"/>
    <w:rsid w:val="0078087E"/>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7306"/>
    <w:rsid w:val="00A10AD4"/>
    <w:rsid w:val="00A14342"/>
    <w:rsid w:val="00A16F22"/>
    <w:rsid w:val="00A178EA"/>
    <w:rsid w:val="00A219A5"/>
    <w:rsid w:val="00A24F58"/>
    <w:rsid w:val="00A27B77"/>
    <w:rsid w:val="00A30E16"/>
    <w:rsid w:val="00A3315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461B"/>
    <w:rsid w:val="00BC006B"/>
    <w:rsid w:val="00BC00EF"/>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2464"/>
    <w:rsid w:val="00D033B7"/>
    <w:rsid w:val="00D14D4F"/>
    <w:rsid w:val="00D228FB"/>
    <w:rsid w:val="00D26B8C"/>
    <w:rsid w:val="00D34C08"/>
    <w:rsid w:val="00D34CE8"/>
    <w:rsid w:val="00D411D4"/>
    <w:rsid w:val="00D41906"/>
    <w:rsid w:val="00D45365"/>
    <w:rsid w:val="00D466F4"/>
    <w:rsid w:val="00D61501"/>
    <w:rsid w:val="00D65CEF"/>
    <w:rsid w:val="00D65F0F"/>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customXml/itemProps2.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3.xml><?xml version="1.0" encoding="utf-8"?>
<ds:datastoreItem xmlns:ds="http://schemas.openxmlformats.org/officeDocument/2006/customXml" ds:itemID="{664E5F1D-E481-4E77-9AF2-FADFA978AB82}">
  <ds:schemaRefs>
    <ds:schemaRef ds:uri="http://schemas.openxmlformats.org/officeDocument/2006/bibliography"/>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667</Words>
  <Characters>3674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et l’exploitation de distributeurs automatiques de boissons et de denrées alimentaires – site de l’INSPÉ de Cahors</dc:description>
  <cp:lastModifiedBy>sandrine.allaire-grosdoy@i-univ-tlse2.fr</cp:lastModifiedBy>
  <cp:revision>5</cp:revision>
  <cp:lastPrinted>2024-08-22T10:00:00Z</cp:lastPrinted>
  <dcterms:created xsi:type="dcterms:W3CDTF">2025-03-18T09:31:00Z</dcterms:created>
  <dcterms:modified xsi:type="dcterms:W3CDTF">2025-04-07T06:54:00Z</dcterms:modified>
  <cp:category>AOT 2025AOTPSCON020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