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15E52E8E"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9001FC">
        <w:rPr>
          <w:rFonts w:ascii="Arial" w:hAnsi="Arial" w:cs="Arial"/>
          <w:b/>
          <w:bCs/>
          <w:sz w:val="24"/>
          <w:szCs w:val="24"/>
        </w:rPr>
        <w:t>OBJET :</w:t>
      </w:r>
      <w:r w:rsidRPr="009001FC">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001FC" w:rsidRPr="009001FC">
            <w:rPr>
              <w:rFonts w:ascii="Arial" w:hAnsi="Arial" w:cs="Arial"/>
              <w:b/>
              <w:bCs/>
              <w:sz w:val="24"/>
              <w:szCs w:val="24"/>
            </w:rPr>
            <w:t>Accord-cadre</w:t>
          </w:r>
        </w:sdtContent>
      </w:sdt>
      <w:r w:rsidR="00BA06D4" w:rsidRPr="009001FC">
        <w:rPr>
          <w:rFonts w:ascii="Arial" w:hAnsi="Arial" w:cs="Arial"/>
          <w:sz w:val="24"/>
          <w:szCs w:val="24"/>
        </w:rPr>
        <w:t xml:space="preserve"> relatif à </w:t>
      </w:r>
      <w:bookmarkEnd w:id="0"/>
      <w:r w:rsidR="009001FC" w:rsidRPr="009001FC">
        <w:rPr>
          <w:rFonts w:ascii="Arial" w:hAnsi="Arial" w:cs="Arial"/>
          <w:b/>
          <w:bCs/>
          <w:sz w:val="24"/>
          <w:szCs w:val="24"/>
        </w:rPr>
        <w:t>l’expertise radiologique et au démantèlement du matériel dans le but de déclasser les locaux du site ASNR de Cherbourg en Cotentin</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597F7715" w:rsidR="00737146" w:rsidRPr="00A26426" w:rsidRDefault="004A1F26"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001FC">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4BC2ABF" w:rsidR="00737146" w:rsidRPr="00A26426" w:rsidRDefault="009001FC" w:rsidP="00651E0B">
            <w:pPr>
              <w:autoSpaceDE w:val="0"/>
              <w:autoSpaceDN w:val="0"/>
              <w:adjustRightInd w:val="0"/>
              <w:jc w:val="left"/>
              <w:rPr>
                <w:rFonts w:ascii="Arial" w:hAnsi="Arial" w:cs="Arial"/>
                <w:b/>
                <w:bCs/>
                <w:sz w:val="20"/>
                <w:szCs w:val="20"/>
              </w:rPr>
            </w:pPr>
            <w:r>
              <w:rPr>
                <w:rFonts w:ascii="Arial" w:hAnsi="Arial" w:cs="Arial"/>
                <w:b/>
                <w:bCs/>
                <w:sz w:val="20"/>
                <w:szCs w:val="20"/>
              </w:rPr>
              <w:t>PSE-ENV / STAAR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8DB3EC1" w14:textId="77777777" w:rsidR="009001FC" w:rsidRPr="009001FC" w:rsidRDefault="00A845BF" w:rsidP="009001F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9001FC" w:rsidRPr="009001FC">
        <w:rPr>
          <w:rFonts w:ascii="Arial" w:hAnsi="Arial" w:cs="Arial"/>
          <w:sz w:val="20"/>
          <w:szCs w:val="20"/>
        </w:rPr>
        <w:t>la vérification radiologique des locaux après démantèlement et la vérification du matériel présent, notamment en vue du déclassement des zones règlementées.</w:t>
      </w:r>
    </w:p>
    <w:p w14:paraId="64A79625" w14:textId="3E036B93" w:rsidR="00983141" w:rsidRDefault="00983141" w:rsidP="00A456AC">
      <w:pPr>
        <w:spacing w:line="276" w:lineRule="auto"/>
        <w:rPr>
          <w:rFonts w:ascii="Arial" w:hAnsi="Arial" w:cs="Arial"/>
          <w:sz w:val="20"/>
          <w:szCs w:val="20"/>
        </w:rPr>
      </w:pP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79B5DCE1" w:rsidR="00394C8C" w:rsidRPr="00394C8C" w:rsidRDefault="009001FC"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r w:rsidR="00394C8C" w:rsidRPr="00394C8C">
        <w:rPr>
          <w:rFonts w:ascii="Arial" w:hAnsi="Arial" w:cs="Arial"/>
          <w:i/>
          <w:iCs/>
          <w:sz w:val="20"/>
          <w:szCs w:val="20"/>
        </w:rPr>
        <w:t xml:space="preserve">(en cas de </w:t>
      </w:r>
      <w:r w:rsidRPr="00394C8C">
        <w:rPr>
          <w:rFonts w:ascii="Arial" w:hAnsi="Arial" w:cs="Arial"/>
          <w:i/>
          <w:iCs/>
          <w:sz w:val="20"/>
          <w:szCs w:val="20"/>
        </w:rPr>
        <w:t>non-allotissement</w:t>
      </w:r>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E505453" w14:textId="77777777"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aux lots du marché public : </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60F3AD05" w:rsidR="00394C8C" w:rsidRPr="00394C8C" w:rsidRDefault="00394C8C" w:rsidP="00394C8C">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lot 1 : </w:t>
      </w:r>
      <w:r w:rsidRPr="00394C8C">
        <w:rPr>
          <w:rFonts w:ascii="Arial" w:hAnsi="Arial" w:cs="Arial"/>
          <w:i/>
          <w:iCs/>
          <w:sz w:val="20"/>
          <w:szCs w:val="20"/>
        </w:rPr>
        <w:t> </w:t>
      </w:r>
      <w:r w:rsidR="009001FC" w:rsidRPr="009001FC">
        <w:rPr>
          <w:rFonts w:ascii="Trebuchet MS" w:hAnsi="Trebuchet MS"/>
          <w:i/>
          <w:iCs/>
          <w:sz w:val="20"/>
          <w:szCs w:val="20"/>
        </w:rPr>
        <w:t>sans objet</w:t>
      </w:r>
    </w:p>
    <w:p w14:paraId="33F441BF" w14:textId="24FA9791"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lot 2 : </w:t>
      </w:r>
      <w:r w:rsidR="009001FC">
        <w:rPr>
          <w:rFonts w:ascii="Trebuchet MS" w:hAnsi="Trebuchet MS"/>
          <w:i/>
          <w:iCs/>
        </w:rPr>
        <w:t>sans objet</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AC7C419" w:rsidR="00394C8C" w:rsidRPr="00394C8C" w:rsidRDefault="009001FC"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0C44BB90"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009001FC">
        <w:rPr>
          <w:rFonts w:ascii="Trebuchet MS" w:hAnsi="Trebuchet MS"/>
          <w:i/>
          <w:iCs/>
        </w:rPr>
        <w:t>sans objet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0EFA36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avec la prestation supplémentaire suivante : </w:t>
      </w:r>
      <w:r w:rsidR="009001FC">
        <w:rPr>
          <w:rFonts w:ascii="Trebuchet MS" w:hAnsi="Trebuchet MS"/>
          <w:i/>
          <w:iCs/>
        </w:rPr>
        <w:t>sans objet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6A832D0C" w:rsidR="00394C8C" w:rsidRPr="00394C8C" w:rsidRDefault="009001FC" w:rsidP="00CC1A06">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Pr>
              <w:rFonts w:ascii="Arial" w:hAnsi="Arial" w:cs="Arial"/>
              <w:sz w:val="20"/>
              <w:szCs w:val="20"/>
            </w:rPr>
            <w:t>(Décomposition du Prix Global Forfaitaire ET Bordereau des Prix Unitaires)</w:t>
          </w:r>
        </w:sdtContent>
      </w:sdt>
    </w:p>
    <w:p w14:paraId="72C1AFEE" w14:textId="37686A3B" w:rsidR="00394C8C" w:rsidRPr="00394C8C" w:rsidRDefault="009001FC"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CCAP et </w:t>
      </w:r>
      <w:r w:rsidR="00CC1A06">
        <w:rPr>
          <w:rFonts w:ascii="Arial" w:hAnsi="Arial" w:cs="Arial"/>
          <w:sz w:val="20"/>
          <w:szCs w:val="20"/>
        </w:rPr>
        <w:t>son(</w:t>
      </w:r>
      <w:r w:rsidR="00394C8C" w:rsidRPr="00394C8C">
        <w:rPr>
          <w:rFonts w:ascii="Arial" w:hAnsi="Arial" w:cs="Arial"/>
          <w:sz w:val="20"/>
          <w:szCs w:val="20"/>
        </w:rPr>
        <w:t>ses</w:t>
      </w:r>
      <w:r w:rsidR="00CC1A06">
        <w:rPr>
          <w:rFonts w:ascii="Arial" w:hAnsi="Arial" w:cs="Arial"/>
          <w:sz w:val="20"/>
          <w:szCs w:val="20"/>
        </w:rPr>
        <w:t>)</w:t>
      </w:r>
      <w:r w:rsidR="00394C8C" w:rsidRPr="00394C8C">
        <w:rPr>
          <w:rFonts w:ascii="Arial" w:hAnsi="Arial" w:cs="Arial"/>
          <w:sz w:val="20"/>
          <w:szCs w:val="20"/>
        </w:rPr>
        <w:t xml:space="preserve"> annexe</w:t>
      </w:r>
      <w:r w:rsidR="00CC1A06">
        <w:rPr>
          <w:rFonts w:ascii="Arial" w:hAnsi="Arial" w:cs="Arial"/>
          <w:sz w:val="20"/>
          <w:szCs w:val="20"/>
        </w:rPr>
        <w:t>(</w:t>
      </w:r>
      <w:r w:rsidR="00394C8C" w:rsidRPr="00394C8C">
        <w:rPr>
          <w:rFonts w:ascii="Arial" w:hAnsi="Arial" w:cs="Arial"/>
          <w:sz w:val="20"/>
          <w:szCs w:val="20"/>
        </w:rPr>
        <w:t>s</w:t>
      </w:r>
      <w:r w:rsidR="00CC1A06">
        <w:rPr>
          <w:rFonts w:ascii="Arial" w:hAnsi="Arial" w:cs="Arial"/>
          <w:sz w:val="20"/>
          <w:szCs w:val="20"/>
        </w:rPr>
        <w:t>)</w:t>
      </w:r>
    </w:p>
    <w:p w14:paraId="5CEB44CC" w14:textId="4434D52A" w:rsidR="00394C8C" w:rsidRDefault="009001FC"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Cahier des charges référencé </w:t>
      </w:r>
      <w:r>
        <w:rPr>
          <w:rFonts w:ascii="Arial" w:hAnsi="Arial" w:cs="Arial"/>
        </w:rPr>
        <w:t>PSE-ENV/STAAR-2025-00017 e</w:t>
      </w:r>
      <w:r w:rsidR="00CC1A06">
        <w:rPr>
          <w:rFonts w:ascii="Arial" w:hAnsi="Arial" w:cs="Arial"/>
          <w:sz w:val="20"/>
          <w:szCs w:val="20"/>
        </w:rPr>
        <w:t>t son(ses) annexe(s)</w:t>
      </w:r>
    </w:p>
    <w:p w14:paraId="41A9C57B" w14:textId="706FFD70" w:rsidR="009001FC" w:rsidRDefault="009001FC" w:rsidP="009001FC">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Annexe 1 : plans des locaux</w:t>
      </w:r>
    </w:p>
    <w:p w14:paraId="161FEF57" w14:textId="2A90B3E0" w:rsidR="009001FC" w:rsidRDefault="009001FC" w:rsidP="009001FC">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Annexe 2 : liste et caractéristiques des locaux concernés par le matériel à démanteler</w:t>
      </w:r>
    </w:p>
    <w:p w14:paraId="29CE6E38" w14:textId="30173AF3" w:rsidR="009001FC" w:rsidRPr="009001FC" w:rsidRDefault="009001FC" w:rsidP="009001FC">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Annexe 3 : liste des radionucléides</w:t>
      </w:r>
    </w:p>
    <w:p w14:paraId="51D33043" w14:textId="77323031"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w:t>
      </w:r>
      <w:r w:rsidRPr="009001FC">
        <w:rPr>
          <w:rFonts w:ascii="Arial" w:hAnsi="Arial" w:cs="Arial"/>
          <w:sz w:val="20"/>
          <w:szCs w:val="20"/>
        </w:rPr>
        <w:t>marchés publics de</w:t>
      </w:r>
      <w:r w:rsidR="00CC1A06" w:rsidRPr="009001FC">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001FC" w:rsidRPr="009001FC">
            <w:rPr>
              <w:rFonts w:ascii="Arial" w:hAnsi="Arial" w:cs="Arial"/>
              <w:sz w:val="20"/>
              <w:szCs w:val="20"/>
            </w:rPr>
            <w:t>de Fournitures courantes et services</w:t>
          </w:r>
        </w:sdtContent>
      </w:sdt>
      <w:r w:rsidRPr="009001FC">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49266F2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18CD2974"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w:t>
      </w:r>
      <w:r w:rsidR="009123F5" w:rsidRPr="00394C8C">
        <w:rPr>
          <w:rFonts w:ascii="Arial" w:hAnsi="Arial" w:cs="Arial"/>
          <w:sz w:val="20"/>
          <w:szCs w:val="20"/>
        </w:rPr>
        <w:t xml:space="preserve">global </w:t>
      </w:r>
      <w:r w:rsidR="009123F5" w:rsidRPr="00394C8C">
        <w:rPr>
          <w:rFonts w:ascii="Arial" w:hAnsi="Arial" w:cs="Arial"/>
          <w:i/>
          <w:sz w:val="20"/>
          <w:szCs w:val="20"/>
        </w:rPr>
        <w:t>:</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A370292" w14:textId="749E44A7" w:rsidR="00766305" w:rsidRPr="009123F5" w:rsidRDefault="004A1F26" w:rsidP="00766305">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9123F5" w:rsidRPr="009123F5">
            <w:rPr>
              <w:rStyle w:val="Textedelespacerserv"/>
              <w:rFonts w:ascii="Arial" w:hAnsi="Arial" w:cs="Arial"/>
              <w:bCs/>
              <w:color w:val="auto"/>
              <w:sz w:val="20"/>
              <w:szCs w:val="20"/>
            </w:rPr>
            <w:t>Sans montant minimum</w:t>
          </w:r>
        </w:sdtContent>
      </w:sdt>
    </w:p>
    <w:p w14:paraId="3CF51CDC" w14:textId="069F4C3E" w:rsidR="00843794" w:rsidRPr="009123F5" w:rsidRDefault="004A1F26" w:rsidP="00284D33">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9123F5">
            <w:rPr>
              <w:rStyle w:val="Textedelespacerserv"/>
              <w:rFonts w:ascii="Arial" w:hAnsi="Arial" w:cs="Arial"/>
              <w:bCs/>
              <w:color w:val="auto"/>
              <w:sz w:val="20"/>
              <w:szCs w:val="20"/>
            </w:rPr>
            <w:t xml:space="preserve">Montant maximum, sur la durée totale, de </w:t>
          </w:r>
        </w:sdtContent>
      </w:sdt>
      <w:r w:rsidR="009123F5" w:rsidRPr="009123F5">
        <w:rPr>
          <w:rFonts w:ascii="Arial" w:hAnsi="Arial" w:cs="Arial"/>
          <w:sz w:val="20"/>
          <w:szCs w:val="20"/>
        </w:rPr>
        <w:t>80 000€ HT</w:t>
      </w:r>
    </w:p>
    <w:p w14:paraId="39B8AEFB" w14:textId="77777777" w:rsidR="009123F5" w:rsidRPr="009123F5" w:rsidRDefault="009123F5" w:rsidP="009123F5">
      <w:pPr>
        <w:rPr>
          <w:rFonts w:ascii="Arial" w:hAnsi="Arial" w:cs="Arial"/>
          <w:bCs/>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0B362A99"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9123F5">
            <w:rPr>
              <w:rFonts w:ascii="Arial" w:hAnsi="Arial" w:cs="Arial"/>
              <w:sz w:val="20"/>
              <w:szCs w:val="20"/>
            </w:rPr>
            <w:t xml:space="preserve"> et prendra fin à l'achèvement des prestations objets du présent marché.</w:t>
          </w:r>
        </w:sdtContent>
      </w:sdt>
    </w:p>
    <w:p w14:paraId="112F0505" w14:textId="5DD9A0B8" w:rsidR="009123F5" w:rsidRDefault="001630E3" w:rsidP="001630E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9123F5">
            <w:rPr>
              <w:rFonts w:ascii="Arial" w:hAnsi="Arial" w:cs="Arial"/>
              <w:sz w:val="20"/>
              <w:szCs w:val="20"/>
            </w:rPr>
            <w:t xml:space="preserve">postérieur à sa date de notification et démarrera à compter du </w:t>
          </w:r>
        </w:sdtContent>
      </w:sdt>
      <w:r w:rsidR="009123F5">
        <w:rPr>
          <w:rFonts w:ascii="Arial" w:hAnsi="Arial" w:cs="Arial"/>
          <w:sz w:val="20"/>
          <w:szCs w:val="20"/>
        </w:rPr>
        <w:t>02 juin 2025.</w:t>
      </w:r>
    </w:p>
    <w:p w14:paraId="1CA55E70" w14:textId="3430365A"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9123F5">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9123F5">
            <w:rPr>
              <w:rFonts w:ascii="Arial" w:hAnsi="Arial" w:cs="Arial"/>
              <w:sz w:val="20"/>
              <w:szCs w:val="20"/>
            </w:rPr>
            <w:t>deux (2)</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9123F5">
            <w:rPr>
              <w:rFonts w:ascii="Arial" w:hAnsi="Arial" w:cs="Arial"/>
              <w:sz w:val="20"/>
              <w:szCs w:val="20"/>
            </w:rPr>
            <w:t xml:space="preserve">. </w:t>
          </w:r>
        </w:sdtContent>
      </w:sdt>
    </w:p>
    <w:p w14:paraId="06674ABD" w14:textId="33E7DA38" w:rsidR="001630E3" w:rsidRPr="009123F5" w:rsidRDefault="001630E3" w:rsidP="001630E3">
      <w:pPr>
        <w:rPr>
          <w:rFonts w:ascii="Arial" w:hAnsi="Arial" w:cs="Arial"/>
          <w:i/>
          <w:sz w:val="20"/>
          <w:szCs w:val="20"/>
        </w:rPr>
      </w:pPr>
      <w:r w:rsidRPr="009123F5">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9123F5" w:rsidRPr="009123F5">
            <w:rPr>
              <w:rFonts w:ascii="Arial" w:hAnsi="Arial" w:cs="Arial"/>
              <w:sz w:val="20"/>
              <w:szCs w:val="20"/>
            </w:rPr>
            <w:t>n'est pas reconductible</w:t>
          </w:r>
        </w:sdtContent>
      </w:sdt>
      <w:r w:rsidRPr="009123F5">
        <w:rPr>
          <w:rFonts w:ascii="Arial" w:hAnsi="Arial" w:cs="Arial"/>
          <w:i/>
          <w:sz w:val="20"/>
          <w:szCs w:val="20"/>
        </w:rPr>
        <w:t>.</w:t>
      </w:r>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3E6DD9F" w:rsidR="00E83147" w:rsidRPr="00DC4013" w:rsidRDefault="009123F5" w:rsidP="00E83147">
            <w:pPr>
              <w:pStyle w:val="texte"/>
              <w:ind w:left="0"/>
              <w:rPr>
                <w:rFonts w:cs="Arial"/>
              </w:rPr>
            </w:pPr>
            <w:r>
              <w:rPr>
                <w:rFonts w:cs="Arial"/>
              </w:rPr>
              <w:t>Gaelle MOREL</w:t>
            </w:r>
          </w:p>
        </w:tc>
        <w:tc>
          <w:tcPr>
            <w:tcW w:w="2440" w:type="dxa"/>
          </w:tcPr>
          <w:p w14:paraId="6ED430C7" w14:textId="7E8F4439" w:rsidR="00E83147" w:rsidRPr="00DC4013" w:rsidRDefault="009123F5" w:rsidP="00E83147">
            <w:pPr>
              <w:pStyle w:val="texte"/>
              <w:ind w:left="0"/>
              <w:rPr>
                <w:rFonts w:cs="Arial"/>
              </w:rPr>
            </w:pPr>
            <w:r>
              <w:rPr>
                <w:rFonts w:cs="Arial"/>
              </w:rPr>
              <w:t>02 33 01 41 04</w:t>
            </w:r>
          </w:p>
        </w:tc>
        <w:tc>
          <w:tcPr>
            <w:tcW w:w="2375" w:type="dxa"/>
          </w:tcPr>
          <w:p w14:paraId="5D6030BC" w14:textId="34D8622B" w:rsidR="00E83147" w:rsidRPr="00DC4013" w:rsidRDefault="009123F5" w:rsidP="00E83147">
            <w:pPr>
              <w:pStyle w:val="texte"/>
              <w:ind w:left="0"/>
              <w:rPr>
                <w:rFonts w:cs="Arial"/>
              </w:rPr>
            </w:pPr>
            <w:r>
              <w:rPr>
                <w:rFonts w:cs="Arial"/>
              </w:rPr>
              <w:t>Gaelle.morel@asnr.fr</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lastRenderedPageBreak/>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072"/>
        <w:gridCol w:w="2743"/>
      </w:tblGrid>
      <w:tr w:rsidR="00DC4013" w:rsidRPr="00DC4013" w14:paraId="297C7CCD" w14:textId="77777777" w:rsidTr="0004665E">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072"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04665E">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0FA5813" w:rsidR="00E83147" w:rsidRPr="00DC4013" w:rsidRDefault="0004665E" w:rsidP="00E83147">
            <w:pPr>
              <w:pStyle w:val="texte"/>
              <w:ind w:left="0"/>
              <w:rPr>
                <w:rFonts w:cs="Arial"/>
              </w:rPr>
            </w:pPr>
            <w:r>
              <w:rPr>
                <w:rFonts w:cs="Arial"/>
              </w:rPr>
              <w:t>Jean-Marc DURANTET</w:t>
            </w:r>
          </w:p>
        </w:tc>
        <w:tc>
          <w:tcPr>
            <w:tcW w:w="2072" w:type="dxa"/>
          </w:tcPr>
          <w:p w14:paraId="333C502D" w14:textId="044C21C8" w:rsidR="00E83147" w:rsidRPr="00DC4013" w:rsidRDefault="0004665E" w:rsidP="00E83147">
            <w:pPr>
              <w:pStyle w:val="texte"/>
              <w:ind w:left="0"/>
              <w:rPr>
                <w:rFonts w:cs="Arial"/>
              </w:rPr>
            </w:pPr>
            <w:r>
              <w:rPr>
                <w:rFonts w:cs="Arial"/>
              </w:rPr>
              <w:t>04 42 19 95 04</w:t>
            </w:r>
          </w:p>
        </w:tc>
        <w:tc>
          <w:tcPr>
            <w:tcW w:w="2743" w:type="dxa"/>
          </w:tcPr>
          <w:p w14:paraId="2BDC8BDE" w14:textId="197F11DB" w:rsidR="00E83147" w:rsidRPr="00DC4013" w:rsidRDefault="0004665E" w:rsidP="00E83147">
            <w:pPr>
              <w:pStyle w:val="texte"/>
              <w:ind w:left="0"/>
              <w:rPr>
                <w:rFonts w:cs="Arial"/>
              </w:rPr>
            </w:pPr>
            <w:r>
              <w:rPr>
                <w:rFonts w:cs="Arial"/>
              </w:rPr>
              <w:t>Jean-marc.durantet@asnr.fr</w:t>
            </w:r>
          </w:p>
        </w:tc>
      </w:tr>
      <w:tr w:rsidR="00E83147" w:rsidRPr="00DC4013" w14:paraId="2152BA8D" w14:textId="77777777" w:rsidTr="0004665E">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072"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2A235E8" w:rsidR="00E83147" w:rsidRPr="00DC4013" w:rsidRDefault="0004665E" w:rsidP="00E83147">
            <w:pPr>
              <w:pStyle w:val="texte"/>
              <w:ind w:left="0"/>
              <w:rPr>
                <w:rFonts w:cs="Arial"/>
              </w:rPr>
            </w:pPr>
            <w:r>
              <w:rPr>
                <w:rFonts w:cs="Arial"/>
              </w:rPr>
              <w:t>BP 10 – Rue Max Pol Fouchet – 50130 Cherbourg-Octeville</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EEE5D5F" w14:textId="4DFCFA11"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004A1F26">
        <w:rPr>
          <w:rFonts w:ascii="Arial" w:hAnsi="Arial" w:cs="Arial"/>
        </w:rPr>
        <w:fldChar w:fldCharType="begin">
          <w:ffData>
            <w:name w:val=""/>
            <w:enabled/>
            <w:calcOnExit w:val="0"/>
            <w:checkBox>
              <w:size w:val="20"/>
              <w:default w:val="1"/>
            </w:checkBox>
          </w:ffData>
        </w:fldChar>
      </w:r>
      <w:r w:rsidR="004A1F26">
        <w:rPr>
          <w:rFonts w:ascii="Arial" w:hAnsi="Arial" w:cs="Arial"/>
        </w:rPr>
        <w:instrText xml:space="preserve"> FORMCHECKBOX </w:instrText>
      </w:r>
      <w:r w:rsidR="004A1F26">
        <w:rPr>
          <w:rFonts w:ascii="Arial" w:hAnsi="Arial" w:cs="Arial"/>
        </w:rPr>
      </w:r>
      <w:r w:rsidR="004A1F26">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2600B678" w14:textId="0F653B02" w:rsidR="00B2420E" w:rsidRPr="0004665E" w:rsidRDefault="00B2420E" w:rsidP="00B2420E">
      <w:pPr>
        <w:tabs>
          <w:tab w:val="left" w:pos="851"/>
        </w:tabs>
        <w:ind w:left="567"/>
        <w:rPr>
          <w:rFonts w:ascii="Arial" w:hAnsi="Arial" w:cs="Arial"/>
          <w:sz w:val="20"/>
          <w:szCs w:val="20"/>
        </w:rPr>
      </w:pPr>
      <w:r w:rsidRPr="0004665E">
        <w:rPr>
          <w:rFonts w:ascii="Arial" w:hAnsi="Arial" w:cs="Arial"/>
          <w:sz w:val="20"/>
          <w:szCs w:val="20"/>
        </w:rPr>
        <w:tab/>
      </w:r>
      <w:r w:rsidRPr="0004665E">
        <w:rPr>
          <w:rFonts w:ascii="Arial" w:hAnsi="Arial" w:cs="Arial"/>
          <w:sz w:val="20"/>
          <w:szCs w:val="20"/>
        </w:rPr>
        <w:fldChar w:fldCharType="begin">
          <w:ffData>
            <w:name w:val=""/>
            <w:enabled/>
            <w:calcOnExit w:val="0"/>
            <w:checkBox>
              <w:size w:val="20"/>
              <w:default w:val="0"/>
            </w:checkBox>
          </w:ffData>
        </w:fldChar>
      </w:r>
      <w:r w:rsidRPr="0004665E">
        <w:rPr>
          <w:rFonts w:ascii="Arial" w:hAnsi="Arial" w:cs="Arial"/>
          <w:sz w:val="20"/>
          <w:szCs w:val="20"/>
        </w:rPr>
        <w:instrText xml:space="preserve"> FORMCHECKBOX </w:instrText>
      </w:r>
      <w:r w:rsidRPr="0004665E">
        <w:rPr>
          <w:rFonts w:ascii="Arial" w:hAnsi="Arial" w:cs="Arial"/>
          <w:sz w:val="20"/>
          <w:szCs w:val="20"/>
        </w:rPr>
      </w:r>
      <w:r w:rsidRPr="0004665E">
        <w:rPr>
          <w:rFonts w:ascii="Arial" w:hAnsi="Arial" w:cs="Arial"/>
          <w:sz w:val="20"/>
          <w:szCs w:val="20"/>
        </w:rPr>
        <w:fldChar w:fldCharType="separate"/>
      </w:r>
      <w:r w:rsidRPr="0004665E">
        <w:rPr>
          <w:rFonts w:ascii="Arial" w:hAnsi="Arial" w:cs="Arial"/>
          <w:sz w:val="20"/>
          <w:szCs w:val="20"/>
        </w:rPr>
        <w:fldChar w:fldCharType="end"/>
      </w:r>
      <w:r w:rsidRPr="0004665E">
        <w:rPr>
          <w:rFonts w:ascii="Arial" w:hAnsi="Arial" w:cs="Arial"/>
          <w:sz w:val="20"/>
          <w:szCs w:val="20"/>
        </w:rPr>
        <w:tab/>
        <w:t xml:space="preserve">lot 1 : </w:t>
      </w:r>
      <w:r w:rsidRPr="0004665E">
        <w:rPr>
          <w:rFonts w:ascii="Arial" w:hAnsi="Arial" w:cs="Arial"/>
          <w:i/>
          <w:iCs/>
          <w:sz w:val="20"/>
          <w:szCs w:val="20"/>
        </w:rPr>
        <w:t> </w:t>
      </w:r>
      <w:r w:rsidR="0004665E">
        <w:rPr>
          <w:rFonts w:ascii="Arial" w:hAnsi="Arial" w:cs="Arial"/>
          <w:i/>
          <w:iCs/>
          <w:sz w:val="20"/>
          <w:szCs w:val="20"/>
        </w:rPr>
        <w:t>sans objet</w:t>
      </w:r>
    </w:p>
    <w:p w14:paraId="2F298304" w14:textId="33CD4C5B" w:rsidR="00B2420E" w:rsidRPr="0004665E" w:rsidRDefault="00B2420E" w:rsidP="00B2420E">
      <w:pPr>
        <w:tabs>
          <w:tab w:val="left" w:pos="851"/>
        </w:tabs>
        <w:ind w:left="567"/>
        <w:rPr>
          <w:rFonts w:ascii="Arial" w:hAnsi="Arial" w:cs="Arial"/>
          <w:sz w:val="20"/>
          <w:szCs w:val="20"/>
        </w:rPr>
      </w:pPr>
      <w:r w:rsidRPr="0004665E">
        <w:rPr>
          <w:rFonts w:ascii="Arial" w:hAnsi="Arial" w:cs="Arial"/>
          <w:sz w:val="20"/>
          <w:szCs w:val="20"/>
        </w:rPr>
        <w:tab/>
      </w:r>
      <w:r w:rsidRPr="0004665E">
        <w:rPr>
          <w:rFonts w:ascii="Arial" w:hAnsi="Arial" w:cs="Arial"/>
          <w:sz w:val="20"/>
          <w:szCs w:val="20"/>
        </w:rPr>
        <w:fldChar w:fldCharType="begin">
          <w:ffData>
            <w:name w:val=""/>
            <w:enabled/>
            <w:calcOnExit w:val="0"/>
            <w:checkBox>
              <w:size w:val="20"/>
              <w:default w:val="0"/>
            </w:checkBox>
          </w:ffData>
        </w:fldChar>
      </w:r>
      <w:r w:rsidRPr="0004665E">
        <w:rPr>
          <w:rFonts w:ascii="Arial" w:hAnsi="Arial" w:cs="Arial"/>
          <w:sz w:val="20"/>
          <w:szCs w:val="20"/>
        </w:rPr>
        <w:instrText xml:space="preserve"> FORMCHECKBOX </w:instrText>
      </w:r>
      <w:r w:rsidRPr="0004665E">
        <w:rPr>
          <w:rFonts w:ascii="Arial" w:hAnsi="Arial" w:cs="Arial"/>
          <w:sz w:val="20"/>
          <w:szCs w:val="20"/>
        </w:rPr>
      </w:r>
      <w:r w:rsidRPr="0004665E">
        <w:rPr>
          <w:rFonts w:ascii="Arial" w:hAnsi="Arial" w:cs="Arial"/>
          <w:sz w:val="20"/>
          <w:szCs w:val="20"/>
        </w:rPr>
        <w:fldChar w:fldCharType="separate"/>
      </w:r>
      <w:r w:rsidRPr="0004665E">
        <w:rPr>
          <w:rFonts w:ascii="Arial" w:hAnsi="Arial" w:cs="Arial"/>
          <w:sz w:val="20"/>
          <w:szCs w:val="20"/>
        </w:rPr>
        <w:fldChar w:fldCharType="end"/>
      </w:r>
      <w:r w:rsidRPr="0004665E">
        <w:rPr>
          <w:rFonts w:ascii="Arial" w:hAnsi="Arial" w:cs="Arial"/>
          <w:sz w:val="20"/>
          <w:szCs w:val="20"/>
        </w:rPr>
        <w:tab/>
        <w:t>lot 2 : </w:t>
      </w:r>
      <w:r w:rsidR="0004665E">
        <w:rPr>
          <w:rFonts w:ascii="Arial" w:hAnsi="Arial" w:cs="Arial"/>
          <w:i/>
          <w:iCs/>
          <w:sz w:val="20"/>
          <w:szCs w:val="20"/>
        </w:rPr>
        <w:t>sans objet</w:t>
      </w:r>
    </w:p>
    <w:p w14:paraId="56564832" w14:textId="1917DEBB" w:rsidR="00B2420E" w:rsidRPr="0004665E" w:rsidRDefault="00B2420E" w:rsidP="00B2420E">
      <w:pPr>
        <w:tabs>
          <w:tab w:val="left" w:pos="851"/>
        </w:tabs>
        <w:ind w:left="567"/>
        <w:rPr>
          <w:rFonts w:ascii="Arial" w:hAnsi="Arial" w:cs="Arial"/>
          <w:sz w:val="20"/>
          <w:szCs w:val="20"/>
        </w:rPr>
      </w:pPr>
      <w:r w:rsidRPr="0004665E">
        <w:rPr>
          <w:rFonts w:ascii="Arial" w:hAnsi="Arial" w:cs="Arial"/>
          <w:sz w:val="20"/>
          <w:szCs w:val="20"/>
        </w:rPr>
        <w:tab/>
      </w:r>
      <w:r w:rsidR="0004665E">
        <w:rPr>
          <w:rFonts w:ascii="Arial" w:hAnsi="Arial" w:cs="Arial"/>
          <w:sz w:val="20"/>
          <w:szCs w:val="20"/>
        </w:rPr>
        <w:fldChar w:fldCharType="begin">
          <w:ffData>
            <w:name w:val=""/>
            <w:enabled/>
            <w:calcOnExit w:val="0"/>
            <w:checkBox>
              <w:size w:val="20"/>
              <w:default w:val="1"/>
            </w:checkBox>
          </w:ffData>
        </w:fldChar>
      </w:r>
      <w:r w:rsidR="0004665E">
        <w:rPr>
          <w:rFonts w:ascii="Arial" w:hAnsi="Arial" w:cs="Arial"/>
          <w:sz w:val="20"/>
          <w:szCs w:val="20"/>
        </w:rPr>
        <w:instrText xml:space="preserve"> FORMCHECKBOX </w:instrText>
      </w:r>
      <w:r w:rsidR="0004665E">
        <w:rPr>
          <w:rFonts w:ascii="Arial" w:hAnsi="Arial" w:cs="Arial"/>
          <w:sz w:val="20"/>
          <w:szCs w:val="20"/>
        </w:rPr>
      </w:r>
      <w:r w:rsidR="0004665E">
        <w:rPr>
          <w:rFonts w:ascii="Arial" w:hAnsi="Arial" w:cs="Arial"/>
          <w:sz w:val="20"/>
          <w:szCs w:val="20"/>
        </w:rPr>
        <w:fldChar w:fldCharType="separate"/>
      </w:r>
      <w:r w:rsidR="0004665E">
        <w:rPr>
          <w:rFonts w:ascii="Arial" w:hAnsi="Arial" w:cs="Arial"/>
          <w:sz w:val="20"/>
          <w:szCs w:val="20"/>
        </w:rPr>
        <w:fldChar w:fldCharType="end"/>
      </w:r>
      <w:r w:rsidRPr="0004665E">
        <w:rPr>
          <w:rFonts w:ascii="Arial" w:hAnsi="Arial" w:cs="Arial"/>
          <w:sz w:val="20"/>
          <w:szCs w:val="20"/>
        </w:rPr>
        <w:tab/>
        <w:t>Offre de base</w:t>
      </w:r>
    </w:p>
    <w:p w14:paraId="2D44A292" w14:textId="0686BE49" w:rsidR="00B2420E" w:rsidRPr="0004665E" w:rsidRDefault="00B2420E" w:rsidP="00B2420E">
      <w:pPr>
        <w:tabs>
          <w:tab w:val="left" w:pos="851"/>
        </w:tabs>
        <w:ind w:left="567"/>
        <w:rPr>
          <w:rFonts w:ascii="Arial" w:hAnsi="Arial" w:cs="Arial"/>
          <w:sz w:val="20"/>
          <w:szCs w:val="20"/>
        </w:rPr>
      </w:pPr>
      <w:r w:rsidRPr="0004665E">
        <w:rPr>
          <w:rFonts w:ascii="Arial" w:hAnsi="Arial" w:cs="Arial"/>
          <w:sz w:val="20"/>
          <w:szCs w:val="20"/>
        </w:rPr>
        <w:tab/>
      </w:r>
      <w:r w:rsidRPr="0004665E">
        <w:rPr>
          <w:rFonts w:ascii="Arial" w:hAnsi="Arial" w:cs="Arial"/>
          <w:sz w:val="20"/>
          <w:szCs w:val="20"/>
        </w:rPr>
        <w:fldChar w:fldCharType="begin">
          <w:ffData>
            <w:name w:val=""/>
            <w:enabled/>
            <w:calcOnExit w:val="0"/>
            <w:checkBox>
              <w:size w:val="20"/>
              <w:default w:val="0"/>
            </w:checkBox>
          </w:ffData>
        </w:fldChar>
      </w:r>
      <w:r w:rsidRPr="0004665E">
        <w:rPr>
          <w:rFonts w:ascii="Arial" w:hAnsi="Arial" w:cs="Arial"/>
          <w:sz w:val="20"/>
          <w:szCs w:val="20"/>
        </w:rPr>
        <w:instrText xml:space="preserve"> FORMCHECKBOX </w:instrText>
      </w:r>
      <w:r w:rsidRPr="0004665E">
        <w:rPr>
          <w:rFonts w:ascii="Arial" w:hAnsi="Arial" w:cs="Arial"/>
          <w:sz w:val="20"/>
          <w:szCs w:val="20"/>
        </w:rPr>
      </w:r>
      <w:r w:rsidRPr="0004665E">
        <w:rPr>
          <w:rFonts w:ascii="Arial" w:hAnsi="Arial" w:cs="Arial"/>
          <w:sz w:val="20"/>
          <w:szCs w:val="20"/>
        </w:rPr>
        <w:fldChar w:fldCharType="separate"/>
      </w:r>
      <w:r w:rsidRPr="0004665E">
        <w:rPr>
          <w:rFonts w:ascii="Arial" w:hAnsi="Arial" w:cs="Arial"/>
          <w:sz w:val="20"/>
          <w:szCs w:val="20"/>
        </w:rPr>
        <w:fldChar w:fldCharType="end"/>
      </w:r>
      <w:r w:rsidRPr="0004665E">
        <w:rPr>
          <w:rFonts w:ascii="Arial" w:hAnsi="Arial" w:cs="Arial"/>
          <w:sz w:val="20"/>
          <w:szCs w:val="20"/>
        </w:rPr>
        <w:tab/>
        <w:t>Variante</w:t>
      </w:r>
      <w:r w:rsidR="0004665E">
        <w:rPr>
          <w:rFonts w:ascii="Arial" w:hAnsi="Arial" w:cs="Arial"/>
          <w:sz w:val="20"/>
          <w:szCs w:val="20"/>
        </w:rPr>
        <w:t xml:space="preserve"> : </w:t>
      </w:r>
      <w:r w:rsidR="0004665E">
        <w:rPr>
          <w:rFonts w:ascii="Arial" w:hAnsi="Arial" w:cs="Arial"/>
          <w:i/>
          <w:iCs/>
          <w:sz w:val="20"/>
          <w:szCs w:val="20"/>
        </w:rPr>
        <w:t>sans objet</w:t>
      </w:r>
    </w:p>
    <w:p w14:paraId="2E0B8548" w14:textId="6EDCAC1B" w:rsidR="00B2420E" w:rsidRPr="00F22B61" w:rsidRDefault="00B2420E" w:rsidP="00B2420E">
      <w:pPr>
        <w:tabs>
          <w:tab w:val="left" w:pos="851"/>
        </w:tabs>
        <w:ind w:left="567"/>
        <w:rPr>
          <w:rFonts w:ascii="Arial" w:hAnsi="Arial" w:cs="Arial"/>
          <w:color w:val="FF0000"/>
          <w:sz w:val="20"/>
          <w:szCs w:val="20"/>
        </w:rPr>
      </w:pPr>
      <w:r w:rsidRPr="0004665E">
        <w:rPr>
          <w:rFonts w:ascii="Arial" w:hAnsi="Arial" w:cs="Arial"/>
          <w:sz w:val="20"/>
          <w:szCs w:val="20"/>
        </w:rPr>
        <w:lastRenderedPageBreak/>
        <w:tab/>
      </w:r>
      <w:r w:rsidRPr="0004665E">
        <w:rPr>
          <w:rFonts w:ascii="Arial" w:hAnsi="Arial" w:cs="Arial"/>
          <w:sz w:val="20"/>
          <w:szCs w:val="20"/>
        </w:rPr>
        <w:fldChar w:fldCharType="begin">
          <w:ffData>
            <w:name w:val=""/>
            <w:enabled/>
            <w:calcOnExit w:val="0"/>
            <w:checkBox>
              <w:size w:val="20"/>
              <w:default w:val="0"/>
            </w:checkBox>
          </w:ffData>
        </w:fldChar>
      </w:r>
      <w:r w:rsidRPr="0004665E">
        <w:rPr>
          <w:rFonts w:ascii="Arial" w:hAnsi="Arial" w:cs="Arial"/>
          <w:sz w:val="20"/>
          <w:szCs w:val="20"/>
        </w:rPr>
        <w:instrText xml:space="preserve"> FORMCHECKBOX </w:instrText>
      </w:r>
      <w:r w:rsidRPr="0004665E">
        <w:rPr>
          <w:rFonts w:ascii="Arial" w:hAnsi="Arial" w:cs="Arial"/>
          <w:sz w:val="20"/>
          <w:szCs w:val="20"/>
        </w:rPr>
      </w:r>
      <w:r w:rsidRPr="0004665E">
        <w:rPr>
          <w:rFonts w:ascii="Arial" w:hAnsi="Arial" w:cs="Arial"/>
          <w:sz w:val="20"/>
          <w:szCs w:val="20"/>
        </w:rPr>
        <w:fldChar w:fldCharType="separate"/>
      </w:r>
      <w:r w:rsidRPr="0004665E">
        <w:rPr>
          <w:rFonts w:ascii="Arial" w:hAnsi="Arial" w:cs="Arial"/>
          <w:sz w:val="20"/>
          <w:szCs w:val="20"/>
        </w:rPr>
        <w:fldChar w:fldCharType="end"/>
      </w:r>
      <w:r w:rsidRPr="0004665E">
        <w:rPr>
          <w:rFonts w:ascii="Arial" w:hAnsi="Arial" w:cs="Arial"/>
          <w:sz w:val="20"/>
          <w:szCs w:val="20"/>
        </w:rPr>
        <w:tab/>
        <w:t>Offre de base et prestation supplémentaire éventuelle</w:t>
      </w:r>
      <w:r w:rsidR="0004665E">
        <w:rPr>
          <w:rFonts w:ascii="Arial" w:hAnsi="Arial" w:cs="Arial"/>
          <w:sz w:val="20"/>
          <w:szCs w:val="20"/>
        </w:rPr>
        <w:t xml:space="preserve"> : </w:t>
      </w:r>
      <w:r w:rsidR="0004665E">
        <w:rPr>
          <w:rFonts w:ascii="Arial" w:hAnsi="Arial" w:cs="Arial"/>
          <w:i/>
          <w:iCs/>
          <w:sz w:val="20"/>
          <w:szCs w:val="20"/>
        </w:rPr>
        <w:t>sans objet</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6006D6D4"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04665E">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3C2FEFFF" w:rsidR="008B0DC5" w:rsidRPr="0004665E" w:rsidRDefault="0004665E" w:rsidP="0004665E">
      <w:pPr>
        <w:jc w:val="center"/>
        <w:rPr>
          <w:rFonts w:ascii="Arial" w:hAnsi="Arial" w:cs="Arial"/>
          <w:b/>
          <w:bCs/>
          <w:sz w:val="20"/>
          <w:szCs w:val="20"/>
        </w:rPr>
      </w:pPr>
      <w:r w:rsidRPr="0004665E">
        <w:rPr>
          <w:rFonts w:ascii="Arial" w:hAnsi="Arial" w:cs="Arial"/>
          <w:b/>
          <w:bCs/>
          <w:sz w:val="20"/>
          <w:szCs w:val="20"/>
        </w:rPr>
        <w:t>(sera intégrée lors de la notification)</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577613"/>
    <w:multiLevelType w:val="hybridMultilevel"/>
    <w:tmpl w:val="B96036F4"/>
    <w:lvl w:ilvl="0" w:tplc="13B8CA84">
      <w:start w:val="22"/>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4"/>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5"/>
  </w:num>
  <w:num w:numId="25" w16cid:durableId="1077895790">
    <w:abstractNumId w:val="12"/>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518739913">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4665E"/>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1671"/>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A1F26"/>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001FC"/>
    <w:rsid w:val="009123F5"/>
    <w:rsid w:val="00932F94"/>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109"/>
    <w:rsid w:val="00A76F69"/>
    <w:rsid w:val="00A81D47"/>
    <w:rsid w:val="00A845BF"/>
    <w:rsid w:val="00AB3BDD"/>
    <w:rsid w:val="00AB43A8"/>
    <w:rsid w:val="00AC458A"/>
    <w:rsid w:val="00AC6B6C"/>
    <w:rsid w:val="00AF21FB"/>
    <w:rsid w:val="00AF4FE4"/>
    <w:rsid w:val="00B2420E"/>
    <w:rsid w:val="00B37527"/>
    <w:rsid w:val="00B45D2B"/>
    <w:rsid w:val="00B47716"/>
    <w:rsid w:val="00B54AFA"/>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F6593"/>
    <w:rsid w:val="00E17AA5"/>
    <w:rsid w:val="00E2211F"/>
    <w:rsid w:val="00E34A58"/>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A1671"/>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34A58"/>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1897</Words>
  <Characters>10436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DURANTET Jean Marc</cp:lastModifiedBy>
  <cp:revision>4</cp:revision>
  <cp:lastPrinted>2023-04-04T08:25:00Z</cp:lastPrinted>
  <dcterms:created xsi:type="dcterms:W3CDTF">2025-04-01T09:39:00Z</dcterms:created>
  <dcterms:modified xsi:type="dcterms:W3CDTF">2025-04-08T10:10:00Z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