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6FFCA15E" w14:textId="56743FF4" w:rsidR="0026577E" w:rsidRPr="006950DA" w:rsidRDefault="0026577E" w:rsidP="00AB2A53">
            <w:pPr>
              <w:spacing w:before="600"/>
              <w:jc w:val="center"/>
              <w:rPr>
                <w:rFonts w:eastAsia="Arial"/>
                <w:b/>
                <w:szCs w:val="22"/>
              </w:rPr>
            </w:pPr>
            <w:r w:rsidRPr="006950DA">
              <w:rPr>
                <w:rFonts w:eastAsia="Arial"/>
                <w:b/>
                <w:szCs w:val="22"/>
              </w:rPr>
              <w:t xml:space="preserve">OBJET : </w:t>
            </w:r>
            <w:sdt>
              <w:sdtPr>
                <w:rPr>
                  <w:rFonts w:eastAsia="Arial"/>
                  <w:b/>
                  <w:szCs w:val="22"/>
                </w:rPr>
                <w:id w:val="1670903615"/>
                <w:placeholder>
                  <w:docPart w:val="DD485EB63A7541CA8010B29C339F0D14"/>
                </w:placeholder>
              </w:sdtPr>
              <w:sdtEndPr/>
              <w:sdtContent>
                <w:r w:rsidR="00A524C2" w:rsidRPr="006950DA">
                  <w:rPr>
                    <w:rFonts w:eastAsia="Arial"/>
                    <w:b/>
                    <w:szCs w:val="22"/>
                  </w:rPr>
                  <w:t>REALISATION DE PRESTATIONS D’AUDITS, D’EXPERTISES ET D’ASSISTANCE POUR LE MAINTIEN ET LE RENFORCEMENT DE LA SECURITE INFORMATIQUE DU SYSTEME D’INFORMATION DE LA BIBLIOTHEQUE NATIONALE DE FRANCE</w:t>
                </w:r>
              </w:sdtContent>
            </w:sdt>
          </w:p>
          <w:p w14:paraId="49C7735B" w14:textId="77777777" w:rsidR="0026577E" w:rsidRPr="006950DA" w:rsidRDefault="0026577E" w:rsidP="00467E6D">
            <w:pPr>
              <w:jc w:val="center"/>
              <w:rPr>
                <w:rFonts w:eastAsia="Arial"/>
                <w:b/>
                <w:sz w:val="32"/>
                <w:szCs w:val="28"/>
              </w:rPr>
            </w:pPr>
          </w:p>
          <w:p w14:paraId="03A14C98" w14:textId="77777777" w:rsidR="0026577E" w:rsidRPr="006950DA" w:rsidRDefault="0026577E" w:rsidP="00AB2A53">
            <w:pPr>
              <w:spacing w:before="1920"/>
              <w:jc w:val="right"/>
              <w:rPr>
                <w:b/>
              </w:rPr>
            </w:pPr>
            <w:r w:rsidRPr="006950DA">
              <w:rPr>
                <w:b/>
              </w:rPr>
              <w:t xml:space="preserve">Dépôt électronique obligatoire </w:t>
            </w:r>
          </w:p>
          <w:p w14:paraId="5E041139" w14:textId="77777777" w:rsidR="0026577E" w:rsidRPr="006950DA" w:rsidRDefault="0026577E" w:rsidP="00467E6D">
            <w:pPr>
              <w:jc w:val="right"/>
              <w:rPr>
                <w:rFonts w:eastAsia="Arial"/>
                <w:b/>
              </w:rPr>
            </w:pPr>
            <w:r w:rsidRPr="006950DA">
              <w:rPr>
                <w:rFonts w:eastAsia="Arial"/>
                <w:b/>
              </w:rPr>
              <w:t xml:space="preserve">Date limite de réception des offres : </w:t>
            </w:r>
          </w:p>
          <w:p w14:paraId="5D15A5C6" w14:textId="69F36D25" w:rsidR="0026577E" w:rsidRPr="006950DA" w:rsidRDefault="00FE604F" w:rsidP="00467E6D">
            <w:pPr>
              <w:jc w:val="right"/>
              <w:rPr>
                <w:rFonts w:eastAsia="Arial"/>
                <w:b/>
                <w:sz w:val="32"/>
                <w:szCs w:val="28"/>
              </w:rPr>
            </w:pPr>
            <w:sdt>
              <w:sdtPr>
                <w:rPr>
                  <w:rFonts w:eastAsia="Arial"/>
                  <w:b/>
                </w:rPr>
                <w:id w:val="929619073"/>
                <w:placeholder>
                  <w:docPart w:val="59DC02D23AA74A6A9B617EEBE93B577F"/>
                </w:placeholder>
                <w:date w:fullDate="2025-05-21T00:00:00Z">
                  <w:dateFormat w:val="dddd d MMMM yyyy"/>
                  <w:lid w:val="fr-FR"/>
                  <w:storeMappedDataAs w:val="dateTime"/>
                  <w:calendar w:val="gregorian"/>
                </w:date>
              </w:sdtPr>
              <w:sdtEndPr/>
              <w:sdtContent>
                <w:proofErr w:type="gramStart"/>
                <w:r w:rsidR="006950DA" w:rsidRPr="006950DA">
                  <w:rPr>
                    <w:rFonts w:eastAsia="Arial"/>
                    <w:b/>
                  </w:rPr>
                  <w:t>mercredi</w:t>
                </w:r>
                <w:proofErr w:type="gramEnd"/>
                <w:r w:rsidR="006950DA" w:rsidRPr="006950DA">
                  <w:rPr>
                    <w:rFonts w:eastAsia="Arial"/>
                    <w:b/>
                  </w:rPr>
                  <w:t xml:space="preserve"> 21 mai 2025</w:t>
                </w:r>
              </w:sdtContent>
            </w:sdt>
            <w:r w:rsidR="0026577E" w:rsidRPr="006950DA">
              <w:rPr>
                <w:rFonts w:eastAsia="Arial"/>
                <w:b/>
              </w:rPr>
              <w:t xml:space="preserve"> à 16h00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05AA4F4B" w14:textId="71012AFC" w:rsidR="00A524C2" w:rsidRPr="00A524C2" w:rsidRDefault="0026577E" w:rsidP="00A524C2">
      <w:r w:rsidRPr="008504FB">
        <w:t>La présente procédure a pour objet</w:t>
      </w:r>
      <w:r w:rsidR="00A524C2" w:rsidRPr="00A524C2">
        <w:rPr>
          <w:rFonts w:ascii="Arial" w:hAnsi="Arial"/>
          <w:sz w:val="20"/>
          <w:shd w:val="clear" w:color="auto" w:fill="auto"/>
        </w:rPr>
        <w:t xml:space="preserve"> </w:t>
      </w:r>
      <w:r w:rsidR="00A524C2" w:rsidRPr="00A524C2">
        <w:t xml:space="preserve">la réalisation de prestations d’audits, d’expertises et d’assistance pour le maintien et le renforcement de la sécurité informatique du système d’information de la </w:t>
      </w:r>
      <w:r w:rsidR="00A524C2">
        <w:t>B</w:t>
      </w:r>
      <w:r w:rsidR="00A524C2" w:rsidRPr="00A524C2">
        <w:t>ibliothèque nationale de France.</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0F415C2A" w14:textId="77777777" w:rsidR="00DD3E7E" w:rsidRDefault="00DD3E7E" w:rsidP="00DD3E7E">
      <w:r>
        <w:t>Le marché est un marché de services.</w:t>
      </w:r>
    </w:p>
    <w:p w14:paraId="2364EFEF" w14:textId="4E1E1048" w:rsidR="00DD3E7E" w:rsidRDefault="000002DE" w:rsidP="00DD3E7E">
      <w:r>
        <w:t>Il s’agit d’</w:t>
      </w:r>
      <w:r w:rsidR="00DD3E7E">
        <w:t xml:space="preserve">un accord-cadre mono-attributaire </w:t>
      </w:r>
      <w:r w:rsidR="001D7592" w:rsidRPr="001D7592">
        <w:t xml:space="preserve">avec émission de bons de commandes conclu avec un montant minimum </w:t>
      </w:r>
      <w:r w:rsidR="001D7592">
        <w:t>et</w:t>
      </w:r>
      <w:r w:rsidR="001D7592" w:rsidRPr="001D7592">
        <w:t xml:space="preserve"> avec un montant maximum, </w:t>
      </w:r>
      <w:r w:rsidR="00DD3E7E">
        <w:t>en application des articles R. 2162-</w:t>
      </w:r>
      <w:r w:rsidR="005E2351">
        <w:t>1</w:t>
      </w:r>
      <w:r w:rsidR="00DD3E7E">
        <w:t xml:space="preserve"> à R. 2162-6, R2162-13 et R2162-14 du Code de la commande publique.</w:t>
      </w:r>
    </w:p>
    <w:p w14:paraId="7E6DB54A" w14:textId="5065CDE2" w:rsidR="00DD3E7E" w:rsidRDefault="005E2351" w:rsidP="00DD3E7E">
      <w:r>
        <w:t xml:space="preserve">Le marché </w:t>
      </w:r>
      <w:r w:rsidR="00DD3E7E">
        <w:t>est conclu à prix mixte</w:t>
      </w:r>
      <w:r>
        <w:t>s</w:t>
      </w:r>
      <w:r w:rsidR="00DD3E7E">
        <w:t xml:space="preserve">. </w:t>
      </w:r>
      <w:r w:rsidR="00491433">
        <w:t xml:space="preserve">D’une part, il </w:t>
      </w:r>
      <w:r w:rsidR="00DD3E7E">
        <w:t xml:space="preserve">est </w:t>
      </w:r>
      <w:r w:rsidR="00491433">
        <w:t xml:space="preserve">conclu </w:t>
      </w:r>
      <w:r w:rsidR="00DD3E7E">
        <w:t xml:space="preserve">à prix global et forfaitaire pour les prestations d’un </w:t>
      </w:r>
      <w:r w:rsidR="00491433">
        <w:t>a</w:t>
      </w:r>
      <w:r w:rsidR="00DD3E7E">
        <w:t xml:space="preserve">udit du domaine Bnf.fr (Poste 1) et </w:t>
      </w:r>
      <w:r w:rsidR="00DD3E7E" w:rsidRPr="00853C48">
        <w:t>d</w:t>
      </w:r>
      <w:r w:rsidR="00853C48" w:rsidRPr="00853C48">
        <w:t>’</w:t>
      </w:r>
      <w:r w:rsidR="00DD3E7E" w:rsidRPr="00853C48">
        <w:t>audits de suivi régulier (Poste 2).</w:t>
      </w:r>
      <w:r w:rsidR="00DD3E7E">
        <w:t xml:space="preserve"> </w:t>
      </w:r>
      <w:r w:rsidR="00491433">
        <w:t xml:space="preserve">D’autre part, il </w:t>
      </w:r>
      <w:r w:rsidR="00DD3E7E">
        <w:t>comp</w:t>
      </w:r>
      <w:r w:rsidR="00384375">
        <w:t xml:space="preserve">rend </w:t>
      </w:r>
      <w:r w:rsidR="00DD3E7E">
        <w:t>également une part</w:t>
      </w:r>
      <w:r w:rsidR="00384375">
        <w:t>ie</w:t>
      </w:r>
      <w:r w:rsidR="00DD3E7E">
        <w:t xml:space="preserve"> à bons de commande sur la base des prix </w:t>
      </w:r>
      <w:r w:rsidR="00384375">
        <w:t xml:space="preserve">figurant dans le </w:t>
      </w:r>
      <w:r w:rsidR="00DD3E7E">
        <w:t xml:space="preserve">Bordereau des prix unitaires. </w:t>
      </w:r>
      <w:r w:rsidR="00384375">
        <w:t xml:space="preserve">Cette partie à bons de commande comporte un </w:t>
      </w:r>
      <w:r w:rsidR="00384375" w:rsidRPr="00384375">
        <w:t xml:space="preserve">montant minimum annuel de </w:t>
      </w:r>
      <w:r w:rsidR="009B5815">
        <w:t>1</w:t>
      </w:r>
      <w:r w:rsidR="00384375" w:rsidRPr="00384375">
        <w:t xml:space="preserve">0 000 euros </w:t>
      </w:r>
      <w:r w:rsidR="00FE604F">
        <w:t xml:space="preserve">HT </w:t>
      </w:r>
      <w:bookmarkStart w:id="0" w:name="_GoBack"/>
      <w:bookmarkEnd w:id="0"/>
      <w:r w:rsidR="00384375" w:rsidRPr="00384375">
        <w:t>et un montant maximum annuel de 120 000 euros HT,</w:t>
      </w:r>
    </w:p>
    <w:p w14:paraId="3A9D38E3" w14:textId="77777777" w:rsidR="0026577E" w:rsidRPr="008504FB" w:rsidRDefault="0026577E" w:rsidP="00467E6D">
      <w:pPr>
        <w:pStyle w:val="Titre1"/>
        <w:rPr>
          <w:rFonts w:ascii="Times New Roman" w:hAnsi="Times New Roman"/>
        </w:rPr>
      </w:pPr>
      <w:bookmarkStart w:id="1" w:name="_heading=h.17fv8dwzu06g" w:colFirst="0" w:colLast="0"/>
      <w:bookmarkEnd w:id="1"/>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5218E6CE" w14:textId="05DD68E7" w:rsidR="0026577E" w:rsidRPr="00A32988" w:rsidRDefault="00940FB9" w:rsidP="0026577E">
      <w:pPr>
        <w:rPr>
          <w:color w:val="000000" w:themeColor="text1"/>
        </w:rPr>
      </w:pPr>
      <w:r w:rsidRPr="00A32988">
        <w:rPr>
          <w:color w:val="000000" w:themeColor="text1"/>
        </w:rPr>
        <w:t>Le marché n’est pas alloti au sens des articles L.2113-10, L.2113-11, R.2113-2 et R.2113-3 du Code de la commande publique, car l’objet ne permet pas l’identification de prestations distinctes.</w:t>
      </w: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5238578A" w14:textId="5B93C082" w:rsidR="00F21685" w:rsidRPr="00F21685" w:rsidRDefault="00F21685" w:rsidP="00F21685">
      <w:pPr>
        <w:rPr>
          <w:color w:val="000000" w:themeColor="text1"/>
        </w:rPr>
      </w:pPr>
      <w:r w:rsidRPr="00F21685">
        <w:rPr>
          <w:color w:val="000000" w:themeColor="text1"/>
        </w:rPr>
        <w:t xml:space="preserve">Le marché est conclu pour une durée d’un an à compter du </w:t>
      </w:r>
      <w:r>
        <w:rPr>
          <w:color w:val="000000" w:themeColor="text1"/>
        </w:rPr>
        <w:t xml:space="preserve">23 juin 2025 </w:t>
      </w:r>
      <w:r w:rsidRPr="00F21685">
        <w:rPr>
          <w:color w:val="000000" w:themeColor="text1"/>
        </w:rPr>
        <w:t>ou de sa notification au titulaire si celle-ci est postérieure.</w:t>
      </w:r>
    </w:p>
    <w:p w14:paraId="568320F3" w14:textId="3261AA18" w:rsidR="00F21685" w:rsidRPr="00F21685" w:rsidRDefault="00F21685" w:rsidP="00F21685">
      <w:pPr>
        <w:rPr>
          <w:color w:val="000000" w:themeColor="text1"/>
        </w:rPr>
      </w:pPr>
      <w:r w:rsidRPr="00F21685">
        <w:rPr>
          <w:color w:val="000000" w:themeColor="text1"/>
        </w:rPr>
        <w:t xml:space="preserve">Ensuite, le marché est reconductible tacitement </w:t>
      </w:r>
      <w:r>
        <w:rPr>
          <w:color w:val="000000" w:themeColor="text1"/>
        </w:rPr>
        <w:t xml:space="preserve">trois </w:t>
      </w:r>
      <w:r w:rsidRPr="00F21685">
        <w:rPr>
          <w:color w:val="000000" w:themeColor="text1"/>
        </w:rPr>
        <w:t>fois maximum pour une période de douze mois. Trois mois avant la fin de la période concernée, la BnF informera le cas échéant le titulaire de sa décision de ne pas reconduire le marché par lettre recommandée avec accusé de réception.</w:t>
      </w:r>
    </w:p>
    <w:p w14:paraId="4CD058EA" w14:textId="5A686A2E" w:rsidR="007671B4" w:rsidRPr="00F21685" w:rsidRDefault="00F21685" w:rsidP="00F21685">
      <w:pPr>
        <w:rPr>
          <w:color w:val="000000" w:themeColor="text1"/>
        </w:rPr>
      </w:pPr>
      <w:r w:rsidRPr="00F21685">
        <w:rPr>
          <w:color w:val="000000" w:themeColor="text1"/>
        </w:rPr>
        <w:t xml:space="preserve">Le titulaire du marché ne peut pas refuser la reconduction et ne peut se prévaloir d’aucune indemnité en cas d’absence de reconduction. </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06259947"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2EA5B54F" w:rsidR="0026577E" w:rsidRPr="008504FB" w:rsidRDefault="0026577E" w:rsidP="0026577E">
      <w:pPr>
        <w:rPr>
          <w:color w:val="FF0000"/>
        </w:rPr>
      </w:pPr>
      <w:r w:rsidRPr="008504FB">
        <w:t xml:space="preserve">L’un des membres du groupement devra être désigné comme mandataire du groupement. </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243A6E02"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709AF66D" w14:textId="77777777" w:rsidR="0026577E" w:rsidRPr="00F21685" w:rsidRDefault="0026577E" w:rsidP="0026577E">
      <w:pPr>
        <w:rPr>
          <w:color w:val="000000" w:themeColor="text1"/>
        </w:rPr>
      </w:pPr>
      <w:r w:rsidRPr="008504FB">
        <w:t xml:space="preserve">Au stade de l’attribution, le groupement devra impérativement être conjoint avec solidarité du </w:t>
      </w:r>
      <w:r w:rsidRPr="00F21685">
        <w:rPr>
          <w:color w:val="000000" w:themeColor="text1"/>
        </w:rPr>
        <w:t>mandataire ou 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0BA9C720" w:rsidR="0026577E" w:rsidRDefault="0026577E" w:rsidP="0026577E">
      <w:r w:rsidRPr="008504FB">
        <w:t>Le délai de validité des offres est fixé à cinq (5) mois à compter de la date limite de remise des propositions</w:t>
      </w:r>
      <w:r w:rsidR="004B514E" w:rsidRPr="004B514E">
        <w:t>, négociées le cas échéant.</w:t>
      </w:r>
      <w:r w:rsidR="00467E6D" w:rsidRPr="008504FB">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09842BA1" w14:textId="192FE569" w:rsidR="00F716F0" w:rsidRDefault="00C77E92" w:rsidP="0026577E">
      <w:r w:rsidRPr="00AD4504">
        <w:t>72810000</w:t>
      </w:r>
      <w:r w:rsidR="00AD4504" w:rsidRPr="00AD4504">
        <w:t xml:space="preserve"> : </w:t>
      </w:r>
      <w:r w:rsidRPr="00AD4504">
        <w:t>Services d'audit informatique</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lastRenderedPageBreak/>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4B514E" w:rsidRDefault="0025733D" w:rsidP="0025733D">
      <w:pPr>
        <w:rPr>
          <w:color w:val="000000" w:themeColor="text1"/>
        </w:rPr>
      </w:pPr>
      <w:r w:rsidRPr="004B514E">
        <w:rPr>
          <w:color w:val="000000" w:themeColor="text1"/>
        </w:rPr>
        <w:t>Le dossier de consultation des entreprises comprend les pièces suivantes :</w:t>
      </w:r>
    </w:p>
    <w:p w14:paraId="54FE5B5A" w14:textId="77777777" w:rsidR="0025733D" w:rsidRPr="004B514E" w:rsidRDefault="0025733D" w:rsidP="0025733D">
      <w:pPr>
        <w:numPr>
          <w:ilvl w:val="0"/>
          <w:numId w:val="10"/>
        </w:numPr>
        <w:pBdr>
          <w:top w:val="nil"/>
          <w:left w:val="nil"/>
          <w:bottom w:val="nil"/>
          <w:right w:val="nil"/>
          <w:between w:val="nil"/>
        </w:pBdr>
        <w:rPr>
          <w:color w:val="000000" w:themeColor="text1"/>
        </w:rPr>
      </w:pPr>
      <w:r w:rsidRPr="004B514E">
        <w:rPr>
          <w:rFonts w:eastAsia="Arimo"/>
          <w:color w:val="000000" w:themeColor="text1"/>
        </w:rPr>
        <w:t>Le règlement particulier de la consultation (RPC) et ses annexes :</w:t>
      </w:r>
    </w:p>
    <w:p w14:paraId="3D0372F2" w14:textId="77777777" w:rsidR="0025733D" w:rsidRPr="004B514E" w:rsidRDefault="0025733D" w:rsidP="0025733D">
      <w:pPr>
        <w:numPr>
          <w:ilvl w:val="1"/>
          <w:numId w:val="10"/>
        </w:numPr>
        <w:pBdr>
          <w:top w:val="nil"/>
          <w:left w:val="nil"/>
          <w:bottom w:val="nil"/>
          <w:right w:val="nil"/>
          <w:between w:val="nil"/>
        </w:pBdr>
        <w:rPr>
          <w:color w:val="000000" w:themeColor="text1"/>
        </w:rPr>
      </w:pPr>
      <w:r w:rsidRPr="004B514E">
        <w:rPr>
          <w:rFonts w:eastAsia="Arimo"/>
          <w:color w:val="000000" w:themeColor="text1"/>
        </w:rPr>
        <w:t>Annexe 1 : La fiche de synthèse ;</w:t>
      </w:r>
    </w:p>
    <w:p w14:paraId="485D934B" w14:textId="77777777" w:rsidR="0025733D" w:rsidRPr="004B514E" w:rsidRDefault="0025733D" w:rsidP="0025733D">
      <w:pPr>
        <w:numPr>
          <w:ilvl w:val="1"/>
          <w:numId w:val="10"/>
        </w:numPr>
        <w:pBdr>
          <w:top w:val="nil"/>
          <w:left w:val="nil"/>
          <w:bottom w:val="nil"/>
          <w:right w:val="nil"/>
          <w:between w:val="nil"/>
        </w:pBdr>
        <w:rPr>
          <w:rFonts w:eastAsia="Arimo"/>
          <w:color w:val="000000" w:themeColor="text1"/>
        </w:rPr>
      </w:pPr>
      <w:r w:rsidRPr="004B514E">
        <w:rPr>
          <w:rFonts w:eastAsia="Arimo"/>
          <w:color w:val="000000" w:themeColor="text1"/>
        </w:rPr>
        <w:t>Annexe 2 : Le questionnaire Mixité/Diversité</w:t>
      </w:r>
      <w:r w:rsidR="00C608D5" w:rsidRPr="004B514E">
        <w:rPr>
          <w:rFonts w:eastAsia="Arimo"/>
          <w:color w:val="000000" w:themeColor="text1"/>
        </w:rPr>
        <w:t xml:space="preserve"> (cf. article </w:t>
      </w:r>
      <w:r w:rsidR="00D51831" w:rsidRPr="004B514E">
        <w:rPr>
          <w:rFonts w:eastAsia="Arimo"/>
          <w:color w:val="000000" w:themeColor="text1"/>
        </w:rPr>
        <w:t>11</w:t>
      </w:r>
      <w:r w:rsidR="00C608D5" w:rsidRPr="004B514E">
        <w:rPr>
          <w:rFonts w:eastAsia="Arimo"/>
          <w:color w:val="000000" w:themeColor="text1"/>
        </w:rPr>
        <w:t xml:space="preserve"> du présent document)</w:t>
      </w:r>
    </w:p>
    <w:p w14:paraId="48E874DE" w14:textId="387641F8" w:rsidR="0025733D" w:rsidRPr="004B514E" w:rsidRDefault="0025733D" w:rsidP="0025733D">
      <w:pPr>
        <w:numPr>
          <w:ilvl w:val="1"/>
          <w:numId w:val="10"/>
        </w:numPr>
        <w:pBdr>
          <w:top w:val="nil"/>
          <w:left w:val="nil"/>
          <w:bottom w:val="nil"/>
          <w:right w:val="nil"/>
          <w:between w:val="nil"/>
        </w:pBdr>
        <w:rPr>
          <w:rFonts w:eastAsia="Arimo"/>
          <w:color w:val="000000" w:themeColor="text1"/>
        </w:rPr>
      </w:pPr>
      <w:r w:rsidRPr="004B514E">
        <w:rPr>
          <w:rFonts w:eastAsia="Arimo"/>
          <w:color w:val="000000" w:themeColor="text1"/>
        </w:rPr>
        <w:t xml:space="preserve">Annexe 3 : Le </w:t>
      </w:r>
      <w:r w:rsidR="004B514E" w:rsidRPr="004B514E">
        <w:rPr>
          <w:rFonts w:eastAsia="Arimo"/>
          <w:color w:val="000000" w:themeColor="text1"/>
        </w:rPr>
        <w:t xml:space="preserve">panel </w:t>
      </w:r>
      <w:r w:rsidRPr="004B514E">
        <w:rPr>
          <w:rFonts w:eastAsia="Arimo"/>
          <w:color w:val="000000" w:themeColor="text1"/>
        </w:rPr>
        <w:t>(document non contractuel servant de base à l’analyse financière des offres)</w:t>
      </w:r>
      <w:r w:rsidRPr="004B514E">
        <w:rPr>
          <w:color w:val="000000" w:themeColor="text1"/>
        </w:rPr>
        <w:t xml:space="preserve"> ;</w:t>
      </w:r>
    </w:p>
    <w:p w14:paraId="18D85393" w14:textId="77777777" w:rsidR="0025733D" w:rsidRPr="004B514E" w:rsidRDefault="0025733D" w:rsidP="0025733D">
      <w:pPr>
        <w:numPr>
          <w:ilvl w:val="1"/>
          <w:numId w:val="10"/>
        </w:numPr>
        <w:pBdr>
          <w:top w:val="nil"/>
          <w:left w:val="nil"/>
          <w:bottom w:val="nil"/>
          <w:right w:val="nil"/>
          <w:between w:val="nil"/>
        </w:pBdr>
        <w:rPr>
          <w:rFonts w:eastAsia="Arimo"/>
          <w:color w:val="000000" w:themeColor="text1"/>
        </w:rPr>
      </w:pPr>
      <w:r w:rsidRPr="004B514E">
        <w:rPr>
          <w:rFonts w:eastAsia="Arimo"/>
          <w:color w:val="000000" w:themeColor="text1"/>
        </w:rPr>
        <w:t>Annexe 4 : Le cadre de mémoire technique ;</w:t>
      </w:r>
    </w:p>
    <w:p w14:paraId="43B05917" w14:textId="77777777" w:rsidR="0025733D" w:rsidRPr="004B514E" w:rsidRDefault="0025733D" w:rsidP="0025733D">
      <w:pPr>
        <w:numPr>
          <w:ilvl w:val="0"/>
          <w:numId w:val="10"/>
        </w:numPr>
        <w:pBdr>
          <w:top w:val="nil"/>
          <w:left w:val="nil"/>
          <w:bottom w:val="nil"/>
          <w:right w:val="nil"/>
          <w:between w:val="nil"/>
        </w:pBdr>
        <w:rPr>
          <w:color w:val="000000" w:themeColor="text1"/>
        </w:rPr>
      </w:pPr>
      <w:r w:rsidRPr="004B514E">
        <w:rPr>
          <w:rFonts w:eastAsia="Arimo"/>
          <w:color w:val="000000" w:themeColor="text1"/>
        </w:rPr>
        <w:t xml:space="preserve">Le document unique de marché européen </w:t>
      </w:r>
      <w:r w:rsidRPr="004B514E">
        <w:rPr>
          <w:rFonts w:eastAsia="Arimo"/>
          <w:b/>
          <w:color w:val="000000" w:themeColor="text1"/>
        </w:rPr>
        <w:t>(DUME – format XML)</w:t>
      </w:r>
      <w:r w:rsidRPr="004B514E">
        <w:rPr>
          <w:rFonts w:eastAsia="Arimo"/>
          <w:color w:val="000000" w:themeColor="text1"/>
        </w:rPr>
        <w:t> ;</w:t>
      </w:r>
    </w:p>
    <w:p w14:paraId="5F569E45" w14:textId="77777777" w:rsidR="0025733D" w:rsidRPr="004B514E" w:rsidRDefault="00FC0EB7" w:rsidP="0025733D">
      <w:pPr>
        <w:numPr>
          <w:ilvl w:val="0"/>
          <w:numId w:val="10"/>
        </w:numPr>
        <w:pBdr>
          <w:top w:val="nil"/>
          <w:left w:val="nil"/>
          <w:bottom w:val="nil"/>
          <w:right w:val="nil"/>
          <w:between w:val="nil"/>
        </w:pBdr>
        <w:rPr>
          <w:color w:val="000000" w:themeColor="text1"/>
        </w:rPr>
      </w:pPr>
      <w:r w:rsidRPr="004B514E">
        <w:rPr>
          <w:rFonts w:eastAsia="Arimo"/>
          <w:color w:val="000000" w:themeColor="text1"/>
        </w:rPr>
        <w:t xml:space="preserve">L’acte d’engagement </w:t>
      </w:r>
      <w:r w:rsidR="0025733D" w:rsidRPr="004B514E">
        <w:rPr>
          <w:rFonts w:eastAsia="Arimo"/>
          <w:color w:val="000000" w:themeColor="text1"/>
        </w:rPr>
        <w:t>(AE</w:t>
      </w:r>
      <w:r w:rsidRPr="004B514E">
        <w:rPr>
          <w:rFonts w:eastAsia="Arimo"/>
          <w:color w:val="000000" w:themeColor="text1"/>
        </w:rPr>
        <w:t xml:space="preserve"> – format Word</w:t>
      </w:r>
      <w:r w:rsidR="0025733D" w:rsidRPr="004B514E">
        <w:rPr>
          <w:rFonts w:eastAsia="Arimo"/>
          <w:color w:val="000000" w:themeColor="text1"/>
        </w:rPr>
        <w:t xml:space="preserve">) et ses annexes : </w:t>
      </w:r>
    </w:p>
    <w:p w14:paraId="176EE566" w14:textId="09872F4E" w:rsidR="0025733D" w:rsidRPr="004B514E" w:rsidRDefault="0025733D" w:rsidP="0025733D">
      <w:pPr>
        <w:numPr>
          <w:ilvl w:val="1"/>
          <w:numId w:val="10"/>
        </w:numPr>
        <w:pBdr>
          <w:top w:val="nil"/>
          <w:left w:val="nil"/>
          <w:bottom w:val="nil"/>
          <w:right w:val="nil"/>
          <w:between w:val="nil"/>
        </w:pBdr>
        <w:rPr>
          <w:color w:val="000000" w:themeColor="text1"/>
        </w:rPr>
      </w:pPr>
      <w:r w:rsidRPr="004B514E">
        <w:rPr>
          <w:rFonts w:eastAsia="Arimo"/>
          <w:color w:val="000000" w:themeColor="text1"/>
        </w:rPr>
        <w:t xml:space="preserve">Annexe </w:t>
      </w:r>
      <w:r w:rsidR="004B514E" w:rsidRPr="004B514E">
        <w:rPr>
          <w:rFonts w:eastAsia="Arimo"/>
          <w:color w:val="000000" w:themeColor="text1"/>
        </w:rPr>
        <w:t>1</w:t>
      </w:r>
      <w:r w:rsidRPr="004B514E">
        <w:rPr>
          <w:rFonts w:eastAsia="Arimo"/>
          <w:color w:val="000000" w:themeColor="text1"/>
        </w:rPr>
        <w:t xml:space="preserve"> : La déclaration de sous-traitance et d’agrément des conditions de paiement (le cas échéant) ;</w:t>
      </w:r>
    </w:p>
    <w:p w14:paraId="146339AC" w14:textId="69661431" w:rsidR="0025733D" w:rsidRPr="004B514E" w:rsidRDefault="0025733D" w:rsidP="0025733D">
      <w:pPr>
        <w:numPr>
          <w:ilvl w:val="1"/>
          <w:numId w:val="10"/>
        </w:numPr>
        <w:pBdr>
          <w:top w:val="nil"/>
          <w:left w:val="nil"/>
          <w:bottom w:val="nil"/>
          <w:right w:val="nil"/>
          <w:between w:val="nil"/>
        </w:pBdr>
        <w:rPr>
          <w:color w:val="000000" w:themeColor="text1"/>
        </w:rPr>
      </w:pPr>
      <w:r w:rsidRPr="004B514E">
        <w:rPr>
          <w:rFonts w:eastAsia="Arimo"/>
          <w:color w:val="000000" w:themeColor="text1"/>
        </w:rPr>
        <w:t xml:space="preserve">Annexe </w:t>
      </w:r>
      <w:r w:rsidR="004B514E" w:rsidRPr="004B514E">
        <w:rPr>
          <w:rFonts w:eastAsia="Arimo"/>
          <w:color w:val="000000" w:themeColor="text1"/>
        </w:rPr>
        <w:t>2</w:t>
      </w:r>
      <w:r w:rsidRPr="004B514E">
        <w:rPr>
          <w:color w:val="000000" w:themeColor="text1"/>
        </w:rPr>
        <w:t xml:space="preserve"> </w:t>
      </w:r>
      <w:r w:rsidRPr="004B514E">
        <w:rPr>
          <w:rFonts w:eastAsia="Arimo"/>
          <w:color w:val="000000" w:themeColor="text1"/>
        </w:rPr>
        <w:t>: La décomposition du prix global et forfaitaire (DPGF – format Excel)</w:t>
      </w:r>
      <w:r w:rsidRPr="004B514E">
        <w:rPr>
          <w:color w:val="000000" w:themeColor="text1"/>
        </w:rPr>
        <w:t xml:space="preserve"> ;</w:t>
      </w:r>
    </w:p>
    <w:p w14:paraId="3DA83721" w14:textId="7C2871F5" w:rsidR="0025733D" w:rsidRPr="004B514E" w:rsidRDefault="0025733D" w:rsidP="0025733D">
      <w:pPr>
        <w:numPr>
          <w:ilvl w:val="1"/>
          <w:numId w:val="10"/>
        </w:numPr>
        <w:pBdr>
          <w:top w:val="nil"/>
          <w:left w:val="nil"/>
          <w:bottom w:val="nil"/>
          <w:right w:val="nil"/>
          <w:between w:val="nil"/>
        </w:pBdr>
        <w:rPr>
          <w:color w:val="000000" w:themeColor="text1"/>
        </w:rPr>
      </w:pPr>
      <w:r w:rsidRPr="004B514E">
        <w:rPr>
          <w:color w:val="000000" w:themeColor="text1"/>
        </w:rPr>
        <w:t xml:space="preserve">Annexe </w:t>
      </w:r>
      <w:r w:rsidR="004B514E" w:rsidRPr="004B514E">
        <w:rPr>
          <w:color w:val="000000" w:themeColor="text1"/>
        </w:rPr>
        <w:t xml:space="preserve">3 : </w:t>
      </w:r>
      <w:r w:rsidRPr="004B514E">
        <w:rPr>
          <w:rFonts w:eastAsia="Arimo"/>
          <w:color w:val="000000" w:themeColor="text1"/>
        </w:rPr>
        <w:t>Le bordereau des prix unitaires (BPU)</w:t>
      </w:r>
      <w:r w:rsidRPr="004B514E">
        <w:rPr>
          <w:color w:val="000000" w:themeColor="text1"/>
        </w:rPr>
        <w:t xml:space="preserve"> ;</w:t>
      </w:r>
    </w:p>
    <w:p w14:paraId="3512201B" w14:textId="77777777" w:rsidR="0025733D" w:rsidRPr="004B514E" w:rsidRDefault="0025733D" w:rsidP="0025733D">
      <w:pPr>
        <w:numPr>
          <w:ilvl w:val="0"/>
          <w:numId w:val="10"/>
        </w:numPr>
        <w:pBdr>
          <w:top w:val="nil"/>
          <w:left w:val="nil"/>
          <w:bottom w:val="nil"/>
          <w:right w:val="nil"/>
          <w:between w:val="nil"/>
        </w:pBdr>
        <w:rPr>
          <w:color w:val="000000" w:themeColor="text1"/>
        </w:rPr>
      </w:pPr>
      <w:r w:rsidRPr="004B514E">
        <w:rPr>
          <w:rFonts w:eastAsia="Arimo"/>
          <w:color w:val="000000" w:themeColor="text1"/>
        </w:rPr>
        <w:t>Le cahier des clauses administratives particulières (CCAP) ;</w:t>
      </w:r>
    </w:p>
    <w:p w14:paraId="5DC9127E" w14:textId="45C95A34" w:rsidR="0025733D" w:rsidRPr="004B514E" w:rsidRDefault="0025733D" w:rsidP="004B514E">
      <w:pPr>
        <w:pStyle w:val="Paragraphedeliste"/>
        <w:numPr>
          <w:ilvl w:val="0"/>
          <w:numId w:val="10"/>
        </w:numPr>
        <w:pBdr>
          <w:top w:val="nil"/>
          <w:left w:val="nil"/>
          <w:bottom w:val="nil"/>
          <w:right w:val="nil"/>
          <w:between w:val="nil"/>
        </w:pBdr>
        <w:rPr>
          <w:color w:val="000000" w:themeColor="text1"/>
        </w:rPr>
      </w:pPr>
      <w:r w:rsidRPr="004B514E">
        <w:rPr>
          <w:rFonts w:eastAsia="Arimo"/>
          <w:color w:val="000000" w:themeColor="text1"/>
        </w:rPr>
        <w:t>Le cahier des clauses techniques particulières (CCTP)</w:t>
      </w:r>
    </w:p>
    <w:p w14:paraId="05D76756"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lastRenderedPageBreak/>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lastRenderedPageBreak/>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8504FB" w:rsidRDefault="0026577E" w:rsidP="0026577E">
      <w:r w:rsidRPr="008504FB">
        <w:t>Le soumissionnaire fournit obligatoirement les éléments suivants dans son offre, 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331976A6" w:rsidR="0026577E" w:rsidRPr="00D05F42" w:rsidRDefault="00787BE5" w:rsidP="00351A41">
      <w:pPr>
        <w:numPr>
          <w:ilvl w:val="0"/>
          <w:numId w:val="4"/>
        </w:numPr>
        <w:pBdr>
          <w:top w:val="nil"/>
          <w:left w:val="nil"/>
          <w:bottom w:val="nil"/>
          <w:right w:val="nil"/>
          <w:between w:val="nil"/>
        </w:pBdr>
        <w:rPr>
          <w:color w:val="000000" w:themeColor="text1"/>
        </w:rPr>
      </w:pPr>
      <w:r w:rsidRPr="00787BE5">
        <w:rPr>
          <w:rFonts w:eastAsia="Arimo"/>
          <w:color w:val="000000" w:themeColor="text1"/>
        </w:rPr>
        <w:t>L</w:t>
      </w:r>
      <w:r w:rsidR="0026577E" w:rsidRPr="00787BE5">
        <w:rPr>
          <w:rFonts w:eastAsia="Arimo"/>
          <w:color w:val="000000" w:themeColor="text1"/>
        </w:rPr>
        <w:t>a décomposition du prix global et forfaitaire</w:t>
      </w:r>
      <w:r w:rsidRPr="00787BE5">
        <w:rPr>
          <w:rFonts w:eastAsia="Arimo"/>
          <w:color w:val="000000" w:themeColor="text1"/>
        </w:rPr>
        <w:t>,</w:t>
      </w:r>
      <w:r w:rsidR="0026577E" w:rsidRPr="00787BE5">
        <w:rPr>
          <w:rFonts w:eastAsia="Arimo"/>
          <w:color w:val="000000" w:themeColor="text1"/>
        </w:rPr>
        <w:t xml:space="preserve"> </w:t>
      </w:r>
      <w:bookmarkStart w:id="2" w:name="_Hlk190695018"/>
      <w:r w:rsidR="0026577E" w:rsidRPr="00787BE5">
        <w:rPr>
          <w:rFonts w:eastAsia="Arimo"/>
          <w:color w:val="000000" w:themeColor="text1"/>
        </w:rPr>
        <w:t>dûment et intégralement complété</w:t>
      </w:r>
      <w:r w:rsidRPr="00787BE5">
        <w:rPr>
          <w:rFonts w:eastAsia="Arimo"/>
          <w:color w:val="000000" w:themeColor="text1"/>
        </w:rPr>
        <w:t>e</w:t>
      </w:r>
      <w:r w:rsidR="0026577E" w:rsidRPr="00787BE5">
        <w:rPr>
          <w:rFonts w:eastAsia="Arimo"/>
          <w:color w:val="000000" w:themeColor="text1"/>
        </w:rPr>
        <w:t xml:space="preserve"> sous format .XLS ou XLSX (offre financière chiffrée en euros). </w:t>
      </w:r>
    </w:p>
    <w:p w14:paraId="403D24F6" w14:textId="77777777" w:rsidR="00D05F42" w:rsidRPr="00D05F42" w:rsidRDefault="00D05F42" w:rsidP="00D05F42">
      <w:pPr>
        <w:pStyle w:val="Paragraphedeliste"/>
        <w:numPr>
          <w:ilvl w:val="0"/>
          <w:numId w:val="4"/>
        </w:numPr>
        <w:rPr>
          <w:color w:val="000000" w:themeColor="text1"/>
        </w:rPr>
      </w:pPr>
      <w:r w:rsidRPr="00D05F42">
        <w:rPr>
          <w:color w:val="000000" w:themeColor="text1"/>
        </w:rPr>
        <w:t xml:space="preserve">Le bordereau des prix, dûment et intégralement complété sous format .XLS ou XLSX (offre financière chiffrée en euros). </w:t>
      </w:r>
    </w:p>
    <w:bookmarkEnd w:id="2"/>
    <w:p w14:paraId="29F2B6F4" w14:textId="77777777" w:rsidR="0026577E" w:rsidRPr="00787BE5" w:rsidRDefault="0026577E" w:rsidP="00351A41">
      <w:pPr>
        <w:numPr>
          <w:ilvl w:val="0"/>
          <w:numId w:val="4"/>
        </w:numPr>
        <w:pBdr>
          <w:top w:val="nil"/>
          <w:left w:val="nil"/>
          <w:bottom w:val="nil"/>
          <w:right w:val="nil"/>
          <w:between w:val="nil"/>
        </w:pBdr>
        <w:rPr>
          <w:color w:val="000000" w:themeColor="text1"/>
        </w:rPr>
      </w:pPr>
      <w:r w:rsidRPr="00787BE5">
        <w:rPr>
          <w:rFonts w:eastAsia="Arimo"/>
          <w:color w:val="000000" w:themeColor="text1"/>
        </w:rPr>
        <w:t>Le cas échéant, les annexes relatives à la déclaration et la demande d'agrément des conditions de paiement d'un sous-traitant (imprimé DC4 téléchargeable sur le site du ministère en charge de l’économie ou équivalent).</w:t>
      </w:r>
    </w:p>
    <w:p w14:paraId="5F61828F" w14:textId="77777777" w:rsidR="0026577E" w:rsidRPr="00787BE5" w:rsidRDefault="0026577E" w:rsidP="00351A41">
      <w:pPr>
        <w:numPr>
          <w:ilvl w:val="0"/>
          <w:numId w:val="4"/>
        </w:numPr>
        <w:pBdr>
          <w:top w:val="nil"/>
          <w:left w:val="nil"/>
          <w:bottom w:val="nil"/>
          <w:right w:val="nil"/>
          <w:between w:val="nil"/>
        </w:pBdr>
        <w:rPr>
          <w:color w:val="000000" w:themeColor="text1"/>
        </w:rPr>
      </w:pPr>
      <w:r w:rsidRPr="00787BE5">
        <w:rPr>
          <w:rFonts w:eastAsia="Arimo"/>
          <w:color w:val="000000" w:themeColor="text1"/>
        </w:rPr>
        <w:t xml:space="preserve">Le mémoire technique, composé a minima des éléments </w:t>
      </w:r>
      <w:r w:rsidR="00055B27" w:rsidRPr="00787BE5">
        <w:rPr>
          <w:rFonts w:eastAsia="Arimo"/>
          <w:color w:val="000000" w:themeColor="text1"/>
        </w:rPr>
        <w:t>figurant au cadre de mémoire</w:t>
      </w:r>
    </w:p>
    <w:p w14:paraId="3ADA9293" w14:textId="77777777" w:rsidR="006F3B8A" w:rsidRPr="00787BE5" w:rsidRDefault="006F3B8A" w:rsidP="00B30EC0">
      <w:pPr>
        <w:spacing w:before="240" w:after="240"/>
        <w:rPr>
          <w:i/>
          <w:color w:val="000000" w:themeColor="text1"/>
          <w:sz w:val="20"/>
        </w:rPr>
      </w:pPr>
      <w:r w:rsidRPr="00787BE5">
        <w:rPr>
          <w:i/>
          <w:color w:val="000000" w:themeColor="text1"/>
          <w:sz w:val="16"/>
          <w:u w:val="single"/>
        </w:rPr>
        <w:t>NOTA</w:t>
      </w:r>
      <w:r w:rsidRPr="00787BE5">
        <w:rPr>
          <w:i/>
          <w:color w:val="000000" w:themeColor="text1"/>
          <w:sz w:val="16"/>
        </w:rPr>
        <w:t xml:space="preserve"> </w:t>
      </w:r>
      <w:r w:rsidRPr="00787BE5">
        <w:rPr>
          <w:i/>
          <w:color w:val="000000" w:themeColor="text1"/>
          <w:sz w:val="20"/>
        </w:rPr>
        <w:t>: Les soumissionnaires doivent impérativement respecter le cadre de mémoire technique mentionné ci-avant sous peine d’irrégularité de leur offre.</w:t>
      </w:r>
    </w:p>
    <w:p w14:paraId="22893DFC" w14:textId="30DA2AE3" w:rsidR="0026577E" w:rsidRPr="00787BE5" w:rsidRDefault="0026577E" w:rsidP="00351A41">
      <w:pPr>
        <w:numPr>
          <w:ilvl w:val="0"/>
          <w:numId w:val="4"/>
        </w:numPr>
        <w:pBdr>
          <w:top w:val="nil"/>
          <w:left w:val="nil"/>
          <w:bottom w:val="nil"/>
          <w:right w:val="nil"/>
          <w:between w:val="nil"/>
        </w:pBdr>
        <w:rPr>
          <w:rFonts w:eastAsia="Arimo"/>
          <w:color w:val="000000" w:themeColor="text1"/>
        </w:rPr>
      </w:pPr>
      <w:r w:rsidRPr="00787BE5">
        <w:rPr>
          <w:rFonts w:eastAsia="Arimo"/>
          <w:color w:val="000000" w:themeColor="text1"/>
        </w:rPr>
        <w:t xml:space="preserve">Le </w:t>
      </w:r>
      <w:r w:rsidR="00787BE5" w:rsidRPr="00787BE5">
        <w:rPr>
          <w:rFonts w:eastAsia="Arimo"/>
          <w:color w:val="000000" w:themeColor="text1"/>
        </w:rPr>
        <w:t>Panel, dûment et intégralement complété sous format .XLS ou XLSX (offre financière chiffrée en euros).</w:t>
      </w:r>
      <w:r w:rsidRPr="00787BE5">
        <w:rPr>
          <w:rFonts w:eastAsia="Arimo"/>
          <w:color w:val="000000" w:themeColor="text1"/>
        </w:rPr>
        <w:t xml:space="preserve"> </w:t>
      </w:r>
    </w:p>
    <w:p w14:paraId="061BC20B"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p>
    <w:p w14:paraId="1A0369F3"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lastRenderedPageBreak/>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r w:rsidRPr="00055B27">
              <w:rPr>
                <w:shd w:val="clear" w:color="auto" w:fill="auto"/>
              </w:rPr>
              <w:t>OU</w:t>
            </w:r>
          </w:p>
          <w:p w14:paraId="17AFAC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B259BD" w:rsidRPr="00055B27" w14:paraId="6B1A1FB9" w14:textId="77777777" w:rsidTr="00BB3AC8">
        <w:tc>
          <w:tcPr>
            <w:tcW w:w="0" w:type="auto"/>
            <w:gridSpan w:val="2"/>
            <w:shd w:val="clear" w:color="auto" w:fill="auto"/>
            <w:vAlign w:val="center"/>
          </w:tcPr>
          <w:p w14:paraId="0D9A14BC" w14:textId="6CB67430" w:rsidR="00B259BD" w:rsidRPr="00B259BD" w:rsidRDefault="00B259BD" w:rsidP="00B259BD">
            <w:pPr>
              <w:pStyle w:val="Paragraphedeliste"/>
              <w:numPr>
                <w:ilvl w:val="0"/>
                <w:numId w:val="14"/>
              </w:numPr>
              <w:ind w:left="530"/>
              <w:rPr>
                <w:shd w:val="clear" w:color="auto" w:fill="auto"/>
              </w:rPr>
            </w:pPr>
            <w:r w:rsidRPr="00B259BD">
              <w:rPr>
                <w:shd w:val="clear" w:color="auto" w:fill="auto"/>
              </w:rPr>
              <w:t xml:space="preserve">Le questionnaire mixité et diversité dûment complété </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r w:rsidRPr="00055B27">
              <w:rPr>
                <w:shd w:val="clear" w:color="auto" w:fill="auto"/>
              </w:rPr>
              <w:t>OU</w:t>
            </w:r>
          </w:p>
          <w:p w14:paraId="5EBE4DC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r w:rsidRPr="00055B27">
              <w:rPr>
                <w:shd w:val="clear" w:color="auto" w:fill="auto"/>
              </w:rPr>
              <w:t>OU</w:t>
            </w:r>
          </w:p>
          <w:p w14:paraId="75B81E75"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lastRenderedPageBreak/>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0B331B65" w14:textId="77777777" w:rsidR="00055B27" w:rsidRDefault="00055B27" w:rsidP="00787BE5">
      <w:pPr>
        <w:autoSpaceDE w:val="0"/>
        <w:autoSpaceDN w:val="0"/>
        <w:adjustRightInd w:val="0"/>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787BE5">
      <w:pPr>
        <w:autoSpaceDE w:val="0"/>
        <w:autoSpaceDN w:val="0"/>
        <w:adjustRightInd w:val="0"/>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787BE5">
      <w:pPr>
        <w:autoSpaceDE w:val="0"/>
        <w:autoSpaceDN w:val="0"/>
        <w:adjustRightInd w:val="0"/>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Default="00055B27" w:rsidP="00787BE5">
      <w:pPr>
        <w:autoSpaceDE w:val="0"/>
        <w:autoSpaceDN w:val="0"/>
        <w:adjustRightInd w:val="0"/>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787BE5">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787BE5">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787BE5">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77777777" w:rsidR="003B35C3" w:rsidRDefault="00027BE3" w:rsidP="00787BE5">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7652219B" w:rsidR="0026577E" w:rsidRDefault="0026577E" w:rsidP="0026577E">
      <w:r w:rsidRPr="008504FB">
        <w:t>Le jugement des offres sera effectué sur la base des critères mentionnés ci-après. La BnF retiendra l’offre économiquement la plus avantageuse présentant le meilleur rapport qualité-prix.</w:t>
      </w:r>
    </w:p>
    <w:p w14:paraId="47E02DB2" w14:textId="7E45DF33" w:rsidR="00E515CC" w:rsidRDefault="00E515CC">
      <w:pPr>
        <w:spacing w:before="0" w:after="200" w:line="276" w:lineRule="auto"/>
        <w:jc w:val="left"/>
      </w:pPr>
      <w:r>
        <w:br w:type="page"/>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lastRenderedPageBreak/>
              <w:t>CRITERE 1 : VALEUR TECHNIQUE (</w:t>
            </w:r>
            <w:r w:rsidRPr="00787BE5">
              <w:rPr>
                <w:rFonts w:eastAsia="Arimo"/>
                <w:b/>
                <w:color w:val="000000" w:themeColor="text1"/>
              </w:rPr>
              <w:t xml:space="preserve">50% </w:t>
            </w:r>
            <w:r w:rsidRPr="008504FB">
              <w:rPr>
                <w:rFonts w:eastAsia="Arimo"/>
                <w:b/>
                <w:color w:val="000000"/>
              </w:rPr>
              <w:t>de la note globale)</w:t>
            </w:r>
          </w:p>
        </w:tc>
      </w:tr>
    </w:tbl>
    <w:p w14:paraId="4E1F8C7E"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79"/>
        <w:gridCol w:w="2011"/>
      </w:tblGrid>
      <w:tr w:rsidR="0026577E" w:rsidRPr="008504FB" w14:paraId="18E72440" w14:textId="77777777" w:rsidTr="00787BE5">
        <w:tc>
          <w:tcPr>
            <w:tcW w:w="6479" w:type="dxa"/>
            <w:shd w:val="clear" w:color="auto" w:fill="auto"/>
            <w:tcMar>
              <w:top w:w="100" w:type="dxa"/>
              <w:left w:w="100" w:type="dxa"/>
              <w:bottom w:w="100" w:type="dxa"/>
              <w:right w:w="100" w:type="dxa"/>
            </w:tcMar>
          </w:tcPr>
          <w:p w14:paraId="2B5D8DF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011" w:type="dxa"/>
            <w:shd w:val="clear" w:color="auto" w:fill="auto"/>
            <w:tcMar>
              <w:top w:w="100" w:type="dxa"/>
              <w:left w:w="100" w:type="dxa"/>
              <w:bottom w:w="100" w:type="dxa"/>
              <w:right w:w="100" w:type="dxa"/>
            </w:tcMar>
          </w:tcPr>
          <w:p w14:paraId="3F1B646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787BE5" w:rsidRPr="008504FB" w14:paraId="24316AA6" w14:textId="77777777" w:rsidTr="00787BE5">
        <w:tc>
          <w:tcPr>
            <w:tcW w:w="6479" w:type="dxa"/>
            <w:shd w:val="clear" w:color="auto" w:fill="auto"/>
            <w:tcMar>
              <w:top w:w="100" w:type="dxa"/>
              <w:left w:w="100" w:type="dxa"/>
              <w:bottom w:w="100" w:type="dxa"/>
              <w:right w:w="100" w:type="dxa"/>
            </w:tcMar>
          </w:tcPr>
          <w:p w14:paraId="4E485265" w14:textId="18FF723B" w:rsidR="00787BE5" w:rsidRPr="008504FB" w:rsidRDefault="00787BE5" w:rsidP="00787BE5">
            <w:pPr>
              <w:widowControl w:val="0"/>
              <w:jc w:val="left"/>
            </w:pPr>
            <w:r w:rsidRPr="00117DF0">
              <w:t xml:space="preserve">Sous-critère n°1 : Couverture de l'offre, présentation générale de l'offre </w:t>
            </w:r>
          </w:p>
        </w:tc>
        <w:tc>
          <w:tcPr>
            <w:tcW w:w="2011" w:type="dxa"/>
            <w:shd w:val="clear" w:color="auto" w:fill="auto"/>
            <w:tcMar>
              <w:top w:w="100" w:type="dxa"/>
              <w:left w:w="100" w:type="dxa"/>
              <w:bottom w:w="100" w:type="dxa"/>
              <w:right w:w="100" w:type="dxa"/>
            </w:tcMar>
          </w:tcPr>
          <w:p w14:paraId="478DC0FC" w14:textId="1ACDFB0E" w:rsidR="00787BE5" w:rsidRPr="008504FB" w:rsidRDefault="00787BE5" w:rsidP="00787BE5">
            <w:pPr>
              <w:widowControl w:val="0"/>
              <w:pBdr>
                <w:top w:val="nil"/>
                <w:left w:val="nil"/>
                <w:bottom w:val="nil"/>
                <w:right w:val="nil"/>
                <w:between w:val="nil"/>
              </w:pBdr>
              <w:jc w:val="center"/>
            </w:pPr>
            <w:r w:rsidRPr="00117DF0">
              <w:t>20%</w:t>
            </w:r>
          </w:p>
        </w:tc>
      </w:tr>
      <w:tr w:rsidR="00787BE5" w:rsidRPr="008504FB" w14:paraId="0075DA6D" w14:textId="77777777" w:rsidTr="00787BE5">
        <w:tc>
          <w:tcPr>
            <w:tcW w:w="6479" w:type="dxa"/>
            <w:shd w:val="clear" w:color="auto" w:fill="auto"/>
            <w:tcMar>
              <w:top w:w="100" w:type="dxa"/>
              <w:left w:w="100" w:type="dxa"/>
              <w:bottom w:w="100" w:type="dxa"/>
              <w:right w:w="100" w:type="dxa"/>
            </w:tcMar>
          </w:tcPr>
          <w:p w14:paraId="16D539C0" w14:textId="08BEC7DA" w:rsidR="00787BE5" w:rsidRPr="008504FB" w:rsidRDefault="00787BE5" w:rsidP="00787BE5">
            <w:pPr>
              <w:widowControl w:val="0"/>
              <w:jc w:val="left"/>
            </w:pPr>
            <w:r w:rsidRPr="00117DF0">
              <w:t xml:space="preserve">Sous-critère n°2 : Organisation du titulaire et profils des intervenants </w:t>
            </w:r>
          </w:p>
        </w:tc>
        <w:tc>
          <w:tcPr>
            <w:tcW w:w="2011" w:type="dxa"/>
            <w:shd w:val="clear" w:color="auto" w:fill="auto"/>
            <w:tcMar>
              <w:top w:w="100" w:type="dxa"/>
              <w:left w:w="100" w:type="dxa"/>
              <w:bottom w:w="100" w:type="dxa"/>
              <w:right w:w="100" w:type="dxa"/>
            </w:tcMar>
          </w:tcPr>
          <w:p w14:paraId="0D152D41" w14:textId="1A05BCDB" w:rsidR="00787BE5" w:rsidRPr="008504FB" w:rsidRDefault="00787BE5" w:rsidP="00787BE5">
            <w:pPr>
              <w:widowControl w:val="0"/>
              <w:pBdr>
                <w:top w:val="nil"/>
                <w:left w:val="nil"/>
                <w:bottom w:val="nil"/>
                <w:right w:val="nil"/>
                <w:between w:val="nil"/>
              </w:pBdr>
              <w:jc w:val="center"/>
            </w:pPr>
            <w:r w:rsidRPr="00117DF0">
              <w:t>40%</w:t>
            </w:r>
          </w:p>
        </w:tc>
      </w:tr>
      <w:tr w:rsidR="0026577E" w:rsidRPr="008504FB" w14:paraId="524D7DB7" w14:textId="77777777" w:rsidTr="00787BE5">
        <w:tc>
          <w:tcPr>
            <w:tcW w:w="6479" w:type="dxa"/>
            <w:shd w:val="clear" w:color="auto" w:fill="auto"/>
            <w:tcMar>
              <w:top w:w="100" w:type="dxa"/>
              <w:left w:w="100" w:type="dxa"/>
              <w:bottom w:w="100" w:type="dxa"/>
              <w:right w:w="100" w:type="dxa"/>
            </w:tcMar>
          </w:tcPr>
          <w:p w14:paraId="444949D6" w14:textId="72DB0A57" w:rsidR="0026577E" w:rsidRPr="008504FB" w:rsidRDefault="00787BE5" w:rsidP="00467E6D">
            <w:pPr>
              <w:widowControl w:val="0"/>
              <w:jc w:val="left"/>
            </w:pPr>
            <w:r w:rsidRPr="00787BE5">
              <w:t xml:space="preserve">Sous-critère n°3 : </w:t>
            </w:r>
            <w:r w:rsidR="009B5815" w:rsidRPr="009B5815">
              <w:t>Adéquation entre les prix proposés et les moyens engagés pour les unités d’œuvres</w:t>
            </w:r>
          </w:p>
        </w:tc>
        <w:tc>
          <w:tcPr>
            <w:tcW w:w="2011" w:type="dxa"/>
            <w:shd w:val="clear" w:color="auto" w:fill="auto"/>
            <w:tcMar>
              <w:top w:w="100" w:type="dxa"/>
              <w:left w:w="100" w:type="dxa"/>
              <w:bottom w:w="100" w:type="dxa"/>
              <w:right w:w="100" w:type="dxa"/>
            </w:tcMar>
          </w:tcPr>
          <w:p w14:paraId="4AA26019" w14:textId="75741A1E" w:rsidR="0026577E" w:rsidRPr="008504FB" w:rsidRDefault="00787BE5" w:rsidP="00787BE5">
            <w:pPr>
              <w:widowControl w:val="0"/>
              <w:pBdr>
                <w:top w:val="nil"/>
                <w:left w:val="nil"/>
                <w:bottom w:val="nil"/>
                <w:right w:val="nil"/>
                <w:between w:val="nil"/>
              </w:pBdr>
              <w:jc w:val="center"/>
            </w:pPr>
            <w:r>
              <w:t>40%</w:t>
            </w:r>
          </w:p>
        </w:tc>
      </w:tr>
    </w:tbl>
    <w:p w14:paraId="01DCBF22"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61419B">
              <w:rPr>
                <w:rFonts w:eastAsia="Arimo"/>
                <w:b/>
                <w:color w:val="000000" w:themeColor="text1"/>
              </w:rPr>
              <w:t xml:space="preserve">CRITERE 2 : PRIX (50% </w:t>
            </w:r>
            <w:r w:rsidRPr="008504FB">
              <w:rPr>
                <w:rFonts w:eastAsia="Arimo"/>
                <w:b/>
                <w:color w:val="000000"/>
              </w:rPr>
              <w:t>de la note globale)</w:t>
            </w:r>
          </w:p>
        </w:tc>
      </w:tr>
    </w:tbl>
    <w:p w14:paraId="6272CD9A" w14:textId="77777777" w:rsidR="0061419B" w:rsidRPr="00E515CC" w:rsidRDefault="0061419B" w:rsidP="0026577E">
      <w:pPr>
        <w:rPr>
          <w:color w:val="000000" w:themeColor="text1"/>
        </w:rPr>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61419B" w:rsidRPr="0061419B" w14:paraId="25D64CB2" w14:textId="77777777" w:rsidTr="00E515CC">
        <w:trPr>
          <w:trHeight w:val="366"/>
        </w:trPr>
        <w:tc>
          <w:tcPr>
            <w:tcW w:w="6240" w:type="dxa"/>
            <w:shd w:val="clear" w:color="auto" w:fill="auto"/>
            <w:tcMar>
              <w:top w:w="100" w:type="dxa"/>
              <w:left w:w="100" w:type="dxa"/>
              <w:bottom w:w="100" w:type="dxa"/>
              <w:right w:w="100" w:type="dxa"/>
            </w:tcMar>
          </w:tcPr>
          <w:p w14:paraId="520B55E3" w14:textId="77777777" w:rsidR="0061419B" w:rsidRPr="0061419B" w:rsidRDefault="0061419B" w:rsidP="0061419B">
            <w:pPr>
              <w:jc w:val="center"/>
              <w:rPr>
                <w:b/>
                <w:color w:val="000000" w:themeColor="text1"/>
              </w:rPr>
            </w:pPr>
            <w:r w:rsidRPr="0061419B">
              <w:rPr>
                <w:b/>
                <w:color w:val="000000" w:themeColor="text1"/>
              </w:rPr>
              <w:t>Sous-critères</w:t>
            </w:r>
          </w:p>
        </w:tc>
        <w:tc>
          <w:tcPr>
            <w:tcW w:w="2250" w:type="dxa"/>
            <w:shd w:val="clear" w:color="auto" w:fill="auto"/>
            <w:tcMar>
              <w:top w:w="100" w:type="dxa"/>
              <w:left w:w="100" w:type="dxa"/>
              <w:bottom w:w="100" w:type="dxa"/>
              <w:right w:w="100" w:type="dxa"/>
            </w:tcMar>
          </w:tcPr>
          <w:p w14:paraId="17EACD65" w14:textId="77777777" w:rsidR="0061419B" w:rsidRPr="0061419B" w:rsidRDefault="0061419B" w:rsidP="0061419B">
            <w:pPr>
              <w:jc w:val="center"/>
              <w:rPr>
                <w:b/>
                <w:color w:val="000000" w:themeColor="text1"/>
              </w:rPr>
            </w:pPr>
            <w:r w:rsidRPr="0061419B">
              <w:rPr>
                <w:b/>
                <w:color w:val="000000" w:themeColor="text1"/>
              </w:rPr>
              <w:t>Pondération sur 100</w:t>
            </w:r>
          </w:p>
        </w:tc>
      </w:tr>
      <w:tr w:rsidR="0061419B" w:rsidRPr="0061419B" w14:paraId="58D108BF" w14:textId="77777777" w:rsidTr="00E515CC">
        <w:trPr>
          <w:trHeight w:val="283"/>
        </w:trPr>
        <w:tc>
          <w:tcPr>
            <w:tcW w:w="6240" w:type="dxa"/>
            <w:shd w:val="clear" w:color="auto" w:fill="auto"/>
            <w:tcMar>
              <w:top w:w="100" w:type="dxa"/>
              <w:left w:w="100" w:type="dxa"/>
              <w:bottom w:w="100" w:type="dxa"/>
              <w:right w:w="100" w:type="dxa"/>
            </w:tcMar>
          </w:tcPr>
          <w:p w14:paraId="29491A90" w14:textId="77777777" w:rsidR="0061419B" w:rsidRPr="0061419B" w:rsidRDefault="0061419B" w:rsidP="0061419B">
            <w:pPr>
              <w:rPr>
                <w:color w:val="000000" w:themeColor="text1"/>
              </w:rPr>
            </w:pPr>
            <w:r w:rsidRPr="0061419B">
              <w:rPr>
                <w:color w:val="000000" w:themeColor="text1"/>
              </w:rPr>
              <w:t>Sous-critère n°1 : Prix de la part forfaitaire</w:t>
            </w:r>
          </w:p>
        </w:tc>
        <w:tc>
          <w:tcPr>
            <w:tcW w:w="2250" w:type="dxa"/>
            <w:shd w:val="clear" w:color="auto" w:fill="auto"/>
            <w:tcMar>
              <w:top w:w="100" w:type="dxa"/>
              <w:left w:w="100" w:type="dxa"/>
              <w:bottom w:w="100" w:type="dxa"/>
              <w:right w:w="100" w:type="dxa"/>
            </w:tcMar>
          </w:tcPr>
          <w:p w14:paraId="748CCE3E" w14:textId="77777777" w:rsidR="0061419B" w:rsidRPr="0061419B" w:rsidRDefault="0061419B" w:rsidP="0061419B">
            <w:pPr>
              <w:jc w:val="center"/>
              <w:rPr>
                <w:color w:val="000000" w:themeColor="text1"/>
              </w:rPr>
            </w:pPr>
            <w:r w:rsidRPr="0061419B">
              <w:rPr>
                <w:color w:val="000000" w:themeColor="text1"/>
              </w:rPr>
              <w:t>40%</w:t>
            </w:r>
          </w:p>
        </w:tc>
      </w:tr>
      <w:tr w:rsidR="0061419B" w:rsidRPr="0061419B" w14:paraId="7404583C" w14:textId="77777777" w:rsidTr="00682BE0">
        <w:tc>
          <w:tcPr>
            <w:tcW w:w="6240" w:type="dxa"/>
            <w:shd w:val="clear" w:color="auto" w:fill="auto"/>
            <w:tcMar>
              <w:top w:w="100" w:type="dxa"/>
              <w:left w:w="100" w:type="dxa"/>
              <w:bottom w:w="100" w:type="dxa"/>
              <w:right w:w="100" w:type="dxa"/>
            </w:tcMar>
          </w:tcPr>
          <w:p w14:paraId="66497AB3" w14:textId="77777777" w:rsidR="0061419B" w:rsidRPr="0061419B" w:rsidRDefault="0061419B" w:rsidP="0061419B">
            <w:pPr>
              <w:rPr>
                <w:color w:val="000000" w:themeColor="text1"/>
              </w:rPr>
            </w:pPr>
            <w:r w:rsidRPr="0061419B">
              <w:rPr>
                <w:color w:val="000000" w:themeColor="text1"/>
              </w:rPr>
              <w:t>Sous-critère n°2 : Prix des unités d’œuvres</w:t>
            </w:r>
          </w:p>
        </w:tc>
        <w:tc>
          <w:tcPr>
            <w:tcW w:w="2250" w:type="dxa"/>
            <w:shd w:val="clear" w:color="auto" w:fill="auto"/>
            <w:tcMar>
              <w:top w:w="100" w:type="dxa"/>
              <w:left w:w="100" w:type="dxa"/>
              <w:bottom w:w="100" w:type="dxa"/>
              <w:right w:w="100" w:type="dxa"/>
            </w:tcMar>
          </w:tcPr>
          <w:p w14:paraId="2BF513C6" w14:textId="77777777" w:rsidR="0061419B" w:rsidRPr="0061419B" w:rsidRDefault="0061419B" w:rsidP="0061419B">
            <w:pPr>
              <w:jc w:val="center"/>
              <w:rPr>
                <w:color w:val="000000" w:themeColor="text1"/>
              </w:rPr>
            </w:pPr>
            <w:r w:rsidRPr="0061419B">
              <w:rPr>
                <w:color w:val="000000" w:themeColor="text1"/>
              </w:rPr>
              <w:t>60%</w:t>
            </w:r>
          </w:p>
        </w:tc>
      </w:tr>
    </w:tbl>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3" w:name="_heading=h.30j0zll" w:colFirst="0" w:colLast="0"/>
      <w:bookmarkEnd w:id="3"/>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E515CC">
      <w:pPr>
        <w:pBdr>
          <w:top w:val="nil"/>
          <w:left w:val="nil"/>
          <w:bottom w:val="nil"/>
          <w:right w:val="nil"/>
          <w:between w:val="nil"/>
        </w:pBdr>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E515CC">
      <w:pPr>
        <w:pBdr>
          <w:top w:val="nil"/>
          <w:left w:val="nil"/>
          <w:bottom w:val="nil"/>
          <w:right w:val="nil"/>
          <w:between w:val="nil"/>
        </w:pBdr>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t>Signature électronique du marché par la BnF</w:t>
      </w:r>
    </w:p>
    <w:p w14:paraId="5C40C341" w14:textId="77777777" w:rsidR="00082903" w:rsidRDefault="00082903" w:rsidP="00E515CC">
      <w:pPr>
        <w:pBdr>
          <w:top w:val="nil"/>
          <w:left w:val="nil"/>
          <w:bottom w:val="nil"/>
          <w:right w:val="nil"/>
          <w:between w:val="nil"/>
        </w:pBdr>
      </w:pPr>
      <w:r>
        <w:t>Le délai minimal observé par la BnF pour signer les marchés passés selon la procédure formalisée est de 11 jours à compter de l’envoi du courrier de rejet.</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E515CC">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E515CC">
      <w:pPr>
        <w:ind w:right="-2"/>
      </w:pPr>
      <w:r w:rsidRPr="008504FB">
        <w:lastRenderedPageBreak/>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E515CC">
      <w:pPr>
        <w:pBdr>
          <w:top w:val="nil"/>
          <w:left w:val="nil"/>
          <w:bottom w:val="nil"/>
          <w:right w:val="nil"/>
          <w:between w:val="nil"/>
        </w:pBdr>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E515CC">
      <w:pPr>
        <w:pBdr>
          <w:top w:val="nil"/>
          <w:left w:val="nil"/>
          <w:bottom w:val="nil"/>
          <w:right w:val="nil"/>
          <w:between w:val="nil"/>
        </w:pBdr>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E515CC">
      <w:pPr>
        <w:pBdr>
          <w:top w:val="nil"/>
          <w:left w:val="nil"/>
          <w:bottom w:val="nil"/>
          <w:right w:val="nil"/>
          <w:between w:val="nil"/>
        </w:pBdr>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E515CC">
      <w:pPr>
        <w:pBdr>
          <w:top w:val="nil"/>
          <w:left w:val="nil"/>
          <w:bottom w:val="nil"/>
          <w:right w:val="nil"/>
          <w:between w:val="nil"/>
        </w:pBdr>
        <w:ind w:right="-2"/>
      </w:pPr>
      <w:r>
        <w:t>En cas de difficultés, l</w:t>
      </w:r>
      <w:r w:rsidR="009E22C8">
        <w:t>es candidats trouveront sur l</w:t>
      </w:r>
      <w:r>
        <w:t>a plateforme PLACE</w:t>
      </w:r>
    </w:p>
    <w:p w14:paraId="39E0D898" w14:textId="77777777" w:rsidR="005D5E66" w:rsidRDefault="005D5E66" w:rsidP="00E515CC">
      <w:pPr>
        <w:pStyle w:val="Paragraphedeliste"/>
        <w:numPr>
          <w:ilvl w:val="0"/>
          <w:numId w:val="34"/>
        </w:numPr>
        <w:pBdr>
          <w:top w:val="nil"/>
          <w:left w:val="nil"/>
          <w:bottom w:val="nil"/>
          <w:right w:val="nil"/>
          <w:between w:val="nil"/>
        </w:pBdr>
        <w:ind w:right="-2"/>
      </w:pPr>
      <w:r>
        <w:t>Une rubrique Aide</w:t>
      </w:r>
    </w:p>
    <w:p w14:paraId="01E20E0C" w14:textId="77777777" w:rsidR="005D5E66" w:rsidRDefault="005D5E66" w:rsidP="00E515CC">
      <w:pPr>
        <w:pStyle w:val="Paragraphedeliste"/>
        <w:numPr>
          <w:ilvl w:val="0"/>
          <w:numId w:val="34"/>
        </w:numPr>
        <w:pBdr>
          <w:top w:val="nil"/>
          <w:left w:val="nil"/>
          <w:bottom w:val="nil"/>
          <w:right w:val="nil"/>
          <w:between w:val="nil"/>
        </w:pBdr>
        <w:ind w:right="-2"/>
      </w:pPr>
      <w:r>
        <w:t xml:space="preserve">Une </w:t>
      </w:r>
      <w:r w:rsidR="009E22C8">
        <w:t xml:space="preserve"> </w:t>
      </w:r>
      <w:r>
        <w:t>assistance téléphonique</w:t>
      </w:r>
    </w:p>
    <w:p w14:paraId="58419921" w14:textId="77777777" w:rsidR="005D5E66" w:rsidRDefault="005D5E66" w:rsidP="00E515CC">
      <w:pPr>
        <w:pStyle w:val="Paragraphedeliste"/>
        <w:numPr>
          <w:ilvl w:val="0"/>
          <w:numId w:val="34"/>
        </w:numPr>
        <w:pBdr>
          <w:top w:val="nil"/>
          <w:left w:val="nil"/>
          <w:bottom w:val="nil"/>
          <w:right w:val="nil"/>
          <w:between w:val="nil"/>
        </w:pBdr>
        <w:ind w:right="-2"/>
      </w:pPr>
      <w:r>
        <w:t>Une Foire aux questions</w:t>
      </w:r>
    </w:p>
    <w:p w14:paraId="679C7EB9" w14:textId="77777777" w:rsidR="009E22C8" w:rsidRDefault="009E22C8" w:rsidP="00E515CC">
      <w:pPr>
        <w:pBdr>
          <w:top w:val="nil"/>
          <w:left w:val="nil"/>
          <w:bottom w:val="nil"/>
          <w:right w:val="nil"/>
          <w:between w:val="nil"/>
        </w:pBdr>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515CC">
      <w:pPr>
        <w:pBdr>
          <w:top w:val="nil"/>
          <w:left w:val="nil"/>
          <w:bottom w:val="nil"/>
          <w:right w:val="nil"/>
          <w:between w:val="nil"/>
        </w:pBdr>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E515CC">
      <w:pPr>
        <w:numPr>
          <w:ilvl w:val="0"/>
          <w:numId w:val="17"/>
        </w:numPr>
        <w:pBdr>
          <w:top w:val="nil"/>
          <w:left w:val="nil"/>
          <w:bottom w:val="nil"/>
          <w:right w:val="nil"/>
          <w:between w:val="nil"/>
        </w:pBdr>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E515CC">
      <w:pPr>
        <w:numPr>
          <w:ilvl w:val="0"/>
          <w:numId w:val="17"/>
        </w:numPr>
        <w:pBdr>
          <w:top w:val="nil"/>
          <w:left w:val="nil"/>
          <w:bottom w:val="nil"/>
          <w:right w:val="nil"/>
          <w:between w:val="nil"/>
        </w:pBdr>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E515CC">
      <w:pPr>
        <w:numPr>
          <w:ilvl w:val="0"/>
          <w:numId w:val="17"/>
        </w:numPr>
        <w:pBdr>
          <w:top w:val="nil"/>
          <w:left w:val="nil"/>
          <w:bottom w:val="nil"/>
          <w:right w:val="nil"/>
          <w:between w:val="nil"/>
        </w:pBdr>
        <w:ind w:right="425" w:hanging="357"/>
        <w:rPr>
          <w:color w:val="000000"/>
        </w:rPr>
      </w:pPr>
      <w:r w:rsidRPr="008504FB">
        <w:rPr>
          <w:color w:val="000000"/>
        </w:rPr>
        <w:t>ne pas utiliser certains outils, notamment les “macros” ;</w:t>
      </w:r>
    </w:p>
    <w:p w14:paraId="7CE0411C" w14:textId="77777777" w:rsidR="002F0C3E" w:rsidRPr="008504FB" w:rsidRDefault="002F0C3E" w:rsidP="00E515CC">
      <w:pPr>
        <w:numPr>
          <w:ilvl w:val="0"/>
          <w:numId w:val="17"/>
        </w:numPr>
        <w:pBdr>
          <w:top w:val="nil"/>
          <w:left w:val="nil"/>
          <w:bottom w:val="nil"/>
          <w:right w:val="nil"/>
          <w:between w:val="nil"/>
        </w:pBdr>
        <w:ind w:right="425" w:hanging="357"/>
        <w:rPr>
          <w:color w:val="000000"/>
        </w:rPr>
      </w:pPr>
      <w:r w:rsidRPr="008504FB">
        <w:rPr>
          <w:color w:val="000000"/>
        </w:rPr>
        <w:t>faire en sorte que l’offre ne soit pas trop volumineuse ;</w:t>
      </w:r>
    </w:p>
    <w:p w14:paraId="422EC70F" w14:textId="77777777" w:rsidR="002F0C3E" w:rsidRPr="008504FB" w:rsidRDefault="00E44600" w:rsidP="00E515CC">
      <w:pPr>
        <w:pBdr>
          <w:top w:val="nil"/>
          <w:left w:val="nil"/>
          <w:bottom w:val="nil"/>
          <w:right w:val="nil"/>
          <w:between w:val="nil"/>
        </w:pBdr>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4" w:name="_heading=h.1fob9te" w:colFirst="0" w:colLast="0"/>
      <w:bookmarkEnd w:id="4"/>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79FEB3E1" w14:textId="77777777" w:rsidR="00E01875" w:rsidRPr="00E01875" w:rsidRDefault="00E01875" w:rsidP="00E01875">
            <w:pPr>
              <w:jc w:val="center"/>
            </w:pPr>
            <w:r w:rsidRPr="00E01875">
              <w:t xml:space="preserve">Réalisation de prestations d’audits, d’expertises et d’assistance pour le maintien et le renforcement de la sécurité informatique du système d’information de la Bibliothèque nationale de France – CK </w:t>
            </w:r>
          </w:p>
          <w:p w14:paraId="09C3F77B" w14:textId="24660C9D" w:rsidR="0026577E" w:rsidRPr="008504FB" w:rsidRDefault="0026577E" w:rsidP="00E01875">
            <w:pPr>
              <w:jc w:val="center"/>
              <w:rPr>
                <w:b/>
              </w:rPr>
            </w:pPr>
            <w:r w:rsidRPr="00E01875">
              <w:t>« NE PAS OUVRIR PAR LE SERVICE</w:t>
            </w:r>
            <w:r w:rsidRPr="008504FB">
              <w:t xml:space="preserve"> COURRIER »</w:t>
            </w:r>
          </w:p>
        </w:tc>
      </w:tr>
    </w:tbl>
    <w:p w14:paraId="34924BFC" w14:textId="77777777" w:rsidR="0026577E" w:rsidRPr="008504FB" w:rsidRDefault="0026577E" w:rsidP="0026577E">
      <w:r w:rsidRPr="008504FB">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lastRenderedPageBreak/>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lastRenderedPageBreak/>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22FCE3C3" w14:textId="77777777" w:rsidR="001C0E2D" w:rsidRDefault="003455E5" w:rsidP="003455E5">
      <w:pPr>
        <w:jc w:val="left"/>
        <w:sectPr w:rsidR="001C0E2D">
          <w:headerReference w:type="default" r:id="rId19"/>
          <w:footerReference w:type="default" r:id="rId20"/>
          <w:pgSz w:w="11906" w:h="16838"/>
          <w:pgMar w:top="1417" w:right="1417" w:bottom="1417" w:left="1417" w:header="708" w:footer="708" w:gutter="0"/>
          <w:cols w:space="708"/>
          <w:docGrid w:linePitch="360"/>
        </w:sectPr>
      </w:pPr>
      <w:r>
        <w:t xml:space="preserve">Ce questionnaire doit obligatoirement être remis par le futur Titulaire du marché public conformément aux dispositions de l’article 6.3 du présent règlement de la consultation. </w:t>
      </w:r>
    </w:p>
    <w:p w14:paraId="756FB660" w14:textId="77777777" w:rsidR="00E01875" w:rsidRDefault="00E01875" w:rsidP="00D15A2D">
      <w:pPr>
        <w:jc w:val="center"/>
        <w:rPr>
          <w:b/>
        </w:rPr>
      </w:pPr>
      <w:r>
        <w:rPr>
          <w:b/>
        </w:rPr>
        <w:lastRenderedPageBreak/>
        <w:t xml:space="preserve">ANNEXE 1 : </w:t>
      </w:r>
    </w:p>
    <w:p w14:paraId="5ABA75E6" w14:textId="24B2ABA6" w:rsidR="0026577E" w:rsidRPr="008504FB" w:rsidRDefault="0026577E" w:rsidP="00D15A2D">
      <w:pPr>
        <w:jc w:val="center"/>
        <w:rPr>
          <w:b/>
        </w:rPr>
      </w:pPr>
      <w:r w:rsidRPr="008504FB">
        <w:rPr>
          <w:b/>
        </w:rPr>
        <w:t>FICHE DE SYNTHESE</w:t>
      </w:r>
    </w:p>
    <w:p w14:paraId="3E49CC06" w14:textId="77777777" w:rsidR="0026577E" w:rsidRPr="008504FB" w:rsidRDefault="0026577E" w:rsidP="0026577E">
      <w:pPr>
        <w:jc w:val="center"/>
        <w:rPr>
          <w:u w:val="single"/>
        </w:rPr>
      </w:pPr>
    </w:p>
    <w:p w14:paraId="3024E95B"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13192679" w14:textId="77777777" w:rsidR="0026577E" w:rsidRPr="008504FB" w:rsidRDefault="0026577E" w:rsidP="001C0E2D">
      <w:pPr>
        <w:spacing w:before="240"/>
      </w:pPr>
      <w:r w:rsidRPr="008504FB">
        <w:t>INFORMATIONS GÉNÉRALES :</w:t>
      </w:r>
    </w:p>
    <w:p w14:paraId="46E59E56"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71F833CA"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59E7B176" w14:textId="77777777" w:rsidR="0026577E" w:rsidRPr="008504FB" w:rsidRDefault="00FE604F"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288FD70F" w14:textId="77777777" w:rsidR="0026577E" w:rsidRPr="008504FB" w:rsidRDefault="00FE604F"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313A1019" w14:textId="77777777" w:rsidR="0026577E" w:rsidRPr="008504FB" w:rsidRDefault="00FE604F"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1B886B06" w14:textId="77777777" w:rsidR="0026577E" w:rsidRPr="008504FB" w:rsidRDefault="00FE604F"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5B7E73C9"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1D2CBF1D" w14:textId="77777777" w:rsidR="00FC0EB7" w:rsidRDefault="00FC0EB7" w:rsidP="00FC0EB7">
      <w:pPr>
        <w:pBdr>
          <w:top w:val="nil"/>
          <w:left w:val="nil"/>
          <w:bottom w:val="nil"/>
          <w:right w:val="nil"/>
          <w:between w:val="nil"/>
        </w:pBdr>
        <w:rPr>
          <w:rFonts w:eastAsia="Arimo"/>
          <w:color w:val="000000"/>
        </w:rPr>
      </w:pPr>
    </w:p>
    <w:p w14:paraId="58AC6DE3"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6A0079B3"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2F49B8DF"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3A460B9E"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2C38869D"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0F910330"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49340D39" w14:textId="77777777" w:rsidR="0026577E" w:rsidRPr="008504FB" w:rsidRDefault="0026577E" w:rsidP="00D15A2D">
      <w:pPr>
        <w:pStyle w:val="Paragraphedeliste"/>
        <w:numPr>
          <w:ilvl w:val="0"/>
          <w:numId w:val="41"/>
        </w:numPr>
        <w:spacing w:before="360" w:after="240"/>
        <w:ind w:left="0" w:firstLine="0"/>
        <w:contextualSpacing w:val="0"/>
      </w:pPr>
      <w:r w:rsidRPr="008504FB">
        <w:lastRenderedPageBreak/>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37C0A658"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6CEC13CE" w14:textId="77777777" w:rsidR="0026577E" w:rsidRPr="008504FB" w:rsidRDefault="0026577E" w:rsidP="00467E6D">
            <w:r w:rsidRPr="008504FB">
              <w:t>Chiffre d'affaires global</w:t>
            </w:r>
          </w:p>
        </w:tc>
      </w:tr>
      <w:tr w:rsidR="0026577E" w:rsidRPr="008504FB" w14:paraId="76E5E584"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74BA5602" w14:textId="77777777" w:rsidR="0026577E" w:rsidRPr="008504FB" w:rsidRDefault="002F0C3E" w:rsidP="00467E6D">
            <w:r w:rsidRPr="008504FB">
              <w:t>2021</w:t>
            </w:r>
          </w:p>
        </w:tc>
        <w:tc>
          <w:tcPr>
            <w:tcW w:w="2770" w:type="dxa"/>
            <w:tcBorders>
              <w:top w:val="single" w:sz="4" w:space="0" w:color="000000"/>
              <w:left w:val="single" w:sz="4" w:space="0" w:color="000000"/>
              <w:bottom w:val="single" w:sz="4" w:space="0" w:color="000000"/>
              <w:right w:val="single" w:sz="4" w:space="0" w:color="000000"/>
            </w:tcBorders>
          </w:tcPr>
          <w:p w14:paraId="2B8274FA" w14:textId="77777777" w:rsidR="0026577E" w:rsidRPr="008504FB" w:rsidRDefault="002F0C3E" w:rsidP="00467E6D">
            <w:r w:rsidRPr="008504FB">
              <w:t>2022</w:t>
            </w:r>
          </w:p>
        </w:tc>
        <w:tc>
          <w:tcPr>
            <w:tcW w:w="2966" w:type="dxa"/>
            <w:tcBorders>
              <w:top w:val="single" w:sz="4" w:space="0" w:color="000000"/>
              <w:left w:val="single" w:sz="4" w:space="0" w:color="000000"/>
              <w:bottom w:val="single" w:sz="4" w:space="0" w:color="000000"/>
              <w:right w:val="single" w:sz="4" w:space="0" w:color="000000"/>
            </w:tcBorders>
          </w:tcPr>
          <w:p w14:paraId="46CE642D" w14:textId="77777777" w:rsidR="0026577E" w:rsidRPr="008504FB" w:rsidRDefault="002F0C3E" w:rsidP="00467E6D">
            <w:r w:rsidRPr="008504FB">
              <w:t>2023</w:t>
            </w:r>
          </w:p>
        </w:tc>
      </w:tr>
      <w:tr w:rsidR="0026577E" w:rsidRPr="008504FB" w14:paraId="726FDBCE"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CA2EA9E"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410F9E5E"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0F3B5671" w14:textId="77777777" w:rsidR="0026577E" w:rsidRPr="008504FB" w:rsidRDefault="0026577E" w:rsidP="00467E6D"/>
        </w:tc>
      </w:tr>
    </w:tbl>
    <w:p w14:paraId="485054DD" w14:textId="77777777" w:rsidR="0026577E" w:rsidRPr="008504FB" w:rsidRDefault="0026577E" w:rsidP="0026577E"/>
    <w:p w14:paraId="4CD472D5"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5A12578E"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D463956" w14:textId="77777777" w:rsidR="0026577E" w:rsidRPr="008504FB" w:rsidRDefault="0026577E" w:rsidP="00467E6D">
            <w:r w:rsidRPr="008504FB">
              <w:t>Chiffre d’affaires pour des prestations similaires</w:t>
            </w:r>
          </w:p>
        </w:tc>
      </w:tr>
      <w:tr w:rsidR="002F0C3E" w:rsidRPr="008504FB" w14:paraId="30001438"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0CB5CF16" w14:textId="77777777" w:rsidR="002F0C3E" w:rsidRPr="008504FB" w:rsidRDefault="002F0C3E" w:rsidP="0025733D">
            <w:r w:rsidRPr="008504FB">
              <w:t>2021</w:t>
            </w:r>
          </w:p>
        </w:tc>
        <w:tc>
          <w:tcPr>
            <w:tcW w:w="2771" w:type="dxa"/>
            <w:tcBorders>
              <w:top w:val="single" w:sz="4" w:space="0" w:color="000000"/>
              <w:left w:val="single" w:sz="4" w:space="0" w:color="000000"/>
              <w:bottom w:val="single" w:sz="4" w:space="0" w:color="000000"/>
              <w:right w:val="single" w:sz="4" w:space="0" w:color="000000"/>
            </w:tcBorders>
          </w:tcPr>
          <w:p w14:paraId="35D63311" w14:textId="77777777" w:rsidR="002F0C3E" w:rsidRPr="008504FB" w:rsidRDefault="002F0C3E" w:rsidP="0025733D">
            <w:r w:rsidRPr="008504FB">
              <w:t>2022</w:t>
            </w:r>
          </w:p>
        </w:tc>
        <w:tc>
          <w:tcPr>
            <w:tcW w:w="2967" w:type="dxa"/>
            <w:tcBorders>
              <w:top w:val="single" w:sz="4" w:space="0" w:color="000000"/>
              <w:left w:val="single" w:sz="4" w:space="0" w:color="000000"/>
              <w:bottom w:val="single" w:sz="4" w:space="0" w:color="000000"/>
              <w:right w:val="single" w:sz="4" w:space="0" w:color="000000"/>
            </w:tcBorders>
          </w:tcPr>
          <w:p w14:paraId="7571F63A" w14:textId="77777777" w:rsidR="002F0C3E" w:rsidRPr="008504FB" w:rsidRDefault="002F0C3E" w:rsidP="0025733D">
            <w:r w:rsidRPr="008504FB">
              <w:t>2023</w:t>
            </w:r>
          </w:p>
        </w:tc>
      </w:tr>
      <w:tr w:rsidR="0026577E" w:rsidRPr="008504FB" w14:paraId="2B09C76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E1479A5"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428B657D"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78C14F3D" w14:textId="77777777" w:rsidR="0026577E" w:rsidRPr="008504FB" w:rsidRDefault="0026577E" w:rsidP="00467E6D"/>
        </w:tc>
      </w:tr>
    </w:tbl>
    <w:p w14:paraId="31339828" w14:textId="77777777" w:rsidR="0026577E" w:rsidRPr="008504FB" w:rsidRDefault="0026577E" w:rsidP="0026577E"/>
    <w:p w14:paraId="2360F2ED"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0DE8FB70"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59543102" w14:textId="77777777" w:rsidR="0026577E" w:rsidRPr="008504FB" w:rsidRDefault="0026577E" w:rsidP="00467E6D">
            <w:r w:rsidRPr="008504FB">
              <w:t>Effectifs</w:t>
            </w:r>
          </w:p>
        </w:tc>
      </w:tr>
      <w:tr w:rsidR="002F0C3E" w:rsidRPr="008504FB" w14:paraId="401AD4D2"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3E02A5C5" w14:textId="77777777" w:rsidR="002F0C3E" w:rsidRPr="008504FB" w:rsidRDefault="002F0C3E" w:rsidP="0025733D">
            <w:r w:rsidRPr="008504FB">
              <w:t>2021</w:t>
            </w:r>
          </w:p>
        </w:tc>
        <w:tc>
          <w:tcPr>
            <w:tcW w:w="2771" w:type="dxa"/>
            <w:tcBorders>
              <w:top w:val="single" w:sz="4" w:space="0" w:color="000000"/>
              <w:left w:val="single" w:sz="4" w:space="0" w:color="000000"/>
              <w:bottom w:val="single" w:sz="4" w:space="0" w:color="000000"/>
              <w:right w:val="single" w:sz="4" w:space="0" w:color="000000"/>
            </w:tcBorders>
          </w:tcPr>
          <w:p w14:paraId="069E453F" w14:textId="77777777" w:rsidR="002F0C3E" w:rsidRPr="008504FB" w:rsidRDefault="002F0C3E" w:rsidP="0025733D">
            <w:r w:rsidRPr="008504FB">
              <w:t>2022</w:t>
            </w:r>
          </w:p>
        </w:tc>
        <w:tc>
          <w:tcPr>
            <w:tcW w:w="2967" w:type="dxa"/>
            <w:tcBorders>
              <w:top w:val="single" w:sz="4" w:space="0" w:color="000000"/>
              <w:left w:val="single" w:sz="4" w:space="0" w:color="000000"/>
              <w:bottom w:val="single" w:sz="4" w:space="0" w:color="000000"/>
              <w:right w:val="single" w:sz="4" w:space="0" w:color="000000"/>
            </w:tcBorders>
          </w:tcPr>
          <w:p w14:paraId="00D32ABA" w14:textId="77777777" w:rsidR="002F0C3E" w:rsidRPr="008504FB" w:rsidRDefault="002F0C3E" w:rsidP="0025733D">
            <w:r w:rsidRPr="008504FB">
              <w:t>2023</w:t>
            </w:r>
          </w:p>
        </w:tc>
      </w:tr>
      <w:tr w:rsidR="0026577E" w:rsidRPr="008504FB" w14:paraId="5DA6D4A8"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60635F6B"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5F507D16"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2DDBA071" w14:textId="77777777" w:rsidR="0026577E" w:rsidRPr="008504FB" w:rsidRDefault="0026577E" w:rsidP="00467E6D"/>
        </w:tc>
      </w:tr>
    </w:tbl>
    <w:p w14:paraId="6439276B"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2E29075C" w14:textId="77777777" w:rsidTr="00BD701A">
        <w:trPr>
          <w:jc w:val="center"/>
        </w:trPr>
        <w:tc>
          <w:tcPr>
            <w:tcW w:w="4962" w:type="dxa"/>
            <w:shd w:val="clear" w:color="auto" w:fill="DBE5F1" w:themeFill="accent1" w:themeFillTint="33"/>
          </w:tcPr>
          <w:p w14:paraId="7FAA0D68"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39D1514F" w14:textId="77777777" w:rsidR="0026577E" w:rsidRPr="008504FB" w:rsidRDefault="0026577E" w:rsidP="00467E6D"/>
        </w:tc>
      </w:tr>
    </w:tbl>
    <w:p w14:paraId="770C2F15" w14:textId="77777777" w:rsidR="0026577E" w:rsidRPr="008504FB" w:rsidRDefault="0026577E" w:rsidP="0026577E">
      <w:r w:rsidRPr="008504FB">
        <w:br w:type="page"/>
      </w:r>
    </w:p>
    <w:p w14:paraId="29773097"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19D72D35"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C8FE35A"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11CD03"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0F2B359" w14:textId="77777777" w:rsidR="0026577E" w:rsidRPr="008504FB" w:rsidRDefault="0026577E" w:rsidP="00467E6D">
            <w:r w:rsidRPr="008504FB">
              <w:t>Montant de l'opération en euros TTC</w:t>
            </w:r>
          </w:p>
        </w:tc>
      </w:tr>
      <w:tr w:rsidR="0026577E" w:rsidRPr="008504FB" w14:paraId="3EC956F7"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EEE15DB" w14:textId="79F16ECE" w:rsidR="0026577E" w:rsidRPr="008504FB" w:rsidRDefault="002F0C3E" w:rsidP="00467E6D">
            <w:r w:rsidRPr="008504FB">
              <w:t>202</w:t>
            </w:r>
            <w:r w:rsidR="00E01875">
              <w:t>3</w:t>
            </w:r>
          </w:p>
        </w:tc>
      </w:tr>
      <w:tr w:rsidR="0026577E" w:rsidRPr="008504FB" w14:paraId="56BF5713"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4D1A047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A2B298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4E5962E" w14:textId="77777777" w:rsidR="0026577E" w:rsidRPr="008504FB" w:rsidRDefault="0026577E" w:rsidP="00467E6D"/>
        </w:tc>
      </w:tr>
      <w:tr w:rsidR="0026577E" w:rsidRPr="008504FB" w14:paraId="1E5B497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57C51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D409DE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2F57A23" w14:textId="77777777" w:rsidR="0026577E" w:rsidRPr="008504FB" w:rsidRDefault="0026577E" w:rsidP="00467E6D"/>
        </w:tc>
      </w:tr>
      <w:tr w:rsidR="0026577E" w:rsidRPr="008504FB" w14:paraId="665291F7"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1D146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A54FB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5EF3F0D" w14:textId="77777777" w:rsidR="0026577E" w:rsidRPr="008504FB" w:rsidRDefault="0026577E" w:rsidP="00467E6D"/>
        </w:tc>
      </w:tr>
      <w:tr w:rsidR="0026577E" w:rsidRPr="008504FB" w14:paraId="6E4C448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8B68C1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E28521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BE36952" w14:textId="77777777" w:rsidR="0026577E" w:rsidRPr="008504FB" w:rsidRDefault="0026577E" w:rsidP="00467E6D"/>
        </w:tc>
      </w:tr>
      <w:tr w:rsidR="0026577E" w:rsidRPr="008504FB" w14:paraId="5C2F659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EED014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56B05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9B9138A" w14:textId="77777777" w:rsidR="0026577E" w:rsidRPr="008504FB" w:rsidRDefault="0026577E" w:rsidP="00467E6D"/>
        </w:tc>
      </w:tr>
      <w:tr w:rsidR="0026577E" w:rsidRPr="008504FB" w14:paraId="0C65CF0C"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159C84C" w14:textId="0928F1A0" w:rsidR="0026577E" w:rsidRPr="008504FB" w:rsidRDefault="002F0C3E" w:rsidP="00467E6D">
            <w:r w:rsidRPr="008504FB">
              <w:t>202</w:t>
            </w:r>
            <w:r w:rsidR="00E01875">
              <w:t>2</w:t>
            </w:r>
          </w:p>
        </w:tc>
      </w:tr>
      <w:tr w:rsidR="0026577E" w:rsidRPr="008504FB" w14:paraId="30DA5B55"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38C4C51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FCAEDD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713E238" w14:textId="77777777" w:rsidR="0026577E" w:rsidRPr="008504FB" w:rsidRDefault="0026577E" w:rsidP="00467E6D"/>
        </w:tc>
      </w:tr>
      <w:tr w:rsidR="0026577E" w:rsidRPr="008504FB" w14:paraId="77D48B90"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3EE8F51"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1FCDC2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C97D509" w14:textId="77777777" w:rsidR="0026577E" w:rsidRPr="008504FB" w:rsidRDefault="0026577E" w:rsidP="00467E6D"/>
        </w:tc>
      </w:tr>
      <w:tr w:rsidR="0026577E" w:rsidRPr="008504FB" w14:paraId="3A58957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FFB16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9E5B5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C224908" w14:textId="77777777" w:rsidR="0026577E" w:rsidRPr="008504FB" w:rsidRDefault="0026577E" w:rsidP="00467E6D"/>
        </w:tc>
      </w:tr>
      <w:tr w:rsidR="0026577E" w:rsidRPr="008504FB" w14:paraId="301414F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36BD79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B3AAD6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19F68B" w14:textId="77777777" w:rsidR="0026577E" w:rsidRPr="008504FB" w:rsidRDefault="0026577E" w:rsidP="00467E6D"/>
        </w:tc>
      </w:tr>
      <w:tr w:rsidR="0026577E" w:rsidRPr="008504FB" w14:paraId="31A9BA58"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D74A20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E794BD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E5EB09A" w14:textId="77777777" w:rsidR="0026577E" w:rsidRPr="008504FB" w:rsidRDefault="0026577E" w:rsidP="00467E6D"/>
        </w:tc>
      </w:tr>
      <w:tr w:rsidR="0026577E" w:rsidRPr="008504FB" w14:paraId="62CE6E68"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75E96DD" w14:textId="249887B6" w:rsidR="0026577E" w:rsidRPr="008504FB" w:rsidRDefault="002F0C3E" w:rsidP="00467E6D">
            <w:r w:rsidRPr="008504FB">
              <w:t>202</w:t>
            </w:r>
            <w:r w:rsidR="00E01875">
              <w:t>1</w:t>
            </w:r>
          </w:p>
        </w:tc>
      </w:tr>
      <w:tr w:rsidR="0026577E" w:rsidRPr="008504FB" w14:paraId="05B2F7D2"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246E689F"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AB0514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92A4558" w14:textId="77777777" w:rsidR="0026577E" w:rsidRPr="008504FB" w:rsidRDefault="0026577E" w:rsidP="00467E6D"/>
        </w:tc>
      </w:tr>
      <w:tr w:rsidR="0026577E" w:rsidRPr="008504FB" w14:paraId="694D997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DD9E54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B3D417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8052AF4" w14:textId="77777777" w:rsidR="0026577E" w:rsidRPr="008504FB" w:rsidRDefault="0026577E" w:rsidP="00467E6D"/>
        </w:tc>
      </w:tr>
      <w:tr w:rsidR="0026577E" w:rsidRPr="008504FB" w14:paraId="1A6DEC65"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1049D3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90FB83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B1B1E80" w14:textId="77777777" w:rsidR="0026577E" w:rsidRPr="008504FB" w:rsidRDefault="0026577E" w:rsidP="00467E6D"/>
        </w:tc>
      </w:tr>
      <w:tr w:rsidR="0026577E" w:rsidRPr="008504FB" w14:paraId="6103052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61294A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1DD290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C7BB606" w14:textId="77777777" w:rsidR="0026577E" w:rsidRPr="008504FB" w:rsidRDefault="0026577E" w:rsidP="00467E6D"/>
        </w:tc>
      </w:tr>
      <w:tr w:rsidR="0026577E" w:rsidRPr="008504FB" w14:paraId="3D630A9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BE8B40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9505A9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AB06D6E" w14:textId="77777777" w:rsidR="0026577E" w:rsidRPr="008504FB" w:rsidRDefault="0026577E" w:rsidP="00467E6D"/>
        </w:tc>
      </w:tr>
    </w:tbl>
    <w:p w14:paraId="1B9A702B"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A32988" w:rsidRDefault="00A32988" w:rsidP="00011492">
      <w:r>
        <w:separator/>
      </w:r>
    </w:p>
  </w:endnote>
  <w:endnote w:type="continuationSeparator" w:id="0">
    <w:p w14:paraId="2B1A15C3" w14:textId="77777777" w:rsidR="00A32988" w:rsidRDefault="00A32988"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A32988" w:rsidRDefault="00A3298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A32988" w:rsidRDefault="00A3298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A32988" w:rsidRDefault="00A32988">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A32988" w:rsidRDefault="00A3298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A32988" w:rsidRDefault="00A32988"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A32988" w:rsidRDefault="00A32988" w:rsidP="00011492">
      <w:r>
        <w:separator/>
      </w:r>
    </w:p>
  </w:footnote>
  <w:footnote w:type="continuationSeparator" w:id="0">
    <w:p w14:paraId="3A05DF81" w14:textId="77777777" w:rsidR="00A32988" w:rsidRDefault="00A32988" w:rsidP="00011492">
      <w:r>
        <w:continuationSeparator/>
      </w:r>
    </w:p>
  </w:footnote>
  <w:footnote w:id="1">
    <w:p w14:paraId="69337045" w14:textId="77777777" w:rsidR="00A32988" w:rsidRDefault="00A32988">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7566F8BB" w14:textId="77777777" w:rsidR="00A32988" w:rsidRDefault="00A32988"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0A610CD5" w14:textId="77777777" w:rsidR="00A32988" w:rsidRPr="00BD701A" w:rsidRDefault="00A32988">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A32988" w:rsidRDefault="00A32988">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A32988" w:rsidRDefault="00A32988">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A32988" w:rsidRDefault="00A32988">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A32988" w:rsidRDefault="00A32988">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A32988" w:rsidRDefault="00A32988">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A32988" w:rsidRDefault="00A32988"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96219E5"/>
    <w:multiLevelType w:val="hybridMultilevel"/>
    <w:tmpl w:val="455E96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3"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20"/>
  </w:num>
  <w:num w:numId="4">
    <w:abstractNumId w:val="2"/>
  </w:num>
  <w:num w:numId="5">
    <w:abstractNumId w:val="23"/>
  </w:num>
  <w:num w:numId="6">
    <w:abstractNumId w:val="9"/>
  </w:num>
  <w:num w:numId="7">
    <w:abstractNumId w:val="5"/>
  </w:num>
  <w:num w:numId="8">
    <w:abstractNumId w:val="10"/>
  </w:num>
  <w:num w:numId="9">
    <w:abstractNumId w:val="12"/>
  </w:num>
  <w:num w:numId="10">
    <w:abstractNumId w:val="13"/>
  </w:num>
  <w:num w:numId="11">
    <w:abstractNumId w:val="6"/>
  </w:num>
  <w:num w:numId="12">
    <w:abstractNumId w:val="8"/>
  </w:num>
  <w:num w:numId="13">
    <w:abstractNumId w:val="17"/>
  </w:num>
  <w:num w:numId="14">
    <w:abstractNumId w:val="15"/>
  </w:num>
  <w:num w:numId="15">
    <w:abstractNumId w:val="21"/>
  </w:num>
  <w:num w:numId="16">
    <w:abstractNumId w:val="14"/>
  </w:num>
  <w:num w:numId="17">
    <w:abstractNumId w:val="3"/>
  </w:num>
  <w:num w:numId="18">
    <w:abstractNumId w:val="7"/>
  </w:num>
  <w:num w:numId="19">
    <w:abstractNumId w:val="7"/>
  </w:num>
  <w:num w:numId="20">
    <w:abstractNumId w:val="7"/>
  </w:num>
  <w:num w:numId="21">
    <w:abstractNumId w:val="24"/>
  </w:num>
  <w:num w:numId="22">
    <w:abstractNumId w:val="7"/>
  </w:num>
  <w:num w:numId="23">
    <w:abstractNumId w:val="7"/>
  </w:num>
  <w:num w:numId="24">
    <w:abstractNumId w:val="7"/>
  </w:num>
  <w:num w:numId="25">
    <w:abstractNumId w:val="7"/>
  </w:num>
  <w:num w:numId="26">
    <w:abstractNumId w:val="4"/>
  </w:num>
  <w:num w:numId="27">
    <w:abstractNumId w:val="16"/>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8"/>
  </w:num>
  <w:num w:numId="41">
    <w:abstractNumId w:val="19"/>
  </w:num>
  <w:num w:numId="42">
    <w:abstractNumId w:val="22"/>
  </w:num>
  <w:num w:numId="4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02DE"/>
    <w:rsid w:val="0000101B"/>
    <w:rsid w:val="00002872"/>
    <w:rsid w:val="00011492"/>
    <w:rsid w:val="00027BE3"/>
    <w:rsid w:val="0004107C"/>
    <w:rsid w:val="00044FE0"/>
    <w:rsid w:val="00054150"/>
    <w:rsid w:val="000546DE"/>
    <w:rsid w:val="00055B27"/>
    <w:rsid w:val="00067C68"/>
    <w:rsid w:val="000770DC"/>
    <w:rsid w:val="00082903"/>
    <w:rsid w:val="00086C20"/>
    <w:rsid w:val="00097C3E"/>
    <w:rsid w:val="000A7554"/>
    <w:rsid w:val="000C687C"/>
    <w:rsid w:val="000C7DE7"/>
    <w:rsid w:val="000D5C13"/>
    <w:rsid w:val="000E1264"/>
    <w:rsid w:val="000E4D84"/>
    <w:rsid w:val="000F37D3"/>
    <w:rsid w:val="000F7396"/>
    <w:rsid w:val="00106DD8"/>
    <w:rsid w:val="001077CC"/>
    <w:rsid w:val="001527A0"/>
    <w:rsid w:val="00154F7B"/>
    <w:rsid w:val="001572CE"/>
    <w:rsid w:val="001616DC"/>
    <w:rsid w:val="00167C92"/>
    <w:rsid w:val="00174E35"/>
    <w:rsid w:val="00181795"/>
    <w:rsid w:val="00187141"/>
    <w:rsid w:val="001916F7"/>
    <w:rsid w:val="00191AF0"/>
    <w:rsid w:val="00195D05"/>
    <w:rsid w:val="001A3559"/>
    <w:rsid w:val="001A3ADD"/>
    <w:rsid w:val="001C0E2D"/>
    <w:rsid w:val="001C5258"/>
    <w:rsid w:val="001C728C"/>
    <w:rsid w:val="001D05A4"/>
    <w:rsid w:val="001D24A6"/>
    <w:rsid w:val="001D7592"/>
    <w:rsid w:val="001E0B61"/>
    <w:rsid w:val="001E50DB"/>
    <w:rsid w:val="001E5983"/>
    <w:rsid w:val="001F1A19"/>
    <w:rsid w:val="001F57B9"/>
    <w:rsid w:val="001F7BB0"/>
    <w:rsid w:val="00200C24"/>
    <w:rsid w:val="00204E74"/>
    <w:rsid w:val="0021036A"/>
    <w:rsid w:val="0021683D"/>
    <w:rsid w:val="002276B0"/>
    <w:rsid w:val="002404D9"/>
    <w:rsid w:val="00254A07"/>
    <w:rsid w:val="0025733D"/>
    <w:rsid w:val="0026577E"/>
    <w:rsid w:val="002A2793"/>
    <w:rsid w:val="002A5DC8"/>
    <w:rsid w:val="002B6D82"/>
    <w:rsid w:val="002C292B"/>
    <w:rsid w:val="002D0CD5"/>
    <w:rsid w:val="002D2ACC"/>
    <w:rsid w:val="002F0C3E"/>
    <w:rsid w:val="002F629A"/>
    <w:rsid w:val="003455E5"/>
    <w:rsid w:val="00351A41"/>
    <w:rsid w:val="00366A1A"/>
    <w:rsid w:val="00384375"/>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5F55"/>
    <w:rsid w:val="00477D8F"/>
    <w:rsid w:val="00491433"/>
    <w:rsid w:val="00495709"/>
    <w:rsid w:val="004B514E"/>
    <w:rsid w:val="004C5913"/>
    <w:rsid w:val="004D55B7"/>
    <w:rsid w:val="00505481"/>
    <w:rsid w:val="00510E97"/>
    <w:rsid w:val="005247E3"/>
    <w:rsid w:val="00532BF5"/>
    <w:rsid w:val="00544684"/>
    <w:rsid w:val="00545530"/>
    <w:rsid w:val="005579A3"/>
    <w:rsid w:val="00566041"/>
    <w:rsid w:val="0056633A"/>
    <w:rsid w:val="005866F4"/>
    <w:rsid w:val="005945CF"/>
    <w:rsid w:val="005C56DB"/>
    <w:rsid w:val="005C6442"/>
    <w:rsid w:val="005D2853"/>
    <w:rsid w:val="005D5E66"/>
    <w:rsid w:val="005E2351"/>
    <w:rsid w:val="005E68F3"/>
    <w:rsid w:val="005F3D64"/>
    <w:rsid w:val="00604312"/>
    <w:rsid w:val="00613B81"/>
    <w:rsid w:val="0061419B"/>
    <w:rsid w:val="00631177"/>
    <w:rsid w:val="00633068"/>
    <w:rsid w:val="0063616D"/>
    <w:rsid w:val="00641E07"/>
    <w:rsid w:val="0066335B"/>
    <w:rsid w:val="0068393F"/>
    <w:rsid w:val="006950DA"/>
    <w:rsid w:val="0069701E"/>
    <w:rsid w:val="006A494C"/>
    <w:rsid w:val="006B6455"/>
    <w:rsid w:val="006E6DB6"/>
    <w:rsid w:val="006F3B8A"/>
    <w:rsid w:val="006F6A82"/>
    <w:rsid w:val="007057C7"/>
    <w:rsid w:val="00727CF9"/>
    <w:rsid w:val="00740F5F"/>
    <w:rsid w:val="00753481"/>
    <w:rsid w:val="00756B8C"/>
    <w:rsid w:val="007671B4"/>
    <w:rsid w:val="007730DA"/>
    <w:rsid w:val="00774F52"/>
    <w:rsid w:val="00782AD2"/>
    <w:rsid w:val="007839DA"/>
    <w:rsid w:val="00787BE5"/>
    <w:rsid w:val="00794373"/>
    <w:rsid w:val="007C3C21"/>
    <w:rsid w:val="008303DD"/>
    <w:rsid w:val="0084603B"/>
    <w:rsid w:val="008504FB"/>
    <w:rsid w:val="00853C48"/>
    <w:rsid w:val="00856187"/>
    <w:rsid w:val="00857281"/>
    <w:rsid w:val="008733B9"/>
    <w:rsid w:val="00884CF3"/>
    <w:rsid w:val="008A67D8"/>
    <w:rsid w:val="008B21DF"/>
    <w:rsid w:val="008B45B2"/>
    <w:rsid w:val="008B7523"/>
    <w:rsid w:val="008D226A"/>
    <w:rsid w:val="008D4630"/>
    <w:rsid w:val="008E3800"/>
    <w:rsid w:val="008E5CBE"/>
    <w:rsid w:val="008F15A5"/>
    <w:rsid w:val="008F569B"/>
    <w:rsid w:val="00900FED"/>
    <w:rsid w:val="00930F50"/>
    <w:rsid w:val="00940FB9"/>
    <w:rsid w:val="0095040D"/>
    <w:rsid w:val="00971755"/>
    <w:rsid w:val="0098192E"/>
    <w:rsid w:val="00985860"/>
    <w:rsid w:val="00986458"/>
    <w:rsid w:val="009A1131"/>
    <w:rsid w:val="009A4DE0"/>
    <w:rsid w:val="009B5815"/>
    <w:rsid w:val="009C6651"/>
    <w:rsid w:val="009D2830"/>
    <w:rsid w:val="009D6646"/>
    <w:rsid w:val="009E22C8"/>
    <w:rsid w:val="009F1675"/>
    <w:rsid w:val="009F20C9"/>
    <w:rsid w:val="00A16550"/>
    <w:rsid w:val="00A1729A"/>
    <w:rsid w:val="00A32988"/>
    <w:rsid w:val="00A503FB"/>
    <w:rsid w:val="00A524C2"/>
    <w:rsid w:val="00A63DF5"/>
    <w:rsid w:val="00A64E5F"/>
    <w:rsid w:val="00A768F9"/>
    <w:rsid w:val="00A834C3"/>
    <w:rsid w:val="00A83DB3"/>
    <w:rsid w:val="00A940E4"/>
    <w:rsid w:val="00A95EC9"/>
    <w:rsid w:val="00A97D86"/>
    <w:rsid w:val="00AB2A53"/>
    <w:rsid w:val="00AC0AC0"/>
    <w:rsid w:val="00AC117C"/>
    <w:rsid w:val="00AC711B"/>
    <w:rsid w:val="00AD4504"/>
    <w:rsid w:val="00AD692C"/>
    <w:rsid w:val="00AF1F46"/>
    <w:rsid w:val="00B24F95"/>
    <w:rsid w:val="00B259BD"/>
    <w:rsid w:val="00B30EC0"/>
    <w:rsid w:val="00B337AA"/>
    <w:rsid w:val="00B34733"/>
    <w:rsid w:val="00B37AF9"/>
    <w:rsid w:val="00B52AA9"/>
    <w:rsid w:val="00B61D5B"/>
    <w:rsid w:val="00B8153A"/>
    <w:rsid w:val="00BB3AC8"/>
    <w:rsid w:val="00BB4EE6"/>
    <w:rsid w:val="00BD701A"/>
    <w:rsid w:val="00BE20DB"/>
    <w:rsid w:val="00C0107D"/>
    <w:rsid w:val="00C03A6B"/>
    <w:rsid w:val="00C07B4B"/>
    <w:rsid w:val="00C12556"/>
    <w:rsid w:val="00C31673"/>
    <w:rsid w:val="00C52D57"/>
    <w:rsid w:val="00C608D5"/>
    <w:rsid w:val="00C6396B"/>
    <w:rsid w:val="00C70495"/>
    <w:rsid w:val="00C77E92"/>
    <w:rsid w:val="00C97108"/>
    <w:rsid w:val="00CB1D16"/>
    <w:rsid w:val="00CC115A"/>
    <w:rsid w:val="00CC6551"/>
    <w:rsid w:val="00CE7C8F"/>
    <w:rsid w:val="00D05F42"/>
    <w:rsid w:val="00D06FD5"/>
    <w:rsid w:val="00D103D9"/>
    <w:rsid w:val="00D14547"/>
    <w:rsid w:val="00D15A2D"/>
    <w:rsid w:val="00D2291D"/>
    <w:rsid w:val="00D2679F"/>
    <w:rsid w:val="00D313D8"/>
    <w:rsid w:val="00D51831"/>
    <w:rsid w:val="00DA0B6E"/>
    <w:rsid w:val="00DA2FD3"/>
    <w:rsid w:val="00DA5EF6"/>
    <w:rsid w:val="00DD3E7E"/>
    <w:rsid w:val="00DD52C8"/>
    <w:rsid w:val="00DD5CAF"/>
    <w:rsid w:val="00DD629B"/>
    <w:rsid w:val="00DE07E5"/>
    <w:rsid w:val="00E01875"/>
    <w:rsid w:val="00E11667"/>
    <w:rsid w:val="00E12A2F"/>
    <w:rsid w:val="00E250F8"/>
    <w:rsid w:val="00E27BDF"/>
    <w:rsid w:val="00E30E96"/>
    <w:rsid w:val="00E367E6"/>
    <w:rsid w:val="00E44600"/>
    <w:rsid w:val="00E515CC"/>
    <w:rsid w:val="00E909BE"/>
    <w:rsid w:val="00EB51A1"/>
    <w:rsid w:val="00ED70B2"/>
    <w:rsid w:val="00EF0DEC"/>
    <w:rsid w:val="00EF2746"/>
    <w:rsid w:val="00EF3D31"/>
    <w:rsid w:val="00EF4578"/>
    <w:rsid w:val="00EF5473"/>
    <w:rsid w:val="00F077CC"/>
    <w:rsid w:val="00F21685"/>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B5D2E"/>
    <w:rsid w:val="00FB7AED"/>
    <w:rsid w:val="00FC0EB7"/>
    <w:rsid w:val="00FE604F"/>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6CBF"/>
    <w:rsid w:val="001D623F"/>
    <w:rsid w:val="00212458"/>
    <w:rsid w:val="00213F90"/>
    <w:rsid w:val="00305E40"/>
    <w:rsid w:val="003B5E7B"/>
    <w:rsid w:val="004735C3"/>
    <w:rsid w:val="004B5AC9"/>
    <w:rsid w:val="004C707D"/>
    <w:rsid w:val="005222D6"/>
    <w:rsid w:val="00534292"/>
    <w:rsid w:val="00546FC6"/>
    <w:rsid w:val="005B15C1"/>
    <w:rsid w:val="00603354"/>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86EFF56B-B4BC-45A9-A14A-42CE180D9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4065</Words>
  <Characters>22363</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DAJ_SMA</dc:creator>
  <cp:lastModifiedBy>Caroline KONTER</cp:lastModifiedBy>
  <cp:revision>7</cp:revision>
  <cp:lastPrinted>2019-11-25T17:36:00Z</cp:lastPrinted>
  <dcterms:created xsi:type="dcterms:W3CDTF">2025-04-15T09:08:00Z</dcterms:created>
  <dcterms:modified xsi:type="dcterms:W3CDTF">2025-04-15T10:58:00Z</dcterms:modified>
</cp:coreProperties>
</file>