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CC09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66A64" w14:paraId="05075C88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223389" w14:textId="0E1439B9" w:rsidR="00F90525" w:rsidRDefault="0082230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480A51D" wp14:editId="6F1B86EE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FE671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D81E18" w14:textId="5F2D4554" w:rsidR="00F90525" w:rsidRDefault="0082230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64B0EC5" wp14:editId="27756EED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7590C5" w14:textId="77777777" w:rsidR="00F90525" w:rsidRDefault="00F9052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73F945B" w14:textId="77777777" w:rsidR="00F90525" w:rsidRDefault="00F9052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66A64" w14:paraId="7C2FCFB2" w14:textId="77777777" w:rsidTr="00F9052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153D63" w:themeFill="text2" w:themeFillTint="E6"/>
            <w:vAlign w:val="center"/>
          </w:tcPr>
          <w:p w14:paraId="0D2B492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50A1BB00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78FCF6E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1315A666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09D5F10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7054B1A4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513FC7E3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E442C8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DE2BB09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E2E33F2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66A64" w14:paraId="5EBFA56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D8B7F11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B9672D7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C05668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Prestations de formation visant le développement des compétences numériques et collaboratives des agents des Agences Régionales de Santé</w:t>
            </w:r>
          </w:p>
        </w:tc>
      </w:tr>
    </w:tbl>
    <w:p w14:paraId="79384CA8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FE1C1BD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2D2617B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BF25BDD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BBAFF43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66A64" w14:paraId="2FEAAA14" w14:textId="77777777" w:rsidTr="00F90525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153D63" w:themeFill="text2" w:themeFillTint="E6"/>
          </w:tcPr>
          <w:p w14:paraId="1FDF55E1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55EE567A" w14:textId="7228F823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 xml:space="preserve">CADRE DE </w:t>
            </w:r>
            <w:r w:rsidR="00571843"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MÉMOIRE TECHNIQUE</w:t>
            </w:r>
          </w:p>
          <w:p w14:paraId="337879F0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88B9C74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EFDEA26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266A64" w14:paraId="29565F28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E0CB61A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8B2FED9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Consultation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n°CRN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MP 25-02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05E7D15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</w:tr>
      <w:tr w:rsidR="00266A64" w14:paraId="1F5D33B8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8D3AA0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520EF5B3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LE CADRE DE RÉPONSE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22F4AB52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</w:tr>
    </w:tbl>
    <w:p w14:paraId="5595E5E5" w14:textId="77777777" w:rsidR="00F90525" w:rsidRDefault="00F9052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*Le fournisseur doit compléter un cadre de réponse par lot.</w:t>
      </w:r>
    </w:p>
    <w:p w14:paraId="72A16A0A" w14:textId="77777777" w:rsidR="00F90525" w:rsidRDefault="00F9052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356DF865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6DF10C8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Critères d’attribution</w:t>
      </w:r>
    </w:p>
    <w:p w14:paraId="4693BD8B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p w14:paraId="2CDB6520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77C3381D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1"/>
        <w:gridCol w:w="2846"/>
      </w:tblGrid>
      <w:tr w:rsidR="00571843" w14:paraId="68E7E1AC" w14:textId="77777777" w:rsidTr="00A8090E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153D63" w:themeFill="text2" w:themeFillTint="E6"/>
            <w:vAlign w:val="center"/>
          </w:tcPr>
          <w:p w14:paraId="756CC5A9" w14:textId="73234052" w:rsidR="00571843" w:rsidRDefault="0057184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Critères et méthodes de notation</w:t>
            </w:r>
          </w:p>
        </w:tc>
      </w:tr>
      <w:tr w:rsidR="00266A64" w14:paraId="47BEAF38" w14:textId="77777777" w:rsidTr="008506B3">
        <w:tc>
          <w:tcPr>
            <w:tcW w:w="697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2C9784D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Qualité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(50 %)</w:t>
            </w:r>
          </w:p>
        </w:tc>
        <w:tc>
          <w:tcPr>
            <w:tcW w:w="284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618DC4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6"/>
                <w:szCs w:val="6"/>
              </w:rPr>
            </w:pPr>
          </w:p>
          <w:p w14:paraId="22C702AF" w14:textId="54853F73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</w:p>
        </w:tc>
      </w:tr>
      <w:tr w:rsidR="00266A64" w14:paraId="4388652A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954C14B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à détailler par sous-critère :</w:t>
            </w:r>
          </w:p>
        </w:tc>
      </w:tr>
      <w:tr w:rsidR="00192E56" w14:paraId="295B59C2" w14:textId="77777777" w:rsidTr="005A138F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377789F" w14:textId="6A15DE56" w:rsidR="00192E56" w:rsidRDefault="00192E56" w:rsidP="00192E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Moyens humains mis à disposition : compétences, expériences, qualifications des formateurs et organisation de l’équipe proposée pour la réalisation et le suivi des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(10 pts)</w:t>
            </w:r>
          </w:p>
        </w:tc>
      </w:tr>
      <w:tr w:rsidR="00266A64" w14:paraId="041B65B0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08F33D4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00C42961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F5FE87B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CB01C52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8434086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86AC4AD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2D2F300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7C558E9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3EF3014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3AAABFE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4430FFB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C892C12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29B81AD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F67319A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8949DC4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E29E59A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2A9CA38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1A48F0F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5424DDD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8A3BA73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6B3DC3F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5B86316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3E30C57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D26C0C7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0742E28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192E56" w14:paraId="6EEC7DD5" w14:textId="77777777" w:rsidTr="00340B9A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B267F3F" w14:textId="6C84638A" w:rsidR="00192E56" w:rsidRDefault="00192E56" w:rsidP="00192E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Certification QUALIOPI ou équivalent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266A64" w14:paraId="531B0F46" w14:textId="77777777" w:rsidTr="008506B3">
        <w:trPr>
          <w:trHeight w:val="456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3ECEBB4" w14:textId="5D7756B1" w:rsidR="00F90525" w:rsidRPr="008506B3" w:rsidRDefault="008506B3" w:rsidP="0085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Certification à fournir</w:t>
            </w:r>
          </w:p>
        </w:tc>
      </w:tr>
      <w:tr w:rsidR="00192E56" w14:paraId="0C62634A" w14:textId="77777777" w:rsidTr="00BD4FAD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D02B83B" w14:textId="5B76005C" w:rsidR="00192E56" w:rsidRDefault="00192E56" w:rsidP="00192E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 w:rsidRPr="00C62B02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Qualité et variété de l’offre de formation (BPU et catalogue) évaluées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notamment </w:t>
            </w:r>
            <w:r w:rsidRPr="00C62B02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au regard des fiches</w:t>
            </w:r>
            <w:r w:rsidRPr="00C62B0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Pr="00C62B02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péd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agogiques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(10 pts) </w:t>
            </w:r>
          </w:p>
        </w:tc>
      </w:tr>
      <w:tr w:rsidR="00266A64" w14:paraId="1D3702C5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587B5AC" w14:textId="425B8A44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</w:t>
            </w:r>
            <w:r w:rsidR="008506B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,</w:t>
            </w:r>
            <w:r w:rsidR="00C62B02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 cas échéant</w:t>
            </w:r>
            <w:r w:rsidR="008506B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,</w:t>
            </w:r>
            <w:r w:rsidR="00C62B02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en complément des fiches </w:t>
            </w:r>
            <w:r w:rsidR="008506B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pédagogiques </w:t>
            </w:r>
            <w:r w:rsidR="00C62B02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transmises</w:t>
            </w:r>
          </w:p>
          <w:p w14:paraId="32514C4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34F6DDE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066E7E6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04A6729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57554BF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07CAE13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304CADE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DAF95D2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834B62C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72E4112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96D670A" w14:textId="77777777" w:rsidR="00192E56" w:rsidRDefault="0019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63903B5" w14:textId="77777777" w:rsidR="00FB5401" w:rsidRDefault="00FB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516D417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FC9BA66" w14:textId="77777777" w:rsidR="00C62B02" w:rsidRDefault="00C62B02" w:rsidP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60F6DE2" w14:textId="77777777" w:rsidR="00C62B02" w:rsidRDefault="00C62B02" w:rsidP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E6A215D" w14:textId="77777777" w:rsidR="00C62B02" w:rsidRDefault="00C62B02" w:rsidP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3E7C329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192E56" w14:paraId="4F310DF3" w14:textId="77777777" w:rsidTr="001F6E0D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7569222" w14:textId="462965DE" w:rsidR="00192E56" w:rsidRDefault="00192E56" w:rsidP="00192E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Utilisation d'outils interactifs, collaboratifs et propositions innovantes pour favoriser l'engagement et la réussite des apprenants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266A64" w14:paraId="56514C27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7F0F6D3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6239C46F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33B1D0C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EC91316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F3E9245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B4AAC18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0579BA5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06280C7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888BCA4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DD1E927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CD46A8A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01971AA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20B134D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461F708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0E78C5B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BA1E0C9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A78369E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5D364C3" w14:textId="77777777" w:rsidR="00C62B02" w:rsidRDefault="00C6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D31B09D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822308" w14:paraId="3AAC7554" w14:textId="77777777" w:rsidTr="00111B91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95C400A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Plate-forme/espace numérique mis à disposition (fonctionnalités, autonomie et personnalisations possibles, design, caractère intuitif, assistance, ...)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(10 pts)</w:t>
            </w:r>
          </w:p>
          <w:p w14:paraId="23119953" w14:textId="77777777" w:rsidR="00822308" w:rsidRDefault="00822308" w:rsidP="00C62B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F0A1374" w14:textId="77777777" w:rsidR="00822308" w:rsidRDefault="00822308" w:rsidP="00C62B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Le candidat détaille l’ensemble des fonctionnalités, les </w:t>
            </w:r>
            <w:r w:rsidRPr="004D273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personnalisations possibles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et</w:t>
            </w:r>
            <w:r w:rsidRPr="004D273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l’autonomie proposée aux ARS. Le cadre de mémoire technique est complété le cas échéant de tout document jugé utile par le candidat (tutoriels, …)</w:t>
            </w:r>
          </w:p>
          <w:p w14:paraId="382E5DA3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4"/>
                <w:szCs w:val="4"/>
              </w:rPr>
            </w:pPr>
          </w:p>
          <w:p w14:paraId="65CB1333" w14:textId="176832D3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6A64" w14:paraId="126F140A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51DDD47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65BEA463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0A097C7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8C01B8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C6CC78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0E1722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CF6B27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7A2EC7F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6B4324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403ABE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047DD54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C32DE7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0C9BDB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5C4E63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706D164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37844D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94EBEF1" w14:textId="77777777" w:rsidR="00653FE6" w:rsidRDefault="0065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542E5DF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49EA52D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2B3042C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A3C6D8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DB561A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822308" w14:paraId="2EF7078E" w14:textId="77777777" w:rsidTr="0016148E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E6760BE" w14:textId="5DAA2FA5" w:rsidR="00822308" w:rsidRDefault="00822308" w:rsidP="008223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Méthode, délais mis en œuvre et services proposés à compter de la notification d</w:t>
            </w:r>
            <w:r w:rsidR="00FB5401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u contrat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 et </w:t>
            </w:r>
            <w:r w:rsidR="00FB5401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dans le cadre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du suivi des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266A64" w14:paraId="78957CFE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5E9A4B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7F609096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3F1325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C4C331D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3FC6CA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591559C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CD0CD2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960CC2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89BAD23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A711EAF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0DFDD9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E5A7F01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0E0C79B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3E8C91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C34556F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23907B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55DCCAD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F252E56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22275D2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9B348B1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590DBF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3404AD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058BC2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697CCB8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822308" w14:paraId="6450E4C9" w14:textId="77777777" w:rsidTr="001239CF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E2718A6" w14:textId="6616F177" w:rsidR="00822308" w:rsidRDefault="008223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Méthode, délais mis en œuvre et services proposés dans le cadre de la réalisation des </w:t>
            </w:r>
            <w:r w:rsidR="009F0967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parcours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formations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  <w:p w14:paraId="1BCE8A7C" w14:textId="079A1BBF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4"/>
                <w:szCs w:val="4"/>
              </w:rPr>
            </w:pPr>
          </w:p>
          <w:p w14:paraId="5DA37F20" w14:textId="2D893C39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6A64" w14:paraId="42CDDA7B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E65DE05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750327FA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6CF28AD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7D2EA0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724EF2D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C8DD29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9202B9D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93C2D5E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C22FD5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212E3D3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FB6F22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778ECF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6FCE04E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8DFF27A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F5AB92A" w14:textId="77777777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85F4FC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546DC1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A021ED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5592A0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28E415F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BA4C641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EF49FB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7C10C8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1175F2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5218A93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571843" w14:paraId="4ECC1D74" w14:textId="77777777" w:rsidTr="009C44BE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8AB4D95" w14:textId="17138C80" w:rsidR="00571843" w:rsidRDefault="00571843" w:rsidP="005718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(40 %)</w:t>
            </w:r>
          </w:p>
        </w:tc>
      </w:tr>
      <w:tr w:rsidR="00266A64" w14:paraId="22FDB57B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792BA32" w14:textId="0422C4C5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A compléter dans </w:t>
            </w:r>
            <w:r w:rsidR="00192E5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le Bordereau des prix unitaires</w:t>
            </w:r>
          </w:p>
        </w:tc>
      </w:tr>
      <w:tr w:rsidR="00822308" w14:paraId="0CF902DA" w14:textId="77777777" w:rsidTr="00142099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E38A517" w14:textId="1678C260" w:rsidR="00822308" w:rsidRDefault="00822308" w:rsidP="008B45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Pr="008B45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Actions mises en œuvre permettant d'inscrire ce projet dans une démarche numérique écoresponsable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(5 %) </w:t>
            </w:r>
            <w:r w:rsidRPr="008B459B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: hébergement des contenus sur des serveurs à faible consommation énergétique (datacenter éco-certifiés, ISO 14001 ou équivalent et hébergement des données en France ou en UE), actions mises en œuvre concernant la transmission de documents (fichiers optimisés et compressés, ...</w:t>
            </w:r>
            <w:r w:rsidR="00733BED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)</w:t>
            </w:r>
          </w:p>
          <w:p w14:paraId="69E30F4D" w14:textId="56D2C0BB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6"/>
                <w:szCs w:val="6"/>
              </w:rPr>
            </w:pPr>
          </w:p>
          <w:p w14:paraId="46CEF77B" w14:textId="7CE95CDC" w:rsidR="00822308" w:rsidRDefault="00822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</w:p>
        </w:tc>
      </w:tr>
      <w:tr w:rsidR="00266A64" w14:paraId="3B728612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BAA7B7D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E7152C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E6F9E94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3992529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4CC34D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5DCBE74B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F4AE73E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5F181FA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30328CB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F5B2F5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2D0986CB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44C3B031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34906232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47EF1E84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822308" w14:paraId="0BE47F05" w14:textId="77777777" w:rsidTr="0059646A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587241E" w14:textId="2EFFA1D6" w:rsidR="00822308" w:rsidRDefault="00822308" w:rsidP="0082230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Actions permettant d'inscrire ce projet dans une démarche sociale</w:t>
            </w:r>
            <w:r w:rsidRPr="008B459B">
              <w:rPr>
                <w:rFonts w:ascii="Arial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(5 %)</w:t>
            </w:r>
          </w:p>
          <w:p w14:paraId="0A18492A" w14:textId="0B7BC2A8" w:rsidR="00733BED" w:rsidRDefault="00733BED" w:rsidP="00E36B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Le candidat précise les actions d’insertion mises en œuvre conformément à l’article 6.3 du CCAP. </w:t>
            </w:r>
          </w:p>
          <w:p w14:paraId="0B05D810" w14:textId="7A3E85D2" w:rsidR="00571843" w:rsidRPr="00571843" w:rsidRDefault="00684617" w:rsidP="00E36B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rPr>
                <w:rFonts w:cs="Times New Roman"/>
                <w:b/>
                <w:sz w:val="20"/>
                <w:szCs w:val="20"/>
                <w:u w:val="single"/>
                <w14:ligatures w14:val="none"/>
              </w:rPr>
            </w:pPr>
            <w:r w:rsidRPr="00571843">
              <w:rPr>
                <w:rFonts w:cs="Times New Roman"/>
                <w:b/>
                <w:sz w:val="20"/>
                <w:szCs w:val="20"/>
                <w:u w:val="single"/>
                <w14:ligatures w14:val="none"/>
              </w:rPr>
              <w:t>A minima, le candidat doit prévoir :</w:t>
            </w:r>
          </w:p>
          <w:p w14:paraId="2DA1EE3B" w14:textId="2C65D92C" w:rsidR="00571843" w:rsidRPr="00571843" w:rsidRDefault="00571843" w:rsidP="00684617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>Dans le cadre du lot 1 une action de formation par an ;</w:t>
            </w:r>
          </w:p>
          <w:p w14:paraId="7744F496" w14:textId="5AADF7B5" w:rsidR="00684617" w:rsidRPr="00571843" w:rsidRDefault="00571843" w:rsidP="00684617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>Dans le cadre des lots 2 et 3 s</w:t>
            </w:r>
            <w:r w:rsidR="00684617" w:rsidRPr="00571843">
              <w:rPr>
                <w:sz w:val="20"/>
                <w:szCs w:val="20"/>
              </w:rPr>
              <w:t xml:space="preserve">oit une action indiquée en (2) </w:t>
            </w:r>
            <w:r w:rsidRPr="00571843">
              <w:rPr>
                <w:sz w:val="20"/>
                <w:szCs w:val="20"/>
              </w:rPr>
              <w:t>soit</w:t>
            </w:r>
            <w:r w:rsidR="00684617" w:rsidRPr="00571843">
              <w:rPr>
                <w:sz w:val="20"/>
                <w:szCs w:val="20"/>
              </w:rPr>
              <w:t xml:space="preserve"> deux opérations en catégorie (1)</w:t>
            </w:r>
            <w:r>
              <w:rPr>
                <w:sz w:val="20"/>
                <w:szCs w:val="20"/>
              </w:rPr>
              <w:t xml:space="preserve"> par an, cf. CCAP. </w:t>
            </w:r>
            <w:r w:rsidR="00684617" w:rsidRPr="00571843">
              <w:rPr>
                <w:sz w:val="20"/>
                <w:szCs w:val="20"/>
              </w:rPr>
              <w:t xml:space="preserve"> </w:t>
            </w:r>
          </w:p>
          <w:p w14:paraId="060CEC4B" w14:textId="3192481C" w:rsidR="00684617" w:rsidRPr="00571843" w:rsidRDefault="00684617" w:rsidP="00E36B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794CD3AE" w14:textId="4F3FBDCA" w:rsidR="00733BED" w:rsidRPr="00571843" w:rsidRDefault="00E36B79" w:rsidP="00E36B79">
            <w:pPr>
              <w:pStyle w:val="Sansinterligne"/>
              <w:rPr>
                <w:b/>
                <w:sz w:val="20"/>
                <w:szCs w:val="20"/>
                <w:u w:val="single"/>
              </w:rPr>
            </w:pPr>
            <w:r w:rsidRPr="00571843">
              <w:rPr>
                <w:b/>
                <w:sz w:val="20"/>
                <w:szCs w:val="20"/>
                <w:u w:val="single"/>
              </w:rPr>
              <w:t>P</w:t>
            </w:r>
            <w:r w:rsidR="00733BED" w:rsidRPr="00571843">
              <w:rPr>
                <w:b/>
                <w:sz w:val="20"/>
                <w:szCs w:val="20"/>
                <w:u w:val="single"/>
              </w:rPr>
              <w:t>our obtenir 2.5 points</w:t>
            </w:r>
            <w:r w:rsidRPr="00571843">
              <w:rPr>
                <w:b/>
                <w:sz w:val="20"/>
                <w:szCs w:val="20"/>
                <w:u w:val="single"/>
              </w:rPr>
              <w:t> dans le cadre du présent critère, le candidat doit s’engager à réaliser en plus :</w:t>
            </w:r>
            <w:r w:rsidR="00733BED" w:rsidRPr="00571843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1361A6A3" w14:textId="77777777" w:rsidR="00733BED" w:rsidRPr="00571843" w:rsidRDefault="00733BED" w:rsidP="00733BED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 xml:space="preserve">Soit une action indiquée en (2) </w:t>
            </w:r>
          </w:p>
          <w:p w14:paraId="24426866" w14:textId="77777777" w:rsidR="00733BED" w:rsidRPr="00571843" w:rsidRDefault="00733BED" w:rsidP="00733BED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 xml:space="preserve">Sot deux opérations en catégorie (1) </w:t>
            </w:r>
          </w:p>
          <w:p w14:paraId="22FCCC4B" w14:textId="77777777" w:rsidR="00604DE2" w:rsidRPr="00571843" w:rsidRDefault="00604DE2" w:rsidP="00E36B79">
            <w:pPr>
              <w:pStyle w:val="Sansinterligne"/>
              <w:rPr>
                <w:b/>
                <w:sz w:val="20"/>
                <w:szCs w:val="20"/>
                <w:u w:val="single"/>
              </w:rPr>
            </w:pPr>
          </w:p>
          <w:p w14:paraId="22ABD8D7" w14:textId="0E74696A" w:rsidR="00733BED" w:rsidRPr="00571843" w:rsidRDefault="00E36B79" w:rsidP="00E36B79">
            <w:pPr>
              <w:pStyle w:val="Sansinterligne"/>
              <w:rPr>
                <w:b/>
                <w:sz w:val="20"/>
                <w:szCs w:val="20"/>
                <w:u w:val="single"/>
              </w:rPr>
            </w:pPr>
            <w:r w:rsidRPr="00571843">
              <w:rPr>
                <w:b/>
                <w:sz w:val="20"/>
                <w:szCs w:val="20"/>
                <w:u w:val="single"/>
              </w:rPr>
              <w:t>P</w:t>
            </w:r>
            <w:r w:rsidR="00733BED" w:rsidRPr="00571843">
              <w:rPr>
                <w:b/>
                <w:sz w:val="20"/>
                <w:szCs w:val="20"/>
                <w:u w:val="single"/>
              </w:rPr>
              <w:t>our obtenir 5 points</w:t>
            </w:r>
            <w:r w:rsidRPr="00571843">
              <w:rPr>
                <w:b/>
                <w:sz w:val="20"/>
                <w:szCs w:val="20"/>
                <w:u w:val="single"/>
              </w:rPr>
              <w:t xml:space="preserve"> : </w:t>
            </w:r>
          </w:p>
          <w:p w14:paraId="35AA6408" w14:textId="77777777" w:rsidR="00733BED" w:rsidRPr="00571843" w:rsidRDefault="00733BED" w:rsidP="00733BED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>Soit 2 actions de catégorie (2)</w:t>
            </w:r>
          </w:p>
          <w:p w14:paraId="64CC5C06" w14:textId="77777777" w:rsidR="00733BED" w:rsidRPr="00571843" w:rsidRDefault="00733BED" w:rsidP="00733BED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>Sot 1 action de catégorie (2) et 2 actions de catégorie (1)</w:t>
            </w:r>
          </w:p>
          <w:p w14:paraId="0EF33936" w14:textId="77777777" w:rsidR="00733BED" w:rsidRPr="00571843" w:rsidRDefault="00733BED" w:rsidP="00733BED">
            <w:pPr>
              <w:pStyle w:val="Sansinterligne"/>
              <w:numPr>
                <w:ilvl w:val="1"/>
                <w:numId w:val="28"/>
              </w:numPr>
              <w:rPr>
                <w:sz w:val="20"/>
                <w:szCs w:val="20"/>
              </w:rPr>
            </w:pPr>
            <w:r w:rsidRPr="00571843">
              <w:rPr>
                <w:sz w:val="20"/>
                <w:szCs w:val="20"/>
              </w:rPr>
              <w:t xml:space="preserve">Soit 4 actions de catégorie (1) </w:t>
            </w:r>
          </w:p>
          <w:p w14:paraId="1DF645E7" w14:textId="6D9E3DBF" w:rsidR="00733BED" w:rsidRPr="00822308" w:rsidRDefault="00733BED" w:rsidP="0082230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66A64" w14:paraId="38376169" w14:textId="77777777" w:rsidTr="00C62B02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F77A1B8" w14:textId="77777777" w:rsidR="00F90525" w:rsidRDefault="00F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D508BFA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8902573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2CF60BE" w14:textId="77777777" w:rsidR="00684617" w:rsidRDefault="00684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E47E954" w14:textId="77777777" w:rsidR="00684617" w:rsidRDefault="00684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26478B4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479E749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52F18AA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DB5DD6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04F54F0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2F23AF8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4BCF95DC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3947FAB8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1CCE076B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D4EE85E" w14:textId="77777777" w:rsidR="008506B3" w:rsidRDefault="0085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80B31BE" w14:textId="77777777" w:rsidR="008506B3" w:rsidRDefault="0085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2F1DFC6E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730E5DE7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026A8FE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B82F625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52A7EB4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57E99CF6" w14:textId="77777777" w:rsidR="008B459B" w:rsidRDefault="008B4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3FA0BD08" w14:textId="77777777" w:rsidR="00F90525" w:rsidRDefault="00F90525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</w:rPr>
      </w:pPr>
      <w:bookmarkStart w:id="0" w:name="page_total_master0"/>
      <w:bookmarkStart w:id="1" w:name="page_total"/>
      <w:bookmarkEnd w:id="0"/>
      <w:bookmarkEnd w:id="1"/>
    </w:p>
    <w:sectPr w:rsidR="00F90525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D1226" w14:textId="77777777" w:rsidR="00F90525" w:rsidRDefault="00F90525">
      <w:pPr>
        <w:spacing w:after="0" w:line="240" w:lineRule="auto"/>
      </w:pPr>
      <w:r>
        <w:separator/>
      </w:r>
    </w:p>
  </w:endnote>
  <w:endnote w:type="continuationSeparator" w:id="0">
    <w:p w14:paraId="29BA2966" w14:textId="77777777" w:rsidR="00F90525" w:rsidRDefault="00F9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66A64" w14:paraId="7B5254B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E05085" w14:textId="77777777" w:rsidR="00F90525" w:rsidRDefault="00F9052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n°CRN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MP 25-02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07DF5FB" w14:textId="77777777" w:rsidR="00F90525" w:rsidRDefault="00F9052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20896CC4" w14:textId="77777777" w:rsidR="00F90525" w:rsidRDefault="00F9052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7351" w14:textId="77777777" w:rsidR="00F90525" w:rsidRDefault="00F90525">
      <w:pPr>
        <w:spacing w:after="0" w:line="240" w:lineRule="auto"/>
      </w:pPr>
      <w:r>
        <w:separator/>
      </w:r>
    </w:p>
  </w:footnote>
  <w:footnote w:type="continuationSeparator" w:id="0">
    <w:p w14:paraId="1C20759A" w14:textId="77777777" w:rsidR="00F90525" w:rsidRDefault="00F90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31D57F98"/>
    <w:multiLevelType w:val="hybridMultilevel"/>
    <w:tmpl w:val="F04C25CC"/>
    <w:lvl w:ilvl="0" w:tplc="9E3CFF18">
      <w:start w:val="1"/>
      <w:numFmt w:val="bullet"/>
      <w:lvlText w:val="-"/>
      <w:lvlJc w:val="left"/>
      <w:pPr>
        <w:ind w:left="1060" w:hanging="360"/>
      </w:pPr>
      <w:rPr>
        <w:rFonts w:ascii="Arial" w:eastAsiaTheme="minorEastAsia" w:hAnsi="Arial" w:cs="Arial" w:hint="default"/>
        <w:u w:val="single"/>
      </w:rPr>
    </w:lvl>
    <w:lvl w:ilvl="1" w:tplc="040C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209611362">
    <w:abstractNumId w:val="0"/>
  </w:num>
  <w:num w:numId="2" w16cid:durableId="1327784206">
    <w:abstractNumId w:val="0"/>
  </w:num>
  <w:num w:numId="3" w16cid:durableId="599144257">
    <w:abstractNumId w:val="6"/>
  </w:num>
  <w:num w:numId="4" w16cid:durableId="142892730">
    <w:abstractNumId w:val="0"/>
  </w:num>
  <w:num w:numId="5" w16cid:durableId="1437826079">
    <w:abstractNumId w:val="0"/>
  </w:num>
  <w:num w:numId="6" w16cid:durableId="347106118">
    <w:abstractNumId w:val="7"/>
  </w:num>
  <w:num w:numId="7" w16cid:durableId="664166591">
    <w:abstractNumId w:val="6"/>
  </w:num>
  <w:num w:numId="8" w16cid:durableId="1188253301">
    <w:abstractNumId w:val="6"/>
  </w:num>
  <w:num w:numId="9" w16cid:durableId="863247730">
    <w:abstractNumId w:val="6"/>
  </w:num>
  <w:num w:numId="10" w16cid:durableId="1381782083">
    <w:abstractNumId w:val="6"/>
  </w:num>
  <w:num w:numId="11" w16cid:durableId="274481249">
    <w:abstractNumId w:val="0"/>
  </w:num>
  <w:num w:numId="12" w16cid:durableId="211888472">
    <w:abstractNumId w:val="0"/>
  </w:num>
  <w:num w:numId="13" w16cid:durableId="1180925067">
    <w:abstractNumId w:val="0"/>
  </w:num>
  <w:num w:numId="14" w16cid:durableId="639729023">
    <w:abstractNumId w:val="6"/>
  </w:num>
  <w:num w:numId="15" w16cid:durableId="1242568105">
    <w:abstractNumId w:val="6"/>
  </w:num>
  <w:num w:numId="16" w16cid:durableId="701396295">
    <w:abstractNumId w:val="6"/>
  </w:num>
  <w:num w:numId="17" w16cid:durableId="1852337736">
    <w:abstractNumId w:val="6"/>
  </w:num>
  <w:num w:numId="18" w16cid:durableId="2115202630">
    <w:abstractNumId w:val="0"/>
  </w:num>
  <w:num w:numId="19" w16cid:durableId="902528020">
    <w:abstractNumId w:val="0"/>
  </w:num>
  <w:num w:numId="20" w16cid:durableId="1829514955">
    <w:abstractNumId w:val="6"/>
  </w:num>
  <w:num w:numId="21" w16cid:durableId="1698505483">
    <w:abstractNumId w:val="1"/>
  </w:num>
  <w:num w:numId="22" w16cid:durableId="250354561">
    <w:abstractNumId w:val="4"/>
  </w:num>
  <w:num w:numId="23" w16cid:durableId="1610236249">
    <w:abstractNumId w:val="6"/>
  </w:num>
  <w:num w:numId="24" w16cid:durableId="748039232">
    <w:abstractNumId w:val="2"/>
  </w:num>
  <w:num w:numId="25" w16cid:durableId="1269388600">
    <w:abstractNumId w:val="6"/>
  </w:num>
  <w:num w:numId="26" w16cid:durableId="2095082766">
    <w:abstractNumId w:val="3"/>
  </w:num>
  <w:num w:numId="27" w16cid:durableId="2106926047">
    <w:abstractNumId w:val="0"/>
  </w:num>
  <w:num w:numId="28" w16cid:durableId="1147164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618"/>
    <w:rsid w:val="0003568D"/>
    <w:rsid w:val="00192E56"/>
    <w:rsid w:val="00266A64"/>
    <w:rsid w:val="00354716"/>
    <w:rsid w:val="00393F91"/>
    <w:rsid w:val="00410C1D"/>
    <w:rsid w:val="00427337"/>
    <w:rsid w:val="00571843"/>
    <w:rsid w:val="00604DE2"/>
    <w:rsid w:val="00653FE6"/>
    <w:rsid w:val="00684617"/>
    <w:rsid w:val="00733BED"/>
    <w:rsid w:val="00782E5D"/>
    <w:rsid w:val="007B5C9D"/>
    <w:rsid w:val="007C2A86"/>
    <w:rsid w:val="00822308"/>
    <w:rsid w:val="008506B3"/>
    <w:rsid w:val="008B459B"/>
    <w:rsid w:val="009F0967"/>
    <w:rsid w:val="00C62B02"/>
    <w:rsid w:val="00E36B79"/>
    <w:rsid w:val="00EF2618"/>
    <w:rsid w:val="00F45781"/>
    <w:rsid w:val="00F90525"/>
    <w:rsid w:val="00FB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CF10D"/>
  <w14:defaultImageDpi w14:val="0"/>
  <w15:docId w15:val="{80E6CBB4-77E1-478F-A2BE-EB02B8DA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33BED"/>
    <w:pPr>
      <w:spacing w:after="0" w:line="240" w:lineRule="auto"/>
    </w:pPr>
    <w:rPr>
      <w:rFonts w:cs="Times New Roman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517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8</cp:revision>
  <dcterms:created xsi:type="dcterms:W3CDTF">2025-02-20T12:41:00Z</dcterms:created>
  <dcterms:modified xsi:type="dcterms:W3CDTF">2025-04-03T16:19:00Z</dcterms:modified>
</cp:coreProperties>
</file>