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06A1DB14" w:rsidR="00452634" w:rsidRDefault="00215921">
      <w:r>
        <w:rPr>
          <w:noProof/>
        </w:rPr>
        <w:drawing>
          <wp:anchor distT="0" distB="0" distL="114300" distR="114300" simplePos="0" relativeHeight="251658240" behindDoc="0" locked="0" layoutInCell="1" allowOverlap="1" wp14:anchorId="430544B1" wp14:editId="4B0D4C2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2599690" cy="1017270"/>
            <wp:effectExtent l="0" t="0" r="0" b="0"/>
            <wp:wrapSquare wrapText="bothSides"/>
            <wp:docPr id="43639951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99512" name="images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AE0FD18" w14:textId="1EB0FB35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297F81C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FOURNITURES ET SERVICES</w:t>
      </w:r>
    </w:p>
    <w:p w14:paraId="05FED553" w14:textId="7B08D6F1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25 005 PNCal</w:t>
      </w:r>
    </w:p>
    <w:p w14:paraId="1073EA7B" w14:textId="77777777" w:rsidR="00BD7C51" w:rsidRDefault="00BD7C51" w:rsidP="00BD7C51">
      <w:pPr>
        <w:pStyle w:val="Textbody"/>
        <w:jc w:val="center"/>
        <w:rPr>
          <w:rFonts w:cs="Arial"/>
          <w:b/>
          <w:bCs/>
          <w:sz w:val="28"/>
          <w:szCs w:val="28"/>
        </w:rPr>
      </w:pPr>
      <w:r w:rsidRPr="00C46F11">
        <w:rPr>
          <w:rFonts w:cs="Arial"/>
          <w:b/>
          <w:bCs/>
          <w:sz w:val="28"/>
          <w:szCs w:val="28"/>
        </w:rPr>
        <w:t>Fabrication et la fourniture de signalétiques pour l’orientation, la sensibilisation et l’information du public en cœur du Parc national des Calanques</w:t>
      </w:r>
    </w:p>
    <w:p w14:paraId="24B0B65B" w14:textId="43352DFD" w:rsidR="00BD7C51" w:rsidRPr="00C24616" w:rsidRDefault="00C24616" w:rsidP="00BD7C51">
      <w:pPr>
        <w:pStyle w:val="Textbody"/>
        <w:widowControl w:val="0"/>
        <w:suppressAutoHyphens/>
        <w:ind w:left="360"/>
        <w:jc w:val="center"/>
        <w:rPr>
          <w:rFonts w:cs="Arial"/>
          <w:b/>
          <w:bCs/>
          <w:sz w:val="24"/>
          <w:szCs w:val="24"/>
        </w:rPr>
      </w:pPr>
      <w:bookmarkStart w:id="0" w:name="_Hlk193879333"/>
      <w:r w:rsidRPr="00C24616">
        <w:rPr>
          <w:rFonts w:cs="Arial"/>
          <w:b/>
          <w:bCs/>
          <w:sz w:val="24"/>
          <w:szCs w:val="24"/>
        </w:rPr>
        <w:t>Lot 2 : signalétique dite « d’appoint et d’urgence » principalement composée de panneaux en alu-Dibond, de bâches et d’autocollants</w:t>
      </w:r>
    </w:p>
    <w:bookmarkEnd w:id="0"/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52F8B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EE42195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FE64D3F" w14:textId="665D932D" w:rsidR="004236ED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t>Le candidat fournit les fiches techniques des matériels afin que l’acheteur puisse d’assurer de leur conformité avec les exigences formulées au CCTP.</w:t>
      </w:r>
    </w:p>
    <w:p w14:paraId="7402F6A5" w14:textId="77777777" w:rsidR="00BD7C51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74E3561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AB5CED0" w14:textId="77777777" w:rsidR="00C24616" w:rsidRPr="00C24616" w:rsidRDefault="00C24616" w:rsidP="00C24616"/>
    <w:p w14:paraId="748D8888" w14:textId="2576B201" w:rsidR="00C24616" w:rsidRDefault="00C24616" w:rsidP="00C24616">
      <w:pPr>
        <w:tabs>
          <w:tab w:val="left" w:pos="2730"/>
        </w:tabs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tab/>
      </w:r>
    </w:p>
    <w:p w14:paraId="21BB31EA" w14:textId="77777777" w:rsidR="00C24616" w:rsidRPr="00C24616" w:rsidRDefault="00C24616" w:rsidP="00C24616"/>
    <w:p w14:paraId="5F1EC64A" w14:textId="77777777" w:rsidR="00C24616" w:rsidRPr="00C24616" w:rsidRDefault="00C24616" w:rsidP="00C24616"/>
    <w:p w14:paraId="24CEF56A" w14:textId="78BB18DA" w:rsidR="00452634" w:rsidRPr="00BA37F3" w:rsidRDefault="004236ED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 xml:space="preserve">Organisation </w:t>
      </w:r>
      <w:r w:rsidR="00BD7C51" w:rsidRPr="00BA37F3">
        <w:rPr>
          <w:rFonts w:ascii="Marianne" w:hAnsi="Marianne"/>
          <w:b/>
          <w:sz w:val="24"/>
          <w:szCs w:val="24"/>
        </w:rPr>
        <w:t>administrative</w:t>
      </w:r>
      <w:r w:rsidR="001F3678" w:rsidRPr="00BA37F3">
        <w:rPr>
          <w:rFonts w:ascii="Marianne" w:hAnsi="Marianne"/>
          <w:b/>
          <w:sz w:val="24"/>
          <w:szCs w:val="24"/>
        </w:rPr>
        <w:t xml:space="preserve"> et la personnalisation de la prestation</w:t>
      </w:r>
      <w:r w:rsidRPr="00BA37F3">
        <w:rPr>
          <w:rFonts w:ascii="Marianne" w:hAnsi="Marianne"/>
          <w:b/>
          <w:sz w:val="24"/>
          <w:szCs w:val="24"/>
        </w:rPr>
        <w:t> :</w:t>
      </w:r>
      <w:r w:rsidR="00BD7C51" w:rsidRPr="00BA37F3">
        <w:rPr>
          <w:rFonts w:ascii="Marianne" w:hAnsi="Marianne"/>
          <w:b/>
          <w:sz w:val="24"/>
          <w:szCs w:val="24"/>
        </w:rPr>
        <w:t xml:space="preserve"> </w:t>
      </w:r>
      <w:r w:rsidR="00BD7C51" w:rsidRPr="00BA37F3">
        <w:rPr>
          <w:rFonts w:ascii="Marianne" w:hAnsi="Marianne"/>
          <w:bCs/>
          <w:sz w:val="24"/>
          <w:szCs w:val="24"/>
        </w:rPr>
        <w:t>pour ce faire, le candidat précise :</w:t>
      </w:r>
    </w:p>
    <w:p w14:paraId="30C72334" w14:textId="52C81DAF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L’interlocuteur désigné (nom et/ou fonction, coordonnées téléphonique et courriel, disponibilité, suppléance)</w:t>
      </w:r>
      <w:r w:rsidR="001F3678">
        <w:rPr>
          <w:rFonts w:ascii="Marianne" w:hAnsi="Marianne"/>
        </w:rPr>
        <w:t> :</w:t>
      </w:r>
    </w:p>
    <w:p w14:paraId="2582D65A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67A35890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584D0C9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3A6A30C" w14:textId="6A31E894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Les modalités de commandes et les outils mis en place</w:t>
      </w:r>
      <w:r w:rsidR="001F3678">
        <w:rPr>
          <w:rFonts w:ascii="Marianne" w:hAnsi="Marianne"/>
        </w:rPr>
        <w:t xml:space="preserve"> pour les assurer :</w:t>
      </w:r>
    </w:p>
    <w:p w14:paraId="5D90B0BD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203FFAF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26B11B5" w14:textId="3B64EF4F" w:rsidR="001F3678" w:rsidRPr="004236ED" w:rsidRDefault="001F3678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L’accompagnement et le conseil :</w:t>
      </w:r>
    </w:p>
    <w:p w14:paraId="10EC1ABB" w14:textId="77777777" w:rsidR="000738BE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669A5152" w:rsidR="00452634" w:rsidRPr="00BA37F3" w:rsidRDefault="001F3678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Organisation matérielle de la prestation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CE4EE7D" w14:textId="32F9BA8F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>Le soumissionnaire détaille</w:t>
      </w:r>
      <w:r w:rsidR="001F3678">
        <w:rPr>
          <w:rFonts w:ascii="Marianne" w:hAnsi="Marianne"/>
        </w:rPr>
        <w:t> :</w:t>
      </w:r>
    </w:p>
    <w:p w14:paraId="367FB836" w14:textId="1A8724E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Les modalités de livraison (livraison assurée par le prestataire ou effectuée par un tiers, etc.)</w:t>
      </w:r>
    </w:p>
    <w:p w14:paraId="58434775" w14:textId="77777777" w:rsidR="001F3678" w:rsidRDefault="001F3678" w:rsidP="001F3678">
      <w:pPr>
        <w:rPr>
          <w:rFonts w:ascii="Marianne" w:hAnsi="Marianne"/>
        </w:rPr>
      </w:pPr>
    </w:p>
    <w:p w14:paraId="1BDEFDC1" w14:textId="77777777" w:rsidR="001F3678" w:rsidRDefault="001F3678" w:rsidP="001F3678">
      <w:pPr>
        <w:rPr>
          <w:rFonts w:ascii="Marianne" w:hAnsi="Marianne"/>
        </w:rPr>
      </w:pPr>
    </w:p>
    <w:p w14:paraId="717F8390" w14:textId="77777777" w:rsidR="001F3678" w:rsidRDefault="001F3678" w:rsidP="001F3678">
      <w:pPr>
        <w:rPr>
          <w:rFonts w:ascii="Marianne" w:hAnsi="Marianne"/>
        </w:rPr>
      </w:pPr>
    </w:p>
    <w:p w14:paraId="12A904E1" w14:textId="77777777" w:rsidR="001F3678" w:rsidRDefault="001F3678" w:rsidP="001F3678">
      <w:pPr>
        <w:rPr>
          <w:rFonts w:ascii="Marianne" w:hAnsi="Marianne"/>
        </w:rPr>
      </w:pPr>
    </w:p>
    <w:p w14:paraId="496233D1" w14:textId="09691FA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L’organisation de la livraison, facilité pour le client (informé des jours et heures de passage, quand, comment ? Etc.)</w:t>
      </w:r>
    </w:p>
    <w:p w14:paraId="0E008289" w14:textId="77777777" w:rsidR="001F3678" w:rsidRDefault="001F3678" w:rsidP="001F3678">
      <w:pPr>
        <w:rPr>
          <w:rFonts w:ascii="Marianne" w:hAnsi="Marianne"/>
        </w:rPr>
      </w:pPr>
    </w:p>
    <w:p w14:paraId="09E7BFA9" w14:textId="77777777" w:rsidR="001F3678" w:rsidRDefault="001F3678" w:rsidP="001F3678">
      <w:pPr>
        <w:rPr>
          <w:rFonts w:ascii="Marianne" w:hAnsi="Marianne"/>
        </w:rPr>
      </w:pPr>
    </w:p>
    <w:p w14:paraId="7FC89FED" w14:textId="77777777" w:rsidR="001F3678" w:rsidRDefault="001F3678" w:rsidP="001F3678">
      <w:pPr>
        <w:rPr>
          <w:rFonts w:ascii="Marianne" w:hAnsi="Marianne"/>
        </w:rPr>
      </w:pPr>
    </w:p>
    <w:p w14:paraId="41F04A07" w14:textId="4D92386D" w:rsidR="001F3678" w:rsidRP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Modalités organisationnelles du service après-vente :</w:t>
      </w: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lastRenderedPageBreak/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038BD578" w14:textId="77777777" w:rsidR="00652AD2" w:rsidRDefault="00652AD2" w:rsidP="004236ED">
      <w:pPr>
        <w:rPr>
          <w:rFonts w:ascii="Marianne" w:hAnsi="Marianne"/>
        </w:rPr>
      </w:pPr>
    </w:p>
    <w:p w14:paraId="752E7DB5" w14:textId="77777777" w:rsidR="00652AD2" w:rsidRDefault="00652AD2" w:rsidP="004236ED">
      <w:pPr>
        <w:rPr>
          <w:rFonts w:ascii="Marianne" w:hAnsi="Marianne"/>
        </w:rPr>
      </w:pPr>
    </w:p>
    <w:p w14:paraId="64004C18" w14:textId="02C880E4" w:rsidR="00452634" w:rsidRPr="00BA37F3" w:rsidRDefault="00652AD2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Performance en matière de qualité environnementale des produits</w:t>
      </w:r>
      <w:r w:rsidR="00BA37F3" w:rsidRPr="00BA37F3">
        <w:rPr>
          <w:rFonts w:ascii="Marianne" w:hAnsi="Marianne"/>
          <w:b/>
          <w:sz w:val="24"/>
          <w:szCs w:val="24"/>
        </w:rPr>
        <w:t xml:space="preserve"> proposés dans le cadre du marché</w:t>
      </w:r>
    </w:p>
    <w:p w14:paraId="7A742A34" w14:textId="77777777" w:rsidR="00452634" w:rsidRPr="004236ED" w:rsidRDefault="00452634" w:rsidP="004236ED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5FEA601E" w14:textId="4EE4A370" w:rsidR="004236ED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>
        <w:rPr>
          <w:rFonts w:ascii="Marianne" w:hAnsi="Marianne"/>
        </w:rPr>
        <w:t>précise</w:t>
      </w:r>
      <w:r w:rsidRPr="004236ED">
        <w:rPr>
          <w:rFonts w:ascii="Marianne" w:hAnsi="Marianne"/>
        </w:rPr>
        <w:t xml:space="preserve"> </w:t>
      </w:r>
    </w:p>
    <w:p w14:paraId="345352A8" w14:textId="77777777" w:rsidR="000738BE" w:rsidRDefault="000738BE" w:rsidP="000738BE">
      <w:pPr>
        <w:rPr>
          <w:rFonts w:ascii="Marianne" w:hAnsi="Marianne"/>
        </w:rPr>
      </w:pPr>
    </w:p>
    <w:p w14:paraId="3DABAD9B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L’éco-conception des produits (économie de ressources et exploitation responsable des matières premières) ;</w:t>
      </w:r>
    </w:p>
    <w:p w14:paraId="7E2FF11E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L’allongement de la durée d’usage des matériels ;</w:t>
      </w:r>
    </w:p>
    <w:p w14:paraId="49C3464C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 xml:space="preserve">L’économie circulaire privilégiant la prévention de la production de déchets par le réemploi et la réutilisation ; </w:t>
      </w:r>
    </w:p>
    <w:p w14:paraId="6430E8AC" w14:textId="7099724F" w:rsidR="000738BE" w:rsidRP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>La gestion responsable des déchets produits par les prestations.</w:t>
      </w: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714DD91" w14:textId="66B8C63B" w:rsidR="00452634" w:rsidRPr="00BA37F3" w:rsidRDefault="00BA37F3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La réactivité</w:t>
      </w:r>
    </w:p>
    <w:p w14:paraId="6684DA5E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3C33FF80" w14:textId="2D1B7780" w:rsidR="00BA37F3" w:rsidRDefault="004236ED" w:rsidP="00CC65BC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 w:rsidR="00BA37F3">
        <w:rPr>
          <w:rFonts w:ascii="Marianne" w:hAnsi="Marianne"/>
        </w:rPr>
        <w:t>précise</w:t>
      </w:r>
      <w:r w:rsidR="00CC65BC">
        <w:rPr>
          <w:rFonts w:ascii="Marianne" w:hAnsi="Marianne"/>
        </w:rPr>
        <w:t xml:space="preserve"> s’il </w:t>
      </w:r>
      <w:r w:rsidR="00CC65BC" w:rsidRPr="00CC65BC">
        <w:rPr>
          <w:rFonts w:ascii="Marianne" w:hAnsi="Marianne"/>
          <w:i/>
          <w:iCs/>
          <w:u w:val="single"/>
        </w:rPr>
        <w:t>s’agit d’heures ouvrées, de jours calendaires ou ouvrés</w:t>
      </w:r>
      <w:r w:rsidR="00CC65BC">
        <w:rPr>
          <w:rFonts w:ascii="Marianne" w:hAnsi="Marianne"/>
        </w:rPr>
        <w:t xml:space="preserve"> :</w:t>
      </w:r>
    </w:p>
    <w:p w14:paraId="0F577B47" w14:textId="77777777" w:rsidR="00CC65BC" w:rsidRDefault="00CC65BC" w:rsidP="00CC65BC">
      <w:pPr>
        <w:rPr>
          <w:rFonts w:ascii="Marianne" w:hAnsi="Marianne"/>
        </w:rPr>
      </w:pPr>
    </w:p>
    <w:p w14:paraId="03B64F8D" w14:textId="77777777" w:rsidR="00CC65BC" w:rsidRDefault="00CC65BC" w:rsidP="00CC65BC">
      <w:pPr>
        <w:pStyle w:val="Paragraphedeliste"/>
        <w:numPr>
          <w:ilvl w:val="0"/>
          <w:numId w:val="13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Style w:val="Policepardfaut1"/>
          <w:rFonts w:ascii="Marianne" w:hAnsi="Marianne"/>
        </w:rPr>
      </w:pPr>
      <w:r>
        <w:rPr>
          <w:rFonts w:ascii="Marianne" w:hAnsi="Marianne"/>
        </w:rPr>
        <w:t xml:space="preserve">Délai de remise du BAT </w:t>
      </w:r>
      <w:r>
        <w:rPr>
          <w:rStyle w:val="Policepardfaut1"/>
          <w:rFonts w:ascii="Marianne" w:hAnsi="Marianne"/>
        </w:rPr>
        <w:t>(le délai maximal devant comprendre une demande de correction éventuelle du PNCAL après remise du BAT initial),</w:t>
      </w:r>
    </w:p>
    <w:p w14:paraId="4E456A65" w14:textId="53DB5F89" w:rsidR="00CC65BC" w:rsidRDefault="00CC65BC" w:rsidP="00CC65BC">
      <w:pPr>
        <w:rPr>
          <w:rFonts w:ascii="Marianne" w:hAnsi="Marianne"/>
        </w:rPr>
      </w:pPr>
      <w:r>
        <w:rPr>
          <w:rFonts w:ascii="Marianne" w:hAnsi="Marianne"/>
        </w:rPr>
        <w:t>Délai minimal :</w:t>
      </w:r>
    </w:p>
    <w:p w14:paraId="19109A94" w14:textId="45CBB7CE" w:rsidR="00CC65BC" w:rsidRPr="00BA37F3" w:rsidRDefault="00CC65BC" w:rsidP="00CC65BC">
      <w:pPr>
        <w:rPr>
          <w:rFonts w:ascii="Marianne" w:hAnsi="Marianne"/>
        </w:rPr>
      </w:pPr>
      <w:r>
        <w:rPr>
          <w:rFonts w:ascii="Marianne" w:hAnsi="Marianne"/>
        </w:rPr>
        <w:t xml:space="preserve">Délai maximal : </w:t>
      </w: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7FB6AB69" w14:textId="1E919A52" w:rsidR="00CC65BC" w:rsidRDefault="00CC65BC" w:rsidP="00CC65BC">
      <w:pPr>
        <w:pStyle w:val="Paragraphedeliste"/>
        <w:numPr>
          <w:ilvl w:val="0"/>
          <w:numId w:val="13"/>
        </w:numPr>
        <w:rPr>
          <w:rFonts w:ascii="Marianne" w:hAnsi="Marianne"/>
        </w:rPr>
      </w:pPr>
      <w:r>
        <w:rPr>
          <w:rFonts w:ascii="Marianne" w:hAnsi="Marianne"/>
        </w:rPr>
        <w:t>Délai entre la validation du BAT par le PNCAL et la livraison (remise</w:t>
      </w:r>
      <w:r w:rsidR="00914F63">
        <w:rPr>
          <w:rFonts w:ascii="Marianne" w:hAnsi="Marianne"/>
        </w:rPr>
        <w:t xml:space="preserve"> de</w:t>
      </w:r>
      <w:r>
        <w:rPr>
          <w:rFonts w:ascii="Marianne" w:hAnsi="Marianne"/>
        </w:rPr>
        <w:t xml:space="preserve"> la commande au </w:t>
      </w:r>
      <w:r w:rsidR="00EC7818">
        <w:rPr>
          <w:rFonts w:ascii="Marianne" w:hAnsi="Marianne"/>
        </w:rPr>
        <w:t>P</w:t>
      </w:r>
      <w:r>
        <w:rPr>
          <w:rFonts w:ascii="Marianne" w:hAnsi="Marianne"/>
        </w:rPr>
        <w:t>NCAL),</w:t>
      </w:r>
    </w:p>
    <w:p w14:paraId="71E29FDD" w14:textId="77777777" w:rsidR="00CC65BC" w:rsidRDefault="00CC65BC" w:rsidP="00CC65BC">
      <w:pPr>
        <w:ind w:left="360"/>
        <w:rPr>
          <w:rFonts w:ascii="Marianne" w:hAnsi="Marianne"/>
        </w:rPr>
      </w:pPr>
    </w:p>
    <w:p w14:paraId="10C22A2B" w14:textId="576C5415" w:rsidR="00CC65BC" w:rsidRPr="00CC65BC" w:rsidRDefault="00CC65BC" w:rsidP="00CC65BC">
      <w:pPr>
        <w:ind w:left="360"/>
        <w:rPr>
          <w:rFonts w:ascii="Marianne" w:hAnsi="Marianne"/>
        </w:rPr>
      </w:pPr>
      <w:r w:rsidRPr="00CC65BC">
        <w:rPr>
          <w:rFonts w:ascii="Marianne" w:hAnsi="Marianne"/>
        </w:rPr>
        <w:t>Délai minimal :</w:t>
      </w:r>
    </w:p>
    <w:p w14:paraId="03D86E85" w14:textId="77777777" w:rsidR="00CC65BC" w:rsidRPr="00CC65BC" w:rsidRDefault="00CC65BC" w:rsidP="00CC65BC">
      <w:pPr>
        <w:ind w:left="360"/>
        <w:rPr>
          <w:rFonts w:ascii="Marianne" w:hAnsi="Marianne"/>
        </w:rPr>
      </w:pPr>
      <w:r w:rsidRPr="00CC65BC">
        <w:rPr>
          <w:rFonts w:ascii="Marianne" w:hAnsi="Marianne"/>
        </w:rPr>
        <w:t xml:space="preserve">Délai maximal : </w:t>
      </w:r>
    </w:p>
    <w:p w14:paraId="580C99AA" w14:textId="77777777" w:rsidR="00CC65BC" w:rsidRPr="00CC65BC" w:rsidRDefault="00CC65BC" w:rsidP="00CC65BC">
      <w:pPr>
        <w:pStyle w:val="Paragraphedeliste"/>
        <w:numPr>
          <w:ilvl w:val="0"/>
          <w:numId w:val="0"/>
        </w:numPr>
        <w:ind w:left="720"/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4A215229" w14:textId="77777777" w:rsidR="00452634" w:rsidRPr="004236ED" w:rsidRDefault="00452634">
      <w:pPr>
        <w:rPr>
          <w:rFonts w:ascii="Marianne" w:hAnsi="Marianne"/>
        </w:rPr>
      </w:pPr>
    </w:p>
    <w:sectPr w:rsidR="00452634" w:rsidRPr="004236ED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C53D" w14:textId="77777777" w:rsidR="001672D2" w:rsidRDefault="001672D2">
      <w:r>
        <w:separator/>
      </w:r>
    </w:p>
  </w:endnote>
  <w:endnote w:type="continuationSeparator" w:id="0">
    <w:p w14:paraId="4131771B" w14:textId="77777777" w:rsidR="001672D2" w:rsidRDefault="001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2054" w14:textId="78C757FF" w:rsidR="00215921" w:rsidRPr="009C1394" w:rsidRDefault="00215921" w:rsidP="00215921">
    <w:pPr>
      <w:pStyle w:val="Pieddepage"/>
      <w:rPr>
        <w:rFonts w:ascii="Marianne" w:hAnsi="Marianne"/>
        <w:sz w:val="18"/>
        <w:szCs w:val="18"/>
      </w:rPr>
    </w:pPr>
    <w:r w:rsidRPr="009C1394">
      <w:rPr>
        <w:rFonts w:ascii="Marianne" w:hAnsi="Marianne"/>
        <w:sz w:val="18"/>
        <w:szCs w:val="18"/>
      </w:rPr>
      <w:t>Marché n°       | 2</w:t>
    </w:r>
    <w:r w:rsidR="001F3678">
      <w:rPr>
        <w:rFonts w:ascii="Marianne" w:hAnsi="Marianne"/>
        <w:sz w:val="18"/>
        <w:szCs w:val="18"/>
      </w:rPr>
      <w:t xml:space="preserve">5005PNCAL lot </w:t>
    </w:r>
    <w:r w:rsidR="00C24616">
      <w:rPr>
        <w:rFonts w:ascii="Marianne" w:hAnsi="Marianne"/>
        <w:sz w:val="18"/>
        <w:szCs w:val="18"/>
      </w:rPr>
      <w:t>2</w:t>
    </w:r>
    <w:r w:rsidRPr="009C1394">
      <w:rPr>
        <w:rFonts w:ascii="Marianne" w:hAnsi="Marianne"/>
        <w:sz w:val="18"/>
        <w:szCs w:val="18"/>
      </w:rPr>
      <w:t xml:space="preserve"> | Cadre de mémoire technique</w:t>
    </w:r>
    <w:r w:rsidRPr="009C1394">
      <w:rPr>
        <w:rFonts w:ascii="Marianne" w:hAnsi="Marianne"/>
        <w:sz w:val="18"/>
        <w:szCs w:val="18"/>
      </w:rPr>
      <w:tab/>
      <w:t xml:space="preserve">     Page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PAGE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1</w:t>
    </w:r>
    <w:r w:rsidRPr="009C1394">
      <w:rPr>
        <w:rFonts w:ascii="Marianne" w:hAnsi="Marianne"/>
        <w:b/>
        <w:bCs/>
        <w:sz w:val="18"/>
        <w:szCs w:val="18"/>
      </w:rPr>
      <w:fldChar w:fldCharType="end"/>
    </w:r>
    <w:r w:rsidRPr="009C1394">
      <w:rPr>
        <w:rFonts w:ascii="Marianne" w:hAnsi="Marianne"/>
        <w:sz w:val="18"/>
        <w:szCs w:val="18"/>
      </w:rPr>
      <w:t xml:space="preserve"> sur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NUMPAGES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7</w:t>
    </w:r>
    <w:r w:rsidRPr="009C1394">
      <w:rPr>
        <w:rFonts w:ascii="Marianne" w:hAnsi="Marianne"/>
        <w:b/>
        <w:bCs/>
        <w:sz w:val="18"/>
        <w:szCs w:val="18"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8B4E" w14:textId="77777777" w:rsidR="001672D2" w:rsidRDefault="001672D2">
      <w:r>
        <w:rPr>
          <w:color w:val="000000"/>
        </w:rPr>
        <w:separator/>
      </w:r>
    </w:p>
  </w:footnote>
  <w:footnote w:type="continuationSeparator" w:id="0">
    <w:p w14:paraId="00B705A6" w14:textId="77777777" w:rsidR="001672D2" w:rsidRDefault="0016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BAE"/>
    <w:multiLevelType w:val="hybridMultilevel"/>
    <w:tmpl w:val="9022DE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145C3FD2"/>
    <w:multiLevelType w:val="hybridMultilevel"/>
    <w:tmpl w:val="EB7C8E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A34AD"/>
    <w:multiLevelType w:val="hybridMultilevel"/>
    <w:tmpl w:val="2A2055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B950492"/>
    <w:multiLevelType w:val="hybridMultilevel"/>
    <w:tmpl w:val="FC90D4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8681C"/>
    <w:multiLevelType w:val="hybridMultilevel"/>
    <w:tmpl w:val="E2A45A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D77D3"/>
    <w:multiLevelType w:val="hybridMultilevel"/>
    <w:tmpl w:val="66F43A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1"/>
  </w:num>
  <w:num w:numId="2" w16cid:durableId="730274145">
    <w:abstractNumId w:val="7"/>
  </w:num>
  <w:num w:numId="3" w16cid:durableId="978681506">
    <w:abstractNumId w:val="4"/>
  </w:num>
  <w:num w:numId="4" w16cid:durableId="486896436">
    <w:abstractNumId w:val="9"/>
  </w:num>
  <w:num w:numId="5" w16cid:durableId="809175195">
    <w:abstractNumId w:val="8"/>
  </w:num>
  <w:num w:numId="6" w16cid:durableId="18705828">
    <w:abstractNumId w:val="12"/>
  </w:num>
  <w:num w:numId="7" w16cid:durableId="1492479975">
    <w:abstractNumId w:val="6"/>
  </w:num>
  <w:num w:numId="8" w16cid:durableId="796921369">
    <w:abstractNumId w:val="0"/>
  </w:num>
  <w:num w:numId="9" w16cid:durableId="1672297826">
    <w:abstractNumId w:val="3"/>
  </w:num>
  <w:num w:numId="10" w16cid:durableId="2136213757">
    <w:abstractNumId w:val="2"/>
  </w:num>
  <w:num w:numId="11" w16cid:durableId="2127196872">
    <w:abstractNumId w:val="5"/>
  </w:num>
  <w:num w:numId="12" w16cid:durableId="1108113041">
    <w:abstractNumId w:val="11"/>
  </w:num>
  <w:num w:numId="13" w16cid:durableId="3051649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738BE"/>
    <w:rsid w:val="001672D2"/>
    <w:rsid w:val="001C215B"/>
    <w:rsid w:val="001F3678"/>
    <w:rsid w:val="00215921"/>
    <w:rsid w:val="002463EE"/>
    <w:rsid w:val="00303BD2"/>
    <w:rsid w:val="004236ED"/>
    <w:rsid w:val="00452634"/>
    <w:rsid w:val="004D35F9"/>
    <w:rsid w:val="004F214D"/>
    <w:rsid w:val="005005D7"/>
    <w:rsid w:val="00652AD2"/>
    <w:rsid w:val="008C1D93"/>
    <w:rsid w:val="008F777E"/>
    <w:rsid w:val="00914F63"/>
    <w:rsid w:val="009C1394"/>
    <w:rsid w:val="00A62B71"/>
    <w:rsid w:val="00A67303"/>
    <w:rsid w:val="00B0320A"/>
    <w:rsid w:val="00B83D3C"/>
    <w:rsid w:val="00BA37F3"/>
    <w:rsid w:val="00BD7C51"/>
    <w:rsid w:val="00C24616"/>
    <w:rsid w:val="00C32EF6"/>
    <w:rsid w:val="00CC65BC"/>
    <w:rsid w:val="00D56DB0"/>
    <w:rsid w:val="00E34CED"/>
    <w:rsid w:val="00EC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uiPriority w:val="34"/>
    <w:qFormat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character" w:customStyle="1" w:styleId="Policepardfaut1">
    <w:name w:val="Police par défaut1"/>
    <w:rsid w:val="00CC6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RITTER Valérie</dc:creator>
  <cp:lastModifiedBy>Vanessa SAULNIER-CABANE</cp:lastModifiedBy>
  <cp:revision>14</cp:revision>
  <cp:lastPrinted>2019-10-14T09:39:00Z</cp:lastPrinted>
  <dcterms:created xsi:type="dcterms:W3CDTF">2024-12-11T14:27:00Z</dcterms:created>
  <dcterms:modified xsi:type="dcterms:W3CDTF">2025-04-09T11:47:00Z</dcterms:modified>
</cp:coreProperties>
</file>