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378928BD" w:rsidR="00BA06D4" w:rsidRPr="00BF4413" w:rsidRDefault="00885868" w:rsidP="00BF4413">
      <w:pPr>
        <w:pStyle w:val="Sansinterligne"/>
        <w:tabs>
          <w:tab w:val="right" w:pos="0"/>
        </w:tabs>
        <w:spacing w:before="480"/>
        <w:jc w:val="center"/>
        <w:rPr>
          <w:rFonts w:ascii="Arial" w:hAnsi="Arial" w:cs="Arial"/>
          <w:sz w:val="24"/>
          <w:szCs w:val="24"/>
        </w:rPr>
      </w:pPr>
      <w:bookmarkStart w:id="0" w:name="SoustitreRC"/>
      <w:r w:rsidRPr="00885868">
        <w:rPr>
          <w:rFonts w:ascii="Arial" w:hAnsi="Arial" w:cs="Arial"/>
          <w:color w:val="000000" w:themeColor="text1"/>
          <w:sz w:val="24"/>
          <w:szCs w:val="24"/>
        </w:rPr>
        <w:t>Accord-cadre</w:t>
      </w:r>
      <w:r w:rsidR="00BA06D4" w:rsidRPr="00885868">
        <w:rPr>
          <w:rFonts w:ascii="Arial" w:hAnsi="Arial" w:cs="Arial"/>
          <w:color w:val="000000" w:themeColor="text1"/>
          <w:sz w:val="24"/>
          <w:szCs w:val="24"/>
        </w:rPr>
        <w:t xml:space="preserve"> relatif </w:t>
      </w:r>
      <w:r w:rsidR="00BA06D4" w:rsidRPr="00BF4413">
        <w:rPr>
          <w:rFonts w:ascii="Arial" w:hAnsi="Arial" w:cs="Arial"/>
          <w:sz w:val="24"/>
          <w:szCs w:val="24"/>
        </w:rPr>
        <w:t xml:space="preserve">à </w:t>
      </w:r>
      <w:bookmarkEnd w:id="0"/>
      <w:r>
        <w:rPr>
          <w:rFonts w:ascii="Arial" w:hAnsi="Arial" w:cs="Arial"/>
          <w:sz w:val="24"/>
          <w:szCs w:val="24"/>
        </w:rPr>
        <w:t xml:space="preserve">une </w:t>
      </w:r>
      <w:r w:rsidRPr="00885868">
        <w:rPr>
          <w:rFonts w:ascii="Arial" w:hAnsi="Arial" w:cs="Arial"/>
          <w:sz w:val="24"/>
          <w:szCs w:val="24"/>
        </w:rPr>
        <w:t>prestation d’assistance sur les activités de dosimétrie interne en lien avec des mesures in vivo</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4BF4D73D"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885868">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16C915D1" w:rsidR="00737146" w:rsidRPr="00A26426" w:rsidRDefault="00885868" w:rsidP="00651E0B">
            <w:pPr>
              <w:autoSpaceDE w:val="0"/>
              <w:autoSpaceDN w:val="0"/>
              <w:adjustRightInd w:val="0"/>
              <w:jc w:val="left"/>
              <w:rPr>
                <w:rFonts w:ascii="Arial" w:hAnsi="Arial" w:cs="Arial"/>
                <w:b/>
                <w:bCs/>
                <w:sz w:val="20"/>
                <w:szCs w:val="20"/>
              </w:rPr>
            </w:pPr>
            <w:r>
              <w:rPr>
                <w:rFonts w:ascii="Arial" w:hAnsi="Arial" w:cs="Arial"/>
                <w:b/>
                <w:bCs/>
                <w:sz w:val="20"/>
                <w:szCs w:val="20"/>
              </w:rPr>
              <w:t>DRES/SM2IV</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10A27A5C"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885868">
        <w:rPr>
          <w:rFonts w:ascii="Arial" w:hAnsi="Arial" w:cs="Arial"/>
          <w:sz w:val="20"/>
          <w:szCs w:val="20"/>
        </w:rPr>
        <w:t xml:space="preserve"> une</w:t>
      </w:r>
      <w:r w:rsidRPr="003566E0">
        <w:rPr>
          <w:rFonts w:ascii="Arial" w:hAnsi="Arial" w:cs="Arial"/>
          <w:sz w:val="20"/>
          <w:szCs w:val="20"/>
        </w:rPr>
        <w:t xml:space="preserve"> </w:t>
      </w:r>
      <w:r w:rsidR="00885868" w:rsidRPr="00885868">
        <w:rPr>
          <w:rFonts w:ascii="Arial" w:hAnsi="Arial" w:cs="Arial"/>
          <w:sz w:val="20"/>
          <w:szCs w:val="20"/>
        </w:rPr>
        <w:t>prestation d’assistance sur les activités de dosimétrie interne en lien avec des mesures in vivo</w:t>
      </w:r>
      <w:r w:rsidR="00885868">
        <w:rPr>
          <w:rFonts w:ascii="Arial" w:hAnsi="Arial" w:cs="Arial"/>
          <w:sz w:val="20"/>
          <w:szCs w:val="20"/>
        </w:rPr>
        <w:t xml:space="preserve">. </w:t>
      </w:r>
    </w:p>
    <w:p w14:paraId="524D103D" w14:textId="2CB0A60F" w:rsidR="00885868" w:rsidRPr="00885868" w:rsidRDefault="00885868" w:rsidP="00A456AC">
      <w:pPr>
        <w:spacing w:line="276" w:lineRule="auto"/>
        <w:rPr>
          <w:rFonts w:ascii="Arial" w:hAnsi="Arial" w:cs="Arial"/>
          <w:sz w:val="20"/>
          <w:szCs w:val="20"/>
        </w:rPr>
      </w:pPr>
      <w:r>
        <w:rPr>
          <w:rFonts w:ascii="Arial" w:hAnsi="Arial" w:cs="Arial"/>
          <w:sz w:val="20"/>
          <w:szCs w:val="20"/>
        </w:rPr>
        <w:t xml:space="preserve">Cette prestation </w:t>
      </w:r>
      <w:r w:rsidRPr="00885868">
        <w:rPr>
          <w:rFonts w:ascii="Arial" w:hAnsi="Arial" w:cs="Arial"/>
          <w:sz w:val="20"/>
          <w:szCs w:val="20"/>
        </w:rPr>
        <w:t>consiste à accompagner le service sur différentes missions en lien avec l’évaluation de la contamination interne des personnes en amont du calcul de dose correspondant.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6478968C"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t xml:space="preserve">à l’ensemble du marché public </w:t>
      </w: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8678052" w14:textId="56BDEC6E" w:rsidR="00583538" w:rsidRDefault="00394C8C" w:rsidP="0002197F">
      <w:pPr>
        <w:pStyle w:val="fcasegauche"/>
        <w:numPr>
          <w:ilvl w:val="0"/>
          <w:numId w:val="35"/>
        </w:numPr>
        <w:tabs>
          <w:tab w:val="left" w:pos="851"/>
        </w:tabs>
        <w:spacing w:after="0" w:line="276" w:lineRule="auto"/>
        <w:ind w:left="851"/>
        <w:jc w:val="left"/>
        <w:rPr>
          <w:rFonts w:ascii="Arial" w:hAnsi="Arial" w:cs="Arial"/>
        </w:rPr>
      </w:pPr>
      <w:r w:rsidRPr="00885868">
        <w:rPr>
          <w:rFonts w:ascii="Arial" w:hAnsi="Arial" w:cs="Arial"/>
        </w:rPr>
        <w:t>à l’offre de base</w:t>
      </w:r>
      <w:r w:rsidR="00885868" w:rsidRPr="00885868">
        <w:rPr>
          <w:rFonts w:ascii="Arial" w:hAnsi="Arial" w:cs="Arial"/>
        </w:rPr>
        <w:t>.</w:t>
      </w:r>
    </w:p>
    <w:p w14:paraId="2A243845" w14:textId="77777777" w:rsidR="00885868" w:rsidRDefault="00885868" w:rsidP="00885868">
      <w:pPr>
        <w:pStyle w:val="Paragraphedeliste"/>
        <w:rPr>
          <w:rFonts w:ascii="Arial" w:hAnsi="Arial" w:cs="Arial"/>
        </w:rPr>
      </w:pPr>
    </w:p>
    <w:p w14:paraId="35C037AA" w14:textId="77777777" w:rsidR="00885868" w:rsidRPr="00885868" w:rsidRDefault="00885868" w:rsidP="00885868">
      <w:pPr>
        <w:pStyle w:val="fcasegauche"/>
        <w:tabs>
          <w:tab w:val="left" w:pos="851"/>
        </w:tabs>
        <w:spacing w:after="0" w:line="276" w:lineRule="auto"/>
        <w:jc w:val="left"/>
        <w:rPr>
          <w:rFonts w:ascii="Arial" w:hAnsi="Arial" w:cs="Arial"/>
        </w:rPr>
      </w:pPr>
    </w:p>
    <w:p w14:paraId="3AF3A4F0" w14:textId="50AB3B9D" w:rsidR="002A03AA" w:rsidRDefault="002A03AA" w:rsidP="00A456AC">
      <w:pPr>
        <w:pStyle w:val="Titre1"/>
      </w:pPr>
      <w:bookmarkStart w:id="3" w:name="_Toc157676940"/>
      <w:bookmarkStart w:id="4" w:name="_Toc189215202"/>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77052C46" w:rsidR="00394C8C" w:rsidRPr="00885868" w:rsidRDefault="00394C8C" w:rsidP="00885868">
      <w:pPr>
        <w:pStyle w:val="Paragraphedeliste"/>
        <w:numPr>
          <w:ilvl w:val="0"/>
          <w:numId w:val="41"/>
        </w:numPr>
        <w:tabs>
          <w:tab w:val="left" w:pos="851"/>
        </w:tabs>
        <w:spacing w:before="120"/>
        <w:rPr>
          <w:rFonts w:ascii="Arial" w:hAnsi="Arial" w:cs="Arial"/>
          <w:sz w:val="20"/>
          <w:szCs w:val="20"/>
        </w:rPr>
      </w:pPr>
      <w:r w:rsidRPr="00885868">
        <w:rPr>
          <w:rFonts w:ascii="Arial" w:hAnsi="Arial" w:cs="Arial"/>
          <w:sz w:val="20"/>
          <w:szCs w:val="20"/>
        </w:rPr>
        <w:t>le présent acte d’engagement et son annexe financière</w:t>
      </w:r>
      <w:r w:rsidR="00406753" w:rsidRPr="00885868">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885868" w:rsidRPr="00885868">
            <w:rPr>
              <w:rFonts w:ascii="Arial" w:hAnsi="Arial" w:cs="Arial"/>
              <w:sz w:val="20"/>
              <w:szCs w:val="20"/>
            </w:rPr>
            <w:t>(Décomposition du Prix Global Forfaitaire ET Bordereau des Prix Unitaires)</w:t>
          </w:r>
        </w:sdtContent>
      </w:sdt>
    </w:p>
    <w:p w14:paraId="1EB0FAEF" w14:textId="77777777" w:rsidR="00885868" w:rsidRDefault="00394C8C" w:rsidP="00885868">
      <w:pPr>
        <w:pStyle w:val="Paragraphedeliste"/>
        <w:numPr>
          <w:ilvl w:val="0"/>
          <w:numId w:val="41"/>
        </w:numPr>
        <w:tabs>
          <w:tab w:val="left" w:pos="851"/>
        </w:tabs>
        <w:spacing w:before="120"/>
        <w:rPr>
          <w:rFonts w:ascii="Arial" w:hAnsi="Arial" w:cs="Arial"/>
          <w:sz w:val="20"/>
          <w:szCs w:val="20"/>
        </w:rPr>
      </w:pPr>
      <w:r w:rsidRPr="00885868">
        <w:rPr>
          <w:rFonts w:ascii="Arial" w:hAnsi="Arial" w:cs="Arial"/>
          <w:sz w:val="20"/>
          <w:szCs w:val="20"/>
        </w:rPr>
        <w:t xml:space="preserve">le CCAP et </w:t>
      </w:r>
      <w:r w:rsidR="00CC1A06" w:rsidRPr="00885868">
        <w:rPr>
          <w:rFonts w:ascii="Arial" w:hAnsi="Arial" w:cs="Arial"/>
          <w:sz w:val="20"/>
          <w:szCs w:val="20"/>
        </w:rPr>
        <w:t>son(</w:t>
      </w:r>
      <w:r w:rsidRPr="00885868">
        <w:rPr>
          <w:rFonts w:ascii="Arial" w:hAnsi="Arial" w:cs="Arial"/>
          <w:sz w:val="20"/>
          <w:szCs w:val="20"/>
        </w:rPr>
        <w:t>ses</w:t>
      </w:r>
      <w:r w:rsidR="00CC1A06" w:rsidRPr="00885868">
        <w:rPr>
          <w:rFonts w:ascii="Arial" w:hAnsi="Arial" w:cs="Arial"/>
          <w:sz w:val="20"/>
          <w:szCs w:val="20"/>
        </w:rPr>
        <w:t>)</w:t>
      </w:r>
      <w:r w:rsidRPr="00885868">
        <w:rPr>
          <w:rFonts w:ascii="Arial" w:hAnsi="Arial" w:cs="Arial"/>
          <w:sz w:val="20"/>
          <w:szCs w:val="20"/>
        </w:rPr>
        <w:t xml:space="preserve"> annexe</w:t>
      </w:r>
      <w:r w:rsidR="00CC1A06" w:rsidRPr="00885868">
        <w:rPr>
          <w:rFonts w:ascii="Arial" w:hAnsi="Arial" w:cs="Arial"/>
          <w:sz w:val="20"/>
          <w:szCs w:val="20"/>
        </w:rPr>
        <w:t>(</w:t>
      </w:r>
      <w:r w:rsidRPr="00885868">
        <w:rPr>
          <w:rFonts w:ascii="Arial" w:hAnsi="Arial" w:cs="Arial"/>
          <w:sz w:val="20"/>
          <w:szCs w:val="20"/>
        </w:rPr>
        <w:t>s</w:t>
      </w:r>
      <w:r w:rsidR="00CC1A06" w:rsidRPr="00885868">
        <w:rPr>
          <w:rFonts w:ascii="Arial" w:hAnsi="Arial" w:cs="Arial"/>
          <w:sz w:val="20"/>
          <w:szCs w:val="20"/>
        </w:rPr>
        <w:t>)</w:t>
      </w:r>
      <w:r w:rsidR="00885868">
        <w:rPr>
          <w:rFonts w:ascii="Arial" w:hAnsi="Arial" w:cs="Arial"/>
          <w:sz w:val="20"/>
          <w:szCs w:val="20"/>
        </w:rPr>
        <w:t xml:space="preserve"> éventuelles </w:t>
      </w:r>
    </w:p>
    <w:p w14:paraId="062F91CB" w14:textId="77777777" w:rsidR="00885868" w:rsidRDefault="00394C8C" w:rsidP="00885868">
      <w:pPr>
        <w:pStyle w:val="Paragraphedeliste"/>
        <w:numPr>
          <w:ilvl w:val="0"/>
          <w:numId w:val="41"/>
        </w:numPr>
        <w:tabs>
          <w:tab w:val="left" w:pos="851"/>
        </w:tabs>
        <w:spacing w:before="120"/>
        <w:rPr>
          <w:rFonts w:ascii="Arial" w:hAnsi="Arial" w:cs="Arial"/>
          <w:sz w:val="20"/>
          <w:szCs w:val="20"/>
        </w:rPr>
      </w:pPr>
      <w:r w:rsidRPr="00885868">
        <w:rPr>
          <w:rFonts w:ascii="Arial" w:hAnsi="Arial" w:cs="Arial"/>
          <w:sz w:val="20"/>
          <w:szCs w:val="20"/>
        </w:rPr>
        <w:t xml:space="preserve">le Cahier des charges référencé </w:t>
      </w:r>
      <w:r w:rsidR="00885868" w:rsidRPr="00885868">
        <w:rPr>
          <w:rFonts w:ascii="Arial" w:hAnsi="Arial" w:cs="Arial"/>
          <w:sz w:val="20"/>
          <w:szCs w:val="20"/>
        </w:rPr>
        <w:t>2025-00002</w:t>
      </w:r>
      <w:r w:rsidR="00CC1A06" w:rsidRPr="00885868">
        <w:rPr>
          <w:rFonts w:ascii="Arial" w:hAnsi="Arial" w:cs="Arial"/>
          <w:sz w:val="18"/>
          <w:szCs w:val="18"/>
        </w:rPr>
        <w:t xml:space="preserve"> </w:t>
      </w:r>
      <w:r w:rsidR="00CC1A06" w:rsidRPr="00885868">
        <w:rPr>
          <w:rFonts w:ascii="Arial" w:hAnsi="Arial" w:cs="Arial"/>
          <w:sz w:val="20"/>
          <w:szCs w:val="20"/>
        </w:rPr>
        <w:t>et son(ses) annexe(s)</w:t>
      </w:r>
      <w:r w:rsidR="00885868">
        <w:rPr>
          <w:rFonts w:ascii="Arial" w:hAnsi="Arial" w:cs="Arial"/>
          <w:sz w:val="20"/>
          <w:szCs w:val="20"/>
        </w:rPr>
        <w:t xml:space="preserve"> éventuelles </w:t>
      </w:r>
    </w:p>
    <w:p w14:paraId="51D33043" w14:textId="225980CB" w:rsidR="00394C8C" w:rsidRPr="00885868" w:rsidRDefault="00394C8C" w:rsidP="00885868">
      <w:pPr>
        <w:pStyle w:val="Paragraphedeliste"/>
        <w:numPr>
          <w:ilvl w:val="0"/>
          <w:numId w:val="41"/>
        </w:numPr>
        <w:tabs>
          <w:tab w:val="left" w:pos="851"/>
        </w:tabs>
        <w:spacing w:before="120"/>
        <w:rPr>
          <w:rFonts w:ascii="Arial" w:hAnsi="Arial" w:cs="Arial"/>
          <w:sz w:val="20"/>
          <w:szCs w:val="20"/>
        </w:rPr>
      </w:pPr>
      <w:r w:rsidRPr="00885868">
        <w:rPr>
          <w:rFonts w:ascii="Arial" w:hAnsi="Arial" w:cs="Arial"/>
          <w:sz w:val="20"/>
          <w:szCs w:val="20"/>
        </w:rPr>
        <w:t xml:space="preserve">L’arrêté du 30 mars 2021 portant approbation du cahier des clauses administratives générales des marchés </w:t>
      </w:r>
      <w:r w:rsidRPr="00885868">
        <w:rPr>
          <w:rFonts w:ascii="Arial" w:hAnsi="Arial" w:cs="Arial"/>
          <w:color w:val="000000" w:themeColor="text1"/>
          <w:sz w:val="20"/>
          <w:szCs w:val="20"/>
        </w:rPr>
        <w:t>publics de</w:t>
      </w:r>
      <w:r w:rsidR="00CC1A06" w:rsidRPr="00885868">
        <w:rPr>
          <w:rFonts w:ascii="Arial" w:hAnsi="Arial" w:cs="Arial"/>
          <w:color w:val="000000" w:themeColor="text1"/>
          <w:sz w:val="20"/>
          <w:szCs w:val="20"/>
        </w:rPr>
        <w:t xml:space="preserve"> </w:t>
      </w:r>
      <w:r w:rsidR="00FF49E0">
        <w:rPr>
          <w:rFonts w:ascii="Arial" w:hAnsi="Arial" w:cs="Arial"/>
          <w:color w:val="000000" w:themeColor="text1"/>
          <w:sz w:val="20"/>
          <w:szCs w:val="20"/>
        </w:rPr>
        <w:t>f</w:t>
      </w:r>
      <w:r w:rsidR="00885868" w:rsidRPr="00885868">
        <w:rPr>
          <w:rFonts w:ascii="Arial" w:hAnsi="Arial" w:cs="Arial"/>
          <w:sz w:val="20"/>
          <w:szCs w:val="20"/>
        </w:rPr>
        <w:t>ournitures courantes et services</w:t>
      </w:r>
      <w:r w:rsidR="00885868">
        <w:rPr>
          <w:rFonts w:ascii="Arial" w:hAnsi="Arial" w:cs="Arial"/>
          <w:color w:val="FF33CC"/>
          <w:sz w:val="20"/>
          <w:szCs w:val="20"/>
        </w:rPr>
        <w:t>.</w:t>
      </w:r>
    </w:p>
    <w:p w14:paraId="63A3DD4A" w14:textId="034D396E"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70F607A3" w14:textId="57DBDD73" w:rsidR="00FF49E0" w:rsidRPr="00394C8C" w:rsidRDefault="00FF49E0" w:rsidP="00394C8C">
      <w:pPr>
        <w:tabs>
          <w:tab w:val="left" w:pos="851"/>
        </w:tabs>
        <w:rPr>
          <w:rFonts w:ascii="Arial" w:hAnsi="Arial" w:cs="Arial"/>
          <w:sz w:val="20"/>
          <w:szCs w:val="20"/>
        </w:rPr>
      </w:pPr>
      <w:r w:rsidRPr="00FF49E0">
        <w:rPr>
          <w:rFonts w:ascii="Arial" w:hAnsi="Arial" w:cs="Arial"/>
          <w:sz w:val="20"/>
          <w:szCs w:val="20"/>
          <w:highlight w:val="yellow"/>
        </w:rPr>
        <w:t>SOIT</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Default="00394C8C" w:rsidP="00394C8C">
      <w:pPr>
        <w:tabs>
          <w:tab w:val="left" w:pos="851"/>
        </w:tabs>
        <w:rPr>
          <w:rFonts w:ascii="Arial" w:hAnsi="Arial" w:cs="Arial"/>
          <w:sz w:val="20"/>
          <w:szCs w:val="20"/>
        </w:rPr>
      </w:pPr>
    </w:p>
    <w:p w14:paraId="1E49F5F1" w14:textId="6A2C2C68" w:rsidR="00FF49E0" w:rsidRPr="00394C8C" w:rsidRDefault="00FF49E0" w:rsidP="00394C8C">
      <w:pPr>
        <w:tabs>
          <w:tab w:val="left" w:pos="851"/>
        </w:tabs>
        <w:rPr>
          <w:rFonts w:ascii="Arial" w:hAnsi="Arial" w:cs="Arial"/>
          <w:sz w:val="20"/>
          <w:szCs w:val="20"/>
        </w:rPr>
      </w:pPr>
      <w:r w:rsidRPr="00FF49E0">
        <w:rPr>
          <w:rFonts w:ascii="Arial" w:hAnsi="Arial" w:cs="Arial"/>
          <w:sz w:val="20"/>
          <w:szCs w:val="20"/>
          <w:highlight w:val="yellow"/>
        </w:rPr>
        <w:t>OU</w:t>
      </w: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5FFBBA85" w:rsidR="00167252" w:rsidRPr="00394C8C" w:rsidRDefault="00FF49E0" w:rsidP="00394C8C">
      <w:pPr>
        <w:tabs>
          <w:tab w:val="left" w:pos="851"/>
        </w:tabs>
        <w:rPr>
          <w:rFonts w:ascii="Arial" w:hAnsi="Arial" w:cs="Arial"/>
          <w:sz w:val="20"/>
          <w:szCs w:val="20"/>
        </w:rPr>
      </w:pPr>
      <w:r w:rsidRPr="00FF49E0">
        <w:rPr>
          <w:rFonts w:ascii="Arial" w:hAnsi="Arial" w:cs="Arial"/>
          <w:sz w:val="20"/>
          <w:szCs w:val="20"/>
          <w:highlight w:val="yellow"/>
        </w:rPr>
        <w:t>SOIT</w:t>
      </w: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42854922"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lastRenderedPageBreak/>
        <w:t>à exécuter les prestations demandées aux prix forfaitaires (DPGF) et unitaires (BPU) initiaux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747C1613" w:rsidR="00394C8C" w:rsidRPr="00394C8C" w:rsidRDefault="00394C8C" w:rsidP="007E674C">
      <w:pPr>
        <w:numPr>
          <w:ilvl w:val="0"/>
          <w:numId w:val="37"/>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Taux de la TVA : </w:t>
      </w:r>
      <w:r w:rsidR="00167252" w:rsidRPr="00642F95">
        <w:rPr>
          <w:rFonts w:ascii="Arial" w:hAnsi="Arial" w:cs="Arial"/>
          <w:highlight w:val="green"/>
        </w:rPr>
        <w:t>…</w:t>
      </w:r>
      <w:r w:rsidRPr="00394C8C">
        <w:rPr>
          <w:rFonts w:ascii="Arial" w:hAnsi="Arial" w:cs="Arial"/>
          <w:sz w:val="20"/>
          <w:szCs w:val="20"/>
        </w:rPr>
        <w:t>%</w:t>
      </w: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5AD0AC9E" w14:textId="4ECBFE6C" w:rsidR="00FF49E0" w:rsidRDefault="00394C8C" w:rsidP="00FF49E0">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forfaitaire </w:t>
      </w:r>
      <w:r w:rsidR="007E674C">
        <w:rPr>
          <w:rFonts w:ascii="Arial" w:hAnsi="Arial" w:cs="Arial"/>
          <w:sz w:val="20"/>
          <w:szCs w:val="20"/>
        </w:rPr>
        <w:t xml:space="preserve">global </w:t>
      </w:r>
      <w:r w:rsidRPr="00394C8C">
        <w:rPr>
          <w:rFonts w:ascii="Arial" w:hAnsi="Arial" w:cs="Arial"/>
          <w:sz w:val="20"/>
          <w:szCs w:val="20"/>
        </w:rPr>
        <w:t>de la période initiale d’exécution des prestations </w:t>
      </w:r>
      <w:r w:rsidRPr="00394C8C">
        <w:rPr>
          <w:rFonts w:ascii="Arial" w:hAnsi="Arial" w:cs="Arial"/>
          <w:i/>
          <w:sz w:val="20"/>
          <w:szCs w:val="20"/>
        </w:rPr>
        <w:t>(hors reconductions éventuelles</w:t>
      </w:r>
      <w:r w:rsidRPr="00394C8C">
        <w:rPr>
          <w:rFonts w:ascii="Arial" w:hAnsi="Arial" w:cs="Arial"/>
          <w:sz w:val="20"/>
          <w:szCs w:val="20"/>
        </w:rPr>
        <w:t xml:space="preserve">)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40A4E66D" w14:textId="16803A20" w:rsidR="00FF49E0" w:rsidRPr="00FF49E0" w:rsidRDefault="00FF49E0" w:rsidP="00FF49E0">
      <w:pPr>
        <w:numPr>
          <w:ilvl w:val="0"/>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 xml:space="preserve">Prix forfaitaire global des reconductions :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394C8C">
        <w:rPr>
          <w:rFonts w:ascii="Arial" w:hAnsi="Arial" w:cs="Arial"/>
          <w:sz w:val="20"/>
          <w:szCs w:val="20"/>
        </w:rPr>
        <w:t>€ TTC</w:t>
      </w:r>
    </w:p>
    <w:p w14:paraId="55735E85" w14:textId="1379A47A"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2A370292" w14:textId="461DC335" w:rsidR="00766305" w:rsidRPr="007E674C" w:rsidRDefault="00000000" w:rsidP="00766305">
      <w:pPr>
        <w:pStyle w:val="Paragraphedeliste"/>
        <w:numPr>
          <w:ilvl w:val="0"/>
          <w:numId w:val="7"/>
        </w:numPr>
        <w:rPr>
          <w:rFonts w:ascii="Arial" w:hAnsi="Arial" w:cs="Arial"/>
          <w:bCs/>
          <w:color w:val="000000" w:themeColor="text1"/>
          <w:sz w:val="20"/>
          <w:szCs w:val="20"/>
        </w:rPr>
      </w:pPr>
      <w:sdt>
        <w:sdtPr>
          <w:rPr>
            <w:rStyle w:val="Textedelespacerserv"/>
            <w:rFonts w:ascii="Arial" w:hAnsi="Arial" w:cs="Arial"/>
            <w:bCs/>
            <w:color w:val="000000" w:themeColor="text1"/>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Content>
          <w:r w:rsidR="007E674C" w:rsidRPr="007E674C">
            <w:rPr>
              <w:rStyle w:val="Textedelespacerserv"/>
              <w:rFonts w:ascii="Arial" w:hAnsi="Arial" w:cs="Arial"/>
              <w:bCs/>
              <w:color w:val="000000" w:themeColor="text1"/>
              <w:sz w:val="20"/>
              <w:szCs w:val="20"/>
            </w:rPr>
            <w:t>Sans montant minimum</w:t>
          </w:r>
        </w:sdtContent>
      </w:sdt>
    </w:p>
    <w:p w14:paraId="1B6A5230" w14:textId="2A3AA649" w:rsidR="00766305" w:rsidRPr="00FF49E0" w:rsidRDefault="007E674C" w:rsidP="00766305">
      <w:pPr>
        <w:pStyle w:val="Paragraphedeliste"/>
        <w:numPr>
          <w:ilvl w:val="0"/>
          <w:numId w:val="7"/>
        </w:numPr>
        <w:rPr>
          <w:rStyle w:val="Textedelespacerserv"/>
          <w:rFonts w:ascii="Arial" w:hAnsi="Arial" w:cs="Arial"/>
          <w:bCs/>
          <w:color w:val="000000" w:themeColor="text1"/>
          <w:sz w:val="20"/>
          <w:szCs w:val="20"/>
        </w:rPr>
      </w:pPr>
      <w:r w:rsidRPr="00FF49E0">
        <w:rPr>
          <w:rStyle w:val="Textedelespacerserv"/>
          <w:rFonts w:ascii="Arial" w:hAnsi="Arial" w:cs="Arial"/>
          <w:bCs/>
          <w:color w:val="000000" w:themeColor="text1"/>
          <w:sz w:val="20"/>
          <w:szCs w:val="20"/>
        </w:rPr>
        <w:t xml:space="preserve">Montant maximum, sur la durée totale, de </w:t>
      </w:r>
      <w:r w:rsidR="00FF49E0" w:rsidRPr="00FF49E0">
        <w:rPr>
          <w:rStyle w:val="Textedelespacerserv"/>
          <w:rFonts w:ascii="Arial" w:hAnsi="Arial" w:cs="Arial"/>
          <w:bCs/>
          <w:color w:val="000000" w:themeColor="text1"/>
          <w:sz w:val="20"/>
          <w:szCs w:val="20"/>
        </w:rPr>
        <w:t>400 000 € HT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1D72691B"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r w:rsidR="00FF49E0">
        <w:rPr>
          <w:rFonts w:ascii="Arial" w:hAnsi="Arial" w:cs="Arial"/>
          <w:i/>
          <w:iCs/>
        </w:rPr>
        <w:t>, sinon a supprimer</w:t>
      </w:r>
      <w:r w:rsidRPr="004628BA">
        <w:rPr>
          <w:rFonts w:ascii="Arial" w:hAnsi="Arial" w:cs="Arial"/>
          <w:i/>
          <w:iCs/>
        </w:rPr>
        <w:t>.)</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483DAF57" w14:textId="2FC8CD4F"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7E674C">
            <w:rPr>
              <w:rFonts w:ascii="Arial" w:hAnsi="Arial" w:cs="Arial"/>
              <w:sz w:val="20"/>
              <w:szCs w:val="20"/>
            </w:rPr>
            <w:t xml:space="preserve"> et prendra fin à l'achèvement des prestations objets du présent marché.</w:t>
          </w:r>
        </w:sdtContent>
      </w:sdt>
    </w:p>
    <w:p w14:paraId="017C67C3" w14:textId="1E32DCE9"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7E674C">
        <w:rPr>
          <w:rFonts w:ascii="Arial" w:hAnsi="Arial" w:cs="Arial"/>
          <w:sz w:val="20"/>
          <w:szCs w:val="20"/>
        </w:rPr>
        <w:t xml:space="preserve">fixé à sa date de notification. </w:t>
      </w:r>
    </w:p>
    <w:p w14:paraId="1CA55E70" w14:textId="5AD0BD5B"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r w:rsidR="007E674C">
        <w:rPr>
          <w:rFonts w:ascii="Arial" w:hAnsi="Arial" w:cs="Arial"/>
          <w:sz w:val="20"/>
          <w:szCs w:val="20"/>
        </w:rPr>
        <w:t xml:space="preserve"> initiale </w:t>
      </w:r>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7E674C">
            <w:rPr>
              <w:rFonts w:ascii="Arial" w:hAnsi="Arial" w:cs="Arial"/>
              <w:sz w:val="20"/>
              <w:szCs w:val="20"/>
            </w:rPr>
            <w:t>vingt-quatre (24)</w:t>
          </w:r>
        </w:sdtContent>
      </w:sdt>
      <w:r w:rsidRPr="003566E0">
        <w:rPr>
          <w:rFonts w:ascii="Arial" w:hAnsi="Arial" w:cs="Arial"/>
          <w:sz w:val="20"/>
          <w:szCs w:val="20"/>
        </w:rPr>
        <w:t xml:space="preserve"> mois à compter de la date de début d’exécution mentionnée ci-dessus</w:t>
      </w:r>
      <w:r w:rsidR="007E674C">
        <w:rPr>
          <w:rFonts w:ascii="Arial" w:hAnsi="Arial" w:cs="Arial"/>
          <w:sz w:val="20"/>
          <w:szCs w:val="20"/>
        </w:rPr>
        <w:t>.</w:t>
      </w:r>
    </w:p>
    <w:p w14:paraId="06674ABD" w14:textId="4E1120D2" w:rsidR="001630E3" w:rsidRPr="003566E0" w:rsidRDefault="001630E3" w:rsidP="001630E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sidR="007E674C" w:rsidRPr="007E674C">
            <w:rPr>
              <w:rFonts w:ascii="Arial" w:hAnsi="Arial" w:cs="Arial"/>
              <w:sz w:val="20"/>
              <w:szCs w:val="20"/>
            </w:rPr>
            <w:t>est reconductible de manière tacite</w:t>
          </w:r>
        </w:sdtContent>
      </w:sdt>
      <w:r w:rsidRPr="003566E0">
        <w:rPr>
          <w:rFonts w:ascii="Arial" w:hAnsi="Arial" w:cs="Arial"/>
          <w:i/>
          <w:sz w:val="20"/>
          <w:szCs w:val="20"/>
        </w:rPr>
        <w:t>.</w:t>
      </w:r>
    </w:p>
    <w:p w14:paraId="43AADDF2" w14:textId="44B7CCB4" w:rsidR="001630E3" w:rsidRPr="003566E0" w:rsidRDefault="001630E3" w:rsidP="001630E3">
      <w:pPr>
        <w:rPr>
          <w:rFonts w:ascii="Arial" w:hAnsi="Arial" w:cs="Arial"/>
          <w:sz w:val="20"/>
          <w:szCs w:val="20"/>
        </w:rPr>
      </w:pPr>
      <w:r w:rsidRPr="003566E0">
        <w:rPr>
          <w:rFonts w:ascii="Arial" w:hAnsi="Arial" w:cs="Arial"/>
          <w:sz w:val="20"/>
          <w:szCs w:val="20"/>
        </w:rPr>
        <w:t xml:space="preserve">Il est </w:t>
      </w:r>
      <w:r w:rsidRPr="007E674C">
        <w:rPr>
          <w:rFonts w:ascii="Arial" w:hAnsi="Arial" w:cs="Arial"/>
          <w:color w:val="000000" w:themeColor="text1"/>
          <w:sz w:val="20"/>
          <w:szCs w:val="20"/>
        </w:rPr>
        <w:t xml:space="preserve">reconductible </w:t>
      </w:r>
      <w:sdt>
        <w:sdtPr>
          <w:rPr>
            <w:rFonts w:ascii="Arial" w:hAnsi="Arial" w:cs="Arial"/>
            <w:color w:val="000000" w:themeColor="text1"/>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Content>
          <w:r w:rsidR="007E674C" w:rsidRPr="007E674C">
            <w:rPr>
              <w:rFonts w:ascii="Arial" w:hAnsi="Arial" w:cs="Arial"/>
              <w:color w:val="000000" w:themeColor="text1"/>
              <w:sz w:val="20"/>
              <w:szCs w:val="20"/>
            </w:rPr>
            <w:t>deux (2)</w:t>
          </w:r>
        </w:sdtContent>
      </w:sdt>
      <w:r w:rsidRPr="007E674C">
        <w:rPr>
          <w:rFonts w:ascii="Arial" w:hAnsi="Arial" w:cs="Arial"/>
          <w:color w:val="000000" w:themeColor="text1"/>
          <w:sz w:val="20"/>
          <w:szCs w:val="20"/>
        </w:rPr>
        <w:t xml:space="preserve"> </w:t>
      </w:r>
      <w:r w:rsidRPr="003566E0">
        <w:rPr>
          <w:rFonts w:ascii="Arial" w:hAnsi="Arial" w:cs="Arial"/>
          <w:sz w:val="20"/>
          <w:szCs w:val="20"/>
        </w:rPr>
        <w:t xml:space="preserve">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7E674C">
            <w:rPr>
              <w:rFonts w:ascii="Arial" w:hAnsi="Arial" w:cs="Arial"/>
              <w:sz w:val="20"/>
              <w:szCs w:val="20"/>
            </w:rPr>
            <w:t>douze (12)</w:t>
          </w:r>
        </w:sdtContent>
      </w:sdt>
      <w:r w:rsidRPr="003566E0">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Content>
          <w:r w:rsidR="007E674C">
            <w:rPr>
              <w:rFonts w:ascii="Arial" w:hAnsi="Arial" w:cs="Arial"/>
              <w:sz w:val="20"/>
              <w:szCs w:val="20"/>
            </w:rPr>
            <w:t>pour chaque période de reconduction.</w:t>
          </w:r>
        </w:sdtContent>
      </w:sdt>
    </w:p>
    <w:p w14:paraId="0D1169FA" w14:textId="2EF80E7A" w:rsidR="001630E3" w:rsidRPr="003566E0" w:rsidRDefault="001630E3" w:rsidP="001630E3">
      <w:pPr>
        <w:rPr>
          <w:rFonts w:ascii="Arial" w:hAnsi="Arial" w:cs="Arial"/>
          <w:sz w:val="20"/>
          <w:szCs w:val="20"/>
        </w:rPr>
      </w:pPr>
      <w:r w:rsidRPr="003566E0">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Content>
          <w:r w:rsidR="007E674C">
            <w:rPr>
              <w:rFonts w:ascii="Arial" w:hAnsi="Arial" w:cs="Arial"/>
              <w:sz w:val="20"/>
              <w:szCs w:val="20"/>
            </w:rPr>
            <w:t>non-reconduction</w:t>
          </w:r>
        </w:sdtContent>
      </w:sdt>
      <w:r w:rsidRPr="003566E0">
        <w:rPr>
          <w:rFonts w:ascii="Arial" w:hAnsi="Arial" w:cs="Arial"/>
          <w:sz w:val="20"/>
          <w:szCs w:val="20"/>
        </w:rPr>
        <w:t xml:space="preserve"> est prise au plus tard </w:t>
      </w:r>
      <w:sdt>
        <w:sdtPr>
          <w:rPr>
            <w:rFonts w:ascii="Arial" w:hAnsi="Arial" w:cs="Arial"/>
            <w:color w:val="000000" w:themeColor="text1"/>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7E674C" w:rsidRPr="007E674C">
            <w:rPr>
              <w:rFonts w:ascii="Arial" w:hAnsi="Arial" w:cs="Arial"/>
              <w:color w:val="000000" w:themeColor="text1"/>
              <w:sz w:val="20"/>
              <w:szCs w:val="20"/>
            </w:rPr>
            <w:t>trente (30)</w:t>
          </w:r>
        </w:sdtContent>
      </w:sdt>
      <w:r w:rsidRPr="007E674C">
        <w:rPr>
          <w:rFonts w:ascii="Arial" w:hAnsi="Arial" w:cs="Arial"/>
          <w:color w:val="000000" w:themeColor="text1"/>
          <w:sz w:val="20"/>
          <w:szCs w:val="20"/>
        </w:rPr>
        <w:t xml:space="preserve"> </w:t>
      </w:r>
      <w:r w:rsidRPr="003566E0">
        <w:rPr>
          <w:rFonts w:ascii="Arial" w:hAnsi="Arial" w:cs="Arial"/>
          <w:sz w:val="20"/>
          <w:szCs w:val="20"/>
        </w:rPr>
        <w:t>jours avant la fin de la période considérée.</w:t>
      </w:r>
    </w:p>
    <w:p w14:paraId="7894F0E6" w14:textId="10C86547" w:rsidR="00A845BF" w:rsidRPr="003566E0" w:rsidRDefault="001630E3" w:rsidP="003A7FA3">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Content>
          <w:r w:rsidR="007E674C">
            <w:rPr>
              <w:rFonts w:ascii="Arial" w:hAnsi="Arial" w:cs="Arial"/>
              <w:sz w:val="20"/>
              <w:szCs w:val="20"/>
            </w:rPr>
            <w:t>périodes de reconduction comprises</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7E674C">
            <w:rPr>
              <w:rFonts w:ascii="Arial" w:hAnsi="Arial" w:cs="Arial"/>
              <w:sz w:val="20"/>
              <w:szCs w:val="20"/>
            </w:rPr>
            <w:t>quarante-huit (48)</w:t>
          </w:r>
        </w:sdtContent>
      </w:sdt>
      <w:r w:rsidRPr="003566E0">
        <w:rPr>
          <w:rFonts w:ascii="Arial" w:hAnsi="Arial" w:cs="Arial"/>
          <w:sz w:val="20"/>
          <w:szCs w:val="20"/>
        </w:rPr>
        <w:t xml:space="preserve"> mois. </w:t>
      </w:r>
    </w:p>
    <w:p w14:paraId="00841587" w14:textId="640AF4BF"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Content>
          <w:r w:rsidR="007E674C">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7E674C">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vAlign w:val="center"/>
          </w:tcPr>
          <w:p w14:paraId="3BACCA28" w14:textId="1CA0F9F4" w:rsidR="00E83147" w:rsidRPr="007E674C" w:rsidRDefault="007E674C" w:rsidP="007E674C">
            <w:pPr>
              <w:jc w:val="center"/>
              <w:rPr>
                <w:rFonts w:ascii="Arial" w:hAnsi="Arial" w:cs="Arial"/>
                <w:bCs/>
                <w:sz w:val="20"/>
                <w:szCs w:val="20"/>
              </w:rPr>
            </w:pPr>
            <w:r w:rsidRPr="007E674C">
              <w:rPr>
                <w:rFonts w:ascii="Arial" w:hAnsi="Arial" w:cs="Arial"/>
                <w:bCs/>
                <w:sz w:val="20"/>
                <w:szCs w:val="20"/>
              </w:rPr>
              <w:t>Jeanne LOYEN</w:t>
            </w:r>
          </w:p>
        </w:tc>
        <w:tc>
          <w:tcPr>
            <w:tcW w:w="2440" w:type="dxa"/>
            <w:vAlign w:val="center"/>
          </w:tcPr>
          <w:p w14:paraId="6ED430C7" w14:textId="52D2D01B" w:rsidR="00E83147" w:rsidRPr="007E674C" w:rsidRDefault="007E674C" w:rsidP="007E674C">
            <w:pPr>
              <w:pStyle w:val="texte"/>
              <w:ind w:left="0"/>
              <w:jc w:val="center"/>
              <w:rPr>
                <w:rFonts w:cs="Arial"/>
              </w:rPr>
            </w:pPr>
            <w:r w:rsidRPr="007E674C">
              <w:rPr>
                <w:rFonts w:cs="Arial"/>
                <w:bCs/>
              </w:rPr>
              <w:t>07 87 69 71 69</w:t>
            </w:r>
          </w:p>
        </w:tc>
        <w:tc>
          <w:tcPr>
            <w:tcW w:w="2375" w:type="dxa"/>
            <w:vAlign w:val="center"/>
          </w:tcPr>
          <w:p w14:paraId="5D6030BC" w14:textId="758EC794" w:rsidR="00E83147" w:rsidRPr="007E674C" w:rsidRDefault="007E674C" w:rsidP="007E674C">
            <w:pPr>
              <w:pStyle w:val="texte"/>
              <w:tabs>
                <w:tab w:val="center" w:pos="1079"/>
              </w:tabs>
              <w:ind w:left="0"/>
              <w:jc w:val="center"/>
              <w:rPr>
                <w:rFonts w:cs="Arial"/>
              </w:rPr>
            </w:pPr>
            <w:r w:rsidRPr="007E674C">
              <w:rPr>
                <w:rFonts w:cs="Arial"/>
              </w:rPr>
              <w:t>Jeanne.loyen@asnr.fr</w:t>
            </w:r>
          </w:p>
        </w:tc>
      </w:tr>
      <w:tr w:rsidR="00E83147" w:rsidRPr="00DC4013" w14:paraId="5ED257EE" w14:textId="77777777" w:rsidTr="007E674C">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vAlign w:val="center"/>
          </w:tcPr>
          <w:p w14:paraId="6E9553CE" w14:textId="3426C9E1" w:rsidR="00E83147" w:rsidRPr="008D5124" w:rsidRDefault="00E83147" w:rsidP="007E674C">
            <w:pPr>
              <w:pStyle w:val="texte"/>
              <w:ind w:left="0"/>
              <w:jc w:val="center"/>
              <w:rPr>
                <w:rFonts w:cs="Arial"/>
                <w:highlight w:val="green"/>
              </w:rPr>
            </w:pPr>
            <w:r w:rsidRPr="008D5124">
              <w:rPr>
                <w:rFonts w:cs="Arial"/>
                <w:highlight w:val="green"/>
              </w:rPr>
              <w:t>…</w:t>
            </w:r>
          </w:p>
        </w:tc>
        <w:tc>
          <w:tcPr>
            <w:tcW w:w="2440" w:type="dxa"/>
            <w:vAlign w:val="center"/>
          </w:tcPr>
          <w:p w14:paraId="71BCEF55" w14:textId="6E0838FB" w:rsidR="00E83147" w:rsidRPr="008D5124" w:rsidRDefault="00E83147" w:rsidP="007E674C">
            <w:pPr>
              <w:pStyle w:val="texte"/>
              <w:ind w:left="0"/>
              <w:jc w:val="center"/>
              <w:rPr>
                <w:rFonts w:cs="Arial"/>
                <w:highlight w:val="green"/>
              </w:rPr>
            </w:pPr>
            <w:r w:rsidRPr="008D5124">
              <w:rPr>
                <w:rFonts w:cs="Arial"/>
                <w:highlight w:val="green"/>
              </w:rPr>
              <w:t>…</w:t>
            </w:r>
          </w:p>
        </w:tc>
        <w:tc>
          <w:tcPr>
            <w:tcW w:w="2375" w:type="dxa"/>
            <w:vAlign w:val="center"/>
          </w:tcPr>
          <w:p w14:paraId="7836867D" w14:textId="3CD8114D" w:rsidR="00E83147" w:rsidRPr="008D5124" w:rsidRDefault="00E83147" w:rsidP="007E674C">
            <w:pPr>
              <w:pStyle w:val="texte"/>
              <w:ind w:left="0"/>
              <w:jc w:val="center"/>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7E674C">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vAlign w:val="center"/>
          </w:tcPr>
          <w:p w14:paraId="6BEE6241" w14:textId="3180CB64" w:rsidR="00E83147" w:rsidRPr="00DC4013" w:rsidRDefault="007E674C" w:rsidP="007E674C">
            <w:pPr>
              <w:pStyle w:val="texte"/>
              <w:ind w:left="0"/>
              <w:jc w:val="center"/>
              <w:rPr>
                <w:rFonts w:cs="Arial"/>
              </w:rPr>
            </w:pPr>
            <w:r>
              <w:rPr>
                <w:rFonts w:cs="Arial"/>
              </w:rPr>
              <w:t>Marine RIGAL</w:t>
            </w:r>
          </w:p>
        </w:tc>
        <w:tc>
          <w:tcPr>
            <w:tcW w:w="2440" w:type="dxa"/>
            <w:vAlign w:val="center"/>
          </w:tcPr>
          <w:p w14:paraId="333C502D" w14:textId="7F472DE4" w:rsidR="00E83147" w:rsidRPr="00DC4013" w:rsidRDefault="007E674C" w:rsidP="007E674C">
            <w:pPr>
              <w:pStyle w:val="texte"/>
              <w:ind w:left="0"/>
              <w:jc w:val="center"/>
              <w:rPr>
                <w:rFonts w:cs="Arial"/>
              </w:rPr>
            </w:pPr>
            <w:r>
              <w:rPr>
                <w:rFonts w:cs="Arial"/>
              </w:rPr>
              <w:t>06 74 37 75 31</w:t>
            </w:r>
          </w:p>
        </w:tc>
        <w:tc>
          <w:tcPr>
            <w:tcW w:w="2375" w:type="dxa"/>
            <w:vAlign w:val="center"/>
          </w:tcPr>
          <w:p w14:paraId="2BDC8BDE" w14:textId="24B240BA" w:rsidR="00E83147" w:rsidRPr="00DC4013" w:rsidRDefault="007E674C" w:rsidP="007E674C">
            <w:pPr>
              <w:pStyle w:val="texte"/>
              <w:ind w:left="0"/>
              <w:jc w:val="center"/>
              <w:rPr>
                <w:rFonts w:cs="Arial"/>
              </w:rPr>
            </w:pPr>
            <w:r>
              <w:rPr>
                <w:rFonts w:cs="Arial"/>
              </w:rPr>
              <w:t>Marine.rigal@asnr.fr</w:t>
            </w:r>
          </w:p>
        </w:tc>
      </w:tr>
      <w:tr w:rsidR="00E83147" w:rsidRPr="00DC4013" w14:paraId="2152BA8D" w14:textId="77777777" w:rsidTr="007E674C">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vAlign w:val="center"/>
          </w:tcPr>
          <w:p w14:paraId="15C397E5" w14:textId="5FB9C86D" w:rsidR="00E83147" w:rsidRPr="008D5124" w:rsidRDefault="00E83147" w:rsidP="007E674C">
            <w:pPr>
              <w:pStyle w:val="texte"/>
              <w:ind w:left="0"/>
              <w:jc w:val="center"/>
              <w:rPr>
                <w:rFonts w:cs="Arial"/>
                <w:highlight w:val="green"/>
              </w:rPr>
            </w:pPr>
            <w:r w:rsidRPr="008D5124">
              <w:rPr>
                <w:rFonts w:cs="Arial"/>
                <w:highlight w:val="green"/>
              </w:rPr>
              <w:t>…</w:t>
            </w:r>
          </w:p>
        </w:tc>
        <w:tc>
          <w:tcPr>
            <w:tcW w:w="2440" w:type="dxa"/>
            <w:vAlign w:val="center"/>
          </w:tcPr>
          <w:p w14:paraId="0BA6EC69" w14:textId="5542DDD2" w:rsidR="00E83147" w:rsidRPr="008D5124" w:rsidRDefault="00E83147" w:rsidP="007E674C">
            <w:pPr>
              <w:pStyle w:val="texte"/>
              <w:ind w:left="0"/>
              <w:jc w:val="center"/>
              <w:rPr>
                <w:rFonts w:cs="Arial"/>
                <w:highlight w:val="green"/>
              </w:rPr>
            </w:pPr>
            <w:r w:rsidRPr="008D5124">
              <w:rPr>
                <w:rFonts w:cs="Arial"/>
                <w:highlight w:val="green"/>
              </w:rPr>
              <w:t>…</w:t>
            </w:r>
          </w:p>
        </w:tc>
        <w:tc>
          <w:tcPr>
            <w:tcW w:w="2375" w:type="dxa"/>
            <w:vAlign w:val="center"/>
          </w:tcPr>
          <w:p w14:paraId="1DC81ECF" w14:textId="4283F5B1" w:rsidR="00E83147" w:rsidRPr="008D5124" w:rsidRDefault="00E83147" w:rsidP="007E674C">
            <w:pPr>
              <w:pStyle w:val="texte"/>
              <w:ind w:left="0"/>
              <w:jc w:val="center"/>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lastRenderedPageBreak/>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42C6B183" w:rsidR="00E83147" w:rsidRPr="00DC4013" w:rsidRDefault="00F81E78" w:rsidP="00F81E78">
            <w:pPr>
              <w:pStyle w:val="texte"/>
              <w:tabs>
                <w:tab w:val="left" w:pos="1308"/>
              </w:tabs>
              <w:ind w:left="0"/>
              <w:rPr>
                <w:rFonts w:cs="Arial"/>
              </w:rPr>
            </w:pPr>
            <w:r>
              <w:rPr>
                <w:rFonts w:cs="Arial"/>
              </w:rPr>
              <w:t xml:space="preserve">DAF / SAC  - 31 avenue de la Division Leclerc – 92260 Fontenay-aux-Roses </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 xml:space="preserve">Je </w:t>
      </w:r>
      <w:r w:rsidRPr="00F81E78">
        <w:rPr>
          <w:rFonts w:ascii="Arial" w:hAnsi="Arial" w:cs="Arial"/>
          <w:b/>
          <w:bCs/>
        </w:rPr>
        <w:t>renonce</w:t>
      </w:r>
      <w:r w:rsidRPr="00E8774F">
        <w:rPr>
          <w:rFonts w:ascii="Arial" w:hAnsi="Arial" w:cs="Arial"/>
        </w:rPr>
        <w:t xml:space="preserv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1E8E1F7F" w14:textId="65816CD5" w:rsidR="00B2420E" w:rsidRPr="00F22B61" w:rsidRDefault="00B2420E" w:rsidP="00F81E78">
      <w:pPr>
        <w:tabs>
          <w:tab w:val="left" w:pos="851"/>
        </w:tabs>
        <w:ind w:left="567"/>
        <w:rPr>
          <w:rFonts w:ascii="Arial" w:hAnsi="Arial" w:cs="Arial"/>
          <w:b/>
          <w:sz w:val="20"/>
          <w:szCs w:val="20"/>
          <w:lang w:eastAsia="fr-FR"/>
        </w:rPr>
      </w:pPr>
      <w:r w:rsidRPr="00F22B61">
        <w:rPr>
          <w:rFonts w:ascii="Arial" w:hAnsi="Arial" w:cs="Arial"/>
          <w:b/>
          <w:sz w:val="20"/>
          <w:szCs w:val="20"/>
        </w:rPr>
        <w:t xml:space="preserve">La présente offre </w:t>
      </w:r>
      <w:r w:rsidR="00F81E78">
        <w:rPr>
          <w:rFonts w:ascii="Arial" w:hAnsi="Arial" w:cs="Arial"/>
          <w:b/>
          <w:sz w:val="20"/>
          <w:szCs w:val="20"/>
        </w:rPr>
        <w:t xml:space="preserve">de base </w:t>
      </w:r>
      <w:r w:rsidRPr="00F22B61">
        <w:rPr>
          <w:rFonts w:ascii="Arial" w:hAnsi="Arial" w:cs="Arial"/>
          <w:b/>
          <w:sz w:val="20"/>
          <w:szCs w:val="20"/>
        </w:rPr>
        <w:t>est acceptée</w:t>
      </w:r>
      <w:r w:rsidR="00F81E78">
        <w:rPr>
          <w:rFonts w:ascii="Arial" w:hAnsi="Arial" w:cs="Arial"/>
          <w:b/>
          <w:sz w:val="20"/>
          <w:szCs w:val="20"/>
        </w:rPr>
        <w:t xml:space="preserve">. </w:t>
      </w: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11100FA"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F81E78">
        <w:rPr>
          <w:rFonts w:ascii="Arial" w:hAnsi="Arial" w:cs="Arial"/>
          <w:b/>
          <w:sz w:val="20"/>
          <w:szCs w:val="20"/>
          <w:lang w:eastAsia="fr-FR"/>
        </w:rPr>
        <w:t xml:space="preserve"> Annexe financière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29E05A69" w14:textId="25398B93" w:rsidR="008B0DC5" w:rsidRDefault="00B2420E" w:rsidP="00F81E78">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35755" w14:textId="77777777" w:rsidR="009A7B81" w:rsidRDefault="009A7B81" w:rsidP="00CD6E3B">
      <w:pPr>
        <w:spacing w:after="0" w:line="240" w:lineRule="auto"/>
      </w:pPr>
      <w:r>
        <w:separator/>
      </w:r>
    </w:p>
  </w:endnote>
  <w:endnote w:type="continuationSeparator" w:id="0">
    <w:p w14:paraId="12BA5080" w14:textId="77777777" w:rsidR="009A7B81" w:rsidRDefault="009A7B81"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AD33B" w14:textId="77777777" w:rsidR="009A7B81" w:rsidRDefault="009A7B81" w:rsidP="00CD6E3B">
      <w:pPr>
        <w:spacing w:after="0" w:line="240" w:lineRule="auto"/>
      </w:pPr>
      <w:r>
        <w:separator/>
      </w:r>
    </w:p>
  </w:footnote>
  <w:footnote w:type="continuationSeparator" w:id="0">
    <w:p w14:paraId="74FE2707" w14:textId="77777777" w:rsidR="009A7B81" w:rsidRDefault="009A7B81"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ADB4E91"/>
    <w:multiLevelType w:val="hybridMultilevel"/>
    <w:tmpl w:val="54A4AF5E"/>
    <w:lvl w:ilvl="0" w:tplc="4FFE47A8">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0"/>
  </w:num>
  <w:num w:numId="9" w16cid:durableId="1622952127">
    <w:abstractNumId w:val="13"/>
  </w:num>
  <w:num w:numId="10" w16cid:durableId="736169400">
    <w:abstractNumId w:val="39"/>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2"/>
  </w:num>
  <w:num w:numId="21" w16cid:durableId="913006212">
    <w:abstractNumId w:val="10"/>
  </w:num>
  <w:num w:numId="22" w16cid:durableId="658731754">
    <w:abstractNumId w:val="33"/>
  </w:num>
  <w:num w:numId="23" w16cid:durableId="587156765">
    <w:abstractNumId w:val="35"/>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8"/>
  </w:num>
  <w:num w:numId="32" w16cid:durableId="46103866">
    <w:abstractNumId w:val="18"/>
  </w:num>
  <w:num w:numId="33" w16cid:durableId="1591040116">
    <w:abstractNumId w:val="4"/>
  </w:num>
  <w:num w:numId="34" w16cid:durableId="567889138">
    <w:abstractNumId w:val="31"/>
  </w:num>
  <w:num w:numId="35" w16cid:durableId="637883294">
    <w:abstractNumId w:val="16"/>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2"/>
  </w:num>
  <w:num w:numId="41" w16cid:durableId="1056658775">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C5B23"/>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7E674C"/>
    <w:rsid w:val="0080067D"/>
    <w:rsid w:val="008046BB"/>
    <w:rsid w:val="008064F2"/>
    <w:rsid w:val="00814963"/>
    <w:rsid w:val="00817CC5"/>
    <w:rsid w:val="00840614"/>
    <w:rsid w:val="00842DB3"/>
    <w:rsid w:val="00843794"/>
    <w:rsid w:val="00845BF5"/>
    <w:rsid w:val="0084637D"/>
    <w:rsid w:val="008545FB"/>
    <w:rsid w:val="00866726"/>
    <w:rsid w:val="00885868"/>
    <w:rsid w:val="00885AB7"/>
    <w:rsid w:val="008B0DC5"/>
    <w:rsid w:val="008C0EA4"/>
    <w:rsid w:val="008C46BE"/>
    <w:rsid w:val="008D5124"/>
    <w:rsid w:val="008E0E83"/>
    <w:rsid w:val="008E3024"/>
    <w:rsid w:val="009248C5"/>
    <w:rsid w:val="00932F94"/>
    <w:rsid w:val="00937391"/>
    <w:rsid w:val="00946006"/>
    <w:rsid w:val="00967C8A"/>
    <w:rsid w:val="00973330"/>
    <w:rsid w:val="0097483F"/>
    <w:rsid w:val="0097655D"/>
    <w:rsid w:val="00981CFE"/>
    <w:rsid w:val="00983141"/>
    <w:rsid w:val="009A7B81"/>
    <w:rsid w:val="009B0645"/>
    <w:rsid w:val="009B1CF8"/>
    <w:rsid w:val="009D0DE8"/>
    <w:rsid w:val="009D2220"/>
    <w:rsid w:val="009E4B20"/>
    <w:rsid w:val="009E7C72"/>
    <w:rsid w:val="009F0133"/>
    <w:rsid w:val="00A06B42"/>
    <w:rsid w:val="00A1285C"/>
    <w:rsid w:val="00A12E6B"/>
    <w:rsid w:val="00A258B8"/>
    <w:rsid w:val="00A25DF0"/>
    <w:rsid w:val="00A270DC"/>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E7D96"/>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1E78"/>
    <w:rsid w:val="00F84421"/>
    <w:rsid w:val="00F90D50"/>
    <w:rsid w:val="00FA4B7B"/>
    <w:rsid w:val="00FA607D"/>
    <w:rsid w:val="00FB186A"/>
    <w:rsid w:val="00FB18A5"/>
    <w:rsid w:val="00FE10E4"/>
    <w:rsid w:val="00FF49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FB2BC5" w:rsidP="00FB2BC5">
          <w:pPr>
            <w:pStyle w:val="4CD6B1E788FB4C3CB3FB4FDEA902F1432"/>
          </w:pPr>
          <w:r w:rsidRPr="003566E0">
            <w:rPr>
              <w:rStyle w:val="Textedelespacerserv"/>
              <w:rFonts w:ascii="Arial" w:hAnsi="Arial" w:cs="Arial"/>
              <w:color w:val="00B05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B3B29"/>
    <w:rsid w:val="008C49C9"/>
    <w:rsid w:val="008C5347"/>
    <w:rsid w:val="008D5E11"/>
    <w:rsid w:val="009248C5"/>
    <w:rsid w:val="009671AD"/>
    <w:rsid w:val="00993C26"/>
    <w:rsid w:val="009D2220"/>
    <w:rsid w:val="009E4B20"/>
    <w:rsid w:val="00A02D36"/>
    <w:rsid w:val="00A270DC"/>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 w:val="00FD7E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12</Pages>
  <Words>1843</Words>
  <Characters>10142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RIGAL Marine</cp:lastModifiedBy>
  <cp:revision>39</cp:revision>
  <cp:lastPrinted>2023-04-04T08:25:00Z</cp:lastPrinted>
  <dcterms:created xsi:type="dcterms:W3CDTF">2025-01-31T08:53:00Z</dcterms:created>
  <dcterms:modified xsi:type="dcterms:W3CDTF">2025-04-08T11:17:00Z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