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drawing>
          <wp:anchor behindDoc="0" distT="0" distB="0" distL="612140" distR="0" simplePos="0" locked="0" layoutInCell="0" allowOverlap="1" relativeHeight="2">
            <wp:simplePos x="0" y="0"/>
            <wp:positionH relativeFrom="column">
              <wp:posOffset>2665095</wp:posOffset>
            </wp:positionH>
            <wp:positionV relativeFrom="paragraph">
              <wp:posOffset>149225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DECLARATION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l’Intérieur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Pièces détachées nécessaires à la maintenance</w:t>
      </w:r>
    </w:p>
    <w:p>
      <w:pPr>
        <w:pStyle w:val="BodyText"/>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 xml:space="preserve">et à la réparation des armes de poing des forces de sécurités intérieures </w:t>
      </w: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(5 lots)</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Bookmark_Copie_1_Copie_1"/>
      <w:bookmarkStart w:id="6" w:name="Unnamed_Copie_1"/>
      <w:bookmarkStart w:id="7" w:name="Bookmark_Copie_1_Copie_1"/>
      <w:bookmarkStart w:id="8" w:name="Bookmark_Copie_1"/>
      <w:bookmarkEnd w:id="5"/>
      <w:bookmarkEnd w:id="6"/>
      <w:bookmarkEnd w:id="7"/>
      <w:bookmarkEnd w:id="8"/>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tru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tru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tru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tru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tru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9" w:name="Bookmark_Copie_2"/>
      <w:bookmarkStart w:id="10" w:name="Bookmark_Copie_2"/>
      <w:bookmarkEnd w:id="10"/>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11" w:name="Bookmark_Copie_2_Copie_1"/>
      <w:bookmarkStart w:id="12" w:name="Unnamed_Copie_2"/>
      <w:bookmarkStart w:id="13" w:name="Bookmark_Copie_2_Copie_1"/>
      <w:bookmarkStart w:id="14" w:name="Bookmark_Copie_2"/>
      <w:bookmarkEnd w:id="11"/>
      <w:bookmarkEnd w:id="12"/>
      <w:bookmarkEnd w:id="13"/>
      <w:bookmarkEnd w:id="14"/>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tru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r>
        <w:br w:type="page"/>
      </w:r>
    </w:p>
    <w:p>
      <w:pPr>
        <w:pStyle w:val="Header"/>
        <w:widowControl/>
        <w:tabs>
          <w:tab w:val="left" w:pos="0" w:leader="none"/>
          <w:tab w:val="left" w:pos="2160" w:leader="none"/>
          <w:tab w:val="center" w:pos="4536" w:leader="none"/>
          <w:tab w:val="right" w:pos="9072" w:leader="none"/>
        </w:tabs>
        <w:suppressAutoHyphens w:val="true"/>
        <w:overflowPunct w:val="true"/>
        <w:bidi w:val="0"/>
        <w:spacing w:before="0" w:after="0"/>
        <w:ind w:hanging="0" w:left="0"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 xml:space="preserve">E2 </w:t>
      </w:r>
      <w:r>
        <w:rPr>
          <w:rFonts w:cs="Arial" w:ascii="Marianne" w:hAnsi="Marianne"/>
          <w:b/>
          <w:bCs/>
          <w:i w:val="false"/>
          <w:iCs w:val="false"/>
          <w:strike/>
          <w:sz w:val="22"/>
          <w:szCs w:val="22"/>
        </w:rPr>
        <w:t>-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trike/>
          <w:sz w:val="22"/>
          <w:szCs w:val="22"/>
        </w:rPr>
        <w:t> </w:t>
      </w:r>
      <w:r>
        <w:rPr>
          <w:rFonts w:cs="Arial" w:ascii="Marianne" w:hAnsi="Marianne"/>
          <w:b/>
          <w:bCs/>
          <w:i w:val="false"/>
          <w:iCs w:val="false"/>
          <w:strik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tru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w:t>
      </w:r>
      <w:r>
        <w:rPr>
          <w:rFonts w:cs="Arial" w:ascii="Marianne" w:hAnsi="Marianne"/>
          <w:b/>
          <w:bCs/>
          <w:strike/>
          <w:sz w:val="22"/>
          <w:szCs w:val="22"/>
        </w:rPr>
        <w:t>2 – Autres informations requises par l’acheteur au titre de la capacité économique et financière</w:t>
      </w:r>
    </w:p>
    <w:p>
      <w:pPr>
        <w:pStyle w:val="Normal"/>
        <w:jc w:val="both"/>
        <w:rPr>
          <w:rFonts w:ascii="Marianne" w:hAnsi="Marianne" w:cs="Arial"/>
          <w:i/>
          <w:i/>
          <w:sz w:val="18"/>
        </w:rPr>
      </w:pPr>
      <w:r>
        <w:rPr/>
      </w:r>
    </w:p>
    <w:p>
      <w:pPr>
        <w:pStyle w:val="Normal"/>
        <w:jc w:val="both"/>
        <w:rPr>
          <w:rFonts w:ascii="Marianne" w:hAnsi="Marianne" w:cs="Arial"/>
          <w:i/>
          <w:i/>
          <w:sz w:val="18"/>
        </w:rPr>
      </w:pPr>
      <w:r>
        <w:rPr/>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G1 - Le candidat ne fournit que les renseignements demandés par l’acheteur au titre de la capacité technique et professionnelle : </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numPr>
          <w:ilvl w:val="0"/>
          <w:numId w:val="7"/>
        </w:numP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2"/>
          <w:szCs w:val="22"/>
        </w:rPr>
        <w:t>la</w:t>
      </w:r>
      <w:r>
        <w:rPr>
          <w:rFonts w:cs="Arial" w:ascii="Marianne" w:hAnsi="Marianne"/>
          <w:b w:val="false"/>
          <w:bCs w:val="false"/>
          <w:sz w:val="22"/>
          <w:szCs w:val="22"/>
        </w:rPr>
        <w:t xml:space="preserve"> liste des principales références de contrats en rapport avec l’objet de l’accord-cadre, exécutés sur les trois dernières années, indiquant les montants, dates et destinataires </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866"/>
        <w:gridCol w:w="4234"/>
        <w:gridCol w:w="5060"/>
      </w:tblGrid>
      <w:tr>
        <w:trPr>
          <w:trHeight w:val="1200" w:hRule="atLeast"/>
        </w:trPr>
        <w:tc>
          <w:tcPr>
            <w:tcW w:w="866"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234"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6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66" w:type="dxa"/>
            <w:tcBorders>
              <w:top w:val="single" w:sz="4" w:space="0" w:color="000000"/>
              <w:left w:val="single" w:sz="4" w:space="0" w:color="000000"/>
            </w:tcBorders>
            <w:shd w:fill="B4C6E7" w:val="clear"/>
          </w:tcPr>
          <w:p>
            <w:pPr>
              <w:pStyle w:val="Normal"/>
              <w:snapToGrid w:val="false"/>
              <w:jc w:val="both"/>
              <w:rPr>
                <w:rFonts w:ascii="Marianne" w:hAnsi="Marianne" w:cs="Arial"/>
                <w:b/>
                <w:bCs/>
              </w:rPr>
            </w:pPr>
            <w:r>
              <w:rPr>
                <w:rFonts w:cs="Arial" w:ascii="Marianne" w:hAnsi="Marianne"/>
                <w:b/>
                <w:bCs/>
              </w:rPr>
            </w:r>
          </w:p>
        </w:tc>
        <w:tc>
          <w:tcPr>
            <w:tcW w:w="4234"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6"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4"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6"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4234"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6"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4"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6" w:type="dxa"/>
            <w:tcBorders>
              <w:left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4"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6"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4"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6" w:type="dxa"/>
            <w:tcBorders>
              <w:left w:val="single" w:sz="4" w:space="0" w:color="000000"/>
              <w:bottom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4"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 w:name="Garamond">
    <w:charset w:val="01"/>
    <w:family w:val="auto"/>
    <w:pitch w:val="default"/>
  </w:font>
  <w:font w:name="Wingdings">
    <w:charset w:val="02"/>
    <w:family w:val="auto"/>
    <w:pitch w:val="variable"/>
  </w:font>
  <w:font w:name="OpenSymbol">
    <w:altName w:val="Arial Unicode MS"/>
    <w:charset w:val="01"/>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6"/>
      <w:gridCol w:w="4687"/>
      <w:gridCol w:w="906"/>
      <w:gridCol w:w="534"/>
      <w:gridCol w:w="180"/>
      <w:gridCol w:w="536"/>
    </w:tblGrid>
    <w:tr>
      <w:trPr>
        <w:tblHeader w:val="true"/>
        <w:trHeight w:val="188" w:hRule="atLeast"/>
      </w:trPr>
      <w:tc>
        <w:tcPr>
          <w:tcW w:w="3306"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7"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9</w:t>
          </w:r>
          <w:r>
            <w:rPr>
              <w:rFonts w:cs="Arial" w:ascii="Marianne" w:hAnsi="Marianne"/>
              <w:b/>
              <w:bCs/>
              <w:i w:val="false"/>
              <w:iCs w:val="false"/>
              <w:color w:val="FFFFFF"/>
              <w:sz w:val="18"/>
              <w:szCs w:val="18"/>
              <w:shd w:fill="auto" w:val="clear"/>
              <w:lang w:val="fr-FR"/>
            </w:rPr>
            <w:t xml:space="preserve"> – Pièces détachées SIG SAUER SP-2022</w:t>
          </w:r>
        </w:p>
      </w:tc>
      <w:tc>
        <w:tcPr>
          <w:tcW w:w="906"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4"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6"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6"/>
      <w:gridCol w:w="4687"/>
      <w:gridCol w:w="906"/>
      <w:gridCol w:w="534"/>
      <w:gridCol w:w="180"/>
      <w:gridCol w:w="536"/>
    </w:tblGrid>
    <w:tr>
      <w:trPr>
        <w:tblHeader w:val="true"/>
        <w:trHeight w:val="188" w:hRule="atLeast"/>
      </w:trPr>
      <w:tc>
        <w:tcPr>
          <w:tcW w:w="3306"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7"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9</w:t>
          </w:r>
          <w:r>
            <w:rPr>
              <w:rFonts w:cs="Arial" w:ascii="Marianne" w:hAnsi="Marianne"/>
              <w:b/>
              <w:bCs/>
              <w:i w:val="false"/>
              <w:iCs w:val="false"/>
              <w:color w:val="FFFFFF"/>
              <w:sz w:val="18"/>
              <w:szCs w:val="18"/>
              <w:shd w:fill="auto" w:val="clear"/>
              <w:lang w:val="fr-FR"/>
            </w:rPr>
            <w:t xml:space="preserve"> – Pièces détachées SIG SAUER SP-2022</w:t>
          </w:r>
        </w:p>
      </w:tc>
      <w:tc>
        <w:tcPr>
          <w:tcW w:w="906"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4"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6"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8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9</TotalTime>
  <Application>LibreOffice/24.2.5.2$Windows_X86_64 LibreOffice_project/bffef4ea93e59bebbeaf7f431bb02b1a39ee8a59</Application>
  <AppVersion>15.0000</AppVersion>
  <Pages>5</Pages>
  <Words>1701</Words>
  <Characters>9192</Characters>
  <CharactersWithSpaces>10789</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2024-12-05T15:02:20Z</dcterms:created>
  <dc:creator/>
  <dc:description/>
  <dc:language>fr-FR</dc:language>
  <cp:lastModifiedBy/>
  <dcterms:modified xsi:type="dcterms:W3CDTF">2025-04-09T13:47:23Z</dcterms:modified>
  <cp:revision>3</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