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7300F6A9" w14:textId="77777777" w:rsidR="00BF33D7" w:rsidRDefault="00BF33D7" w:rsidP="00BF33D7">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bookmarkStart w:id="0" w:name="_Hlk164861528"/>
      <w:r w:rsidRPr="00A81EAA">
        <w:rPr>
          <w:rFonts w:ascii="Calibri" w:eastAsiaTheme="minorEastAsia" w:hAnsi="Calibri" w:cs="Calibri"/>
          <w:b/>
          <w:bCs/>
          <w:color w:val="000000" w:themeColor="text1"/>
          <w:sz w:val="48"/>
          <w:szCs w:val="48"/>
          <w:lang w:eastAsia="fr-FR"/>
        </w:rPr>
        <w:t>ACCORD-CADRE RELATIF A DES PRESTATIONS DE SURVEILLANCE ET DE GARDIENNAGE POUR LES SITES DE LA CCIL ARTOIS ET D’ARTOIS EXPO</w:t>
      </w:r>
    </w:p>
    <w:p w14:paraId="1DF17262" w14:textId="77777777" w:rsidR="00BF33D7" w:rsidRDefault="00BF33D7" w:rsidP="00BF33D7">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r w:rsidRPr="00BF33D7">
        <w:rPr>
          <w:rFonts w:ascii="Calibri" w:eastAsiaTheme="minorEastAsia" w:hAnsi="Calibri" w:cs="Calibri"/>
          <w:b/>
          <w:bCs/>
          <w:color w:val="000000" w:themeColor="text1"/>
          <w:sz w:val="48"/>
          <w:szCs w:val="48"/>
          <w:lang w:eastAsia="fr-FR"/>
        </w:rPr>
        <w:t>Lot n° 2 : Accord-cadre relatif à des prestations de surveillance et de gardiennage pour les besoins d’Artois Expo</w:t>
      </w:r>
      <w:r w:rsidRPr="00BF33D7">
        <w:rPr>
          <w:rFonts w:ascii="Calibri" w:eastAsiaTheme="minorEastAsia" w:hAnsi="Calibri" w:cs="Calibri"/>
          <w:b/>
          <w:bCs/>
          <w:color w:val="000000" w:themeColor="text1"/>
          <w:sz w:val="48"/>
          <w:szCs w:val="48"/>
          <w:lang w:eastAsia="fr-FR"/>
        </w:rPr>
        <w:t xml:space="preserve"> </w:t>
      </w:r>
    </w:p>
    <w:p w14:paraId="437ECE6B" w14:textId="77777777" w:rsidR="00BF33D7" w:rsidRDefault="00BF33D7" w:rsidP="00BF33D7">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p>
    <w:p w14:paraId="4C9FDDA3" w14:textId="6AE3E2C0" w:rsidR="00BF33D7" w:rsidRDefault="00BF33D7" w:rsidP="00BF33D7">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Pr="00866519">
        <w:rPr>
          <w:rFonts w:ascii="Calibri" w:eastAsiaTheme="minorEastAsia" w:hAnsi="Calibri" w:cs="Calibri"/>
          <w:i/>
          <w:iCs/>
          <w:sz w:val="28"/>
          <w:szCs w:val="28"/>
          <w:lang w:eastAsia="fr-FR"/>
        </w:rPr>
        <w:t>CCIR-DRA-202</w:t>
      </w:r>
      <w:r>
        <w:rPr>
          <w:rFonts w:ascii="Calibri" w:eastAsiaTheme="minorEastAsia" w:hAnsi="Calibri" w:cs="Calibri"/>
          <w:i/>
          <w:iCs/>
          <w:sz w:val="28"/>
          <w:szCs w:val="28"/>
          <w:lang w:eastAsia="fr-FR"/>
        </w:rPr>
        <w:t>5</w:t>
      </w:r>
      <w:r w:rsidRPr="00866519">
        <w:rPr>
          <w:rFonts w:ascii="Calibri" w:eastAsiaTheme="minorEastAsia" w:hAnsi="Calibri" w:cs="Calibri"/>
          <w:i/>
          <w:iCs/>
          <w:sz w:val="28"/>
          <w:szCs w:val="28"/>
          <w:lang w:eastAsia="fr-FR"/>
        </w:rPr>
        <w:t>-</w:t>
      </w:r>
      <w:r>
        <w:rPr>
          <w:rFonts w:ascii="Calibri" w:eastAsiaTheme="minorEastAsia" w:hAnsi="Calibri" w:cs="Calibri"/>
          <w:i/>
          <w:iCs/>
          <w:sz w:val="28"/>
          <w:szCs w:val="28"/>
          <w:lang w:eastAsia="fr-FR"/>
        </w:rPr>
        <w:t>16</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5BC51D1B" w14:textId="77777777" w:rsidR="00486A5E" w:rsidRPr="00E77962" w:rsidRDefault="00486A5E" w:rsidP="00486A5E">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Pr>
          <w:rFonts w:cstheme="minorHAnsi"/>
          <w:b/>
          <w:sz w:val="20"/>
          <w:szCs w:val="20"/>
        </w:rPr>
        <w:t>s</w:t>
      </w:r>
      <w:r w:rsidRPr="00E77962">
        <w:rPr>
          <w:rFonts w:cstheme="minorHAnsi"/>
          <w:b/>
          <w:sz w:val="20"/>
          <w:szCs w:val="20"/>
        </w:rPr>
        <w:t xml:space="preserve"> critère</w:t>
      </w:r>
      <w:r>
        <w:rPr>
          <w:rFonts w:cstheme="minorHAnsi"/>
          <w:b/>
          <w:sz w:val="20"/>
          <w:szCs w:val="20"/>
        </w:rPr>
        <w:t>s</w:t>
      </w:r>
      <w:r w:rsidRPr="00E77962">
        <w:rPr>
          <w:rFonts w:cstheme="minorHAnsi"/>
          <w:b/>
          <w:sz w:val="20"/>
          <w:szCs w:val="20"/>
        </w:rPr>
        <w:t xml:space="preserve"> « Valeur technique de l’offre »</w:t>
      </w:r>
      <w:r>
        <w:rPr>
          <w:rFonts w:cstheme="minorHAnsi"/>
          <w:b/>
          <w:sz w:val="20"/>
          <w:szCs w:val="20"/>
        </w:rPr>
        <w:t xml:space="preserve"> et « </w:t>
      </w:r>
      <w:r w:rsidRPr="0095239E">
        <w:rPr>
          <w:b/>
          <w:bCs/>
          <w:color w:val="000000" w:themeColor="text1" w:themeShade="80"/>
          <w:sz w:val="20"/>
          <w:szCs w:val="20"/>
        </w:rPr>
        <w:t>Qualité et pertinence de la démarche de développement durable</w:t>
      </w:r>
      <w:r>
        <w:rPr>
          <w:b/>
          <w:bCs/>
          <w:color w:val="000000" w:themeColor="text1" w:themeShade="80"/>
          <w:sz w:val="20"/>
          <w:szCs w:val="20"/>
        </w:rPr>
        <w:t> »</w:t>
      </w:r>
      <w:r w:rsidRPr="00E77962">
        <w:rPr>
          <w:rFonts w:cstheme="minorHAnsi"/>
          <w:b/>
          <w:sz w:val="20"/>
          <w:szCs w:val="20"/>
        </w:rPr>
        <w:t>, tel</w:t>
      </w:r>
      <w:r>
        <w:rPr>
          <w:rFonts w:cstheme="minorHAnsi"/>
          <w:b/>
          <w:sz w:val="20"/>
          <w:szCs w:val="20"/>
        </w:rPr>
        <w:t>s</w:t>
      </w:r>
      <w:r w:rsidRPr="00E77962">
        <w:rPr>
          <w:rFonts w:cstheme="minorHAnsi"/>
          <w:b/>
          <w:sz w:val="20"/>
          <w:szCs w:val="20"/>
        </w:rPr>
        <w:t xml:space="preserve"> que défini</w:t>
      </w:r>
      <w:r>
        <w:rPr>
          <w:rFonts w:cstheme="minorHAnsi"/>
          <w:b/>
          <w:sz w:val="20"/>
          <w:szCs w:val="20"/>
        </w:rPr>
        <w:t>s</w:t>
      </w:r>
      <w:r w:rsidRPr="00E77962">
        <w:rPr>
          <w:rFonts w:cstheme="minorHAnsi"/>
          <w:b/>
          <w:sz w:val="20"/>
          <w:szCs w:val="20"/>
        </w:rPr>
        <w:t xml:space="preserve"> à l’article 7.2.1 du règlement de la consultation </w:t>
      </w:r>
      <w:r>
        <w:rPr>
          <w:rFonts w:cstheme="minorHAnsi"/>
          <w:b/>
          <w:sz w:val="20"/>
          <w:szCs w:val="20"/>
        </w:rPr>
        <w:t xml:space="preserve">– 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4A7011BD" w14:textId="119FD462" w:rsidR="00D719B4" w:rsidRDefault="00A13D32"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00D719B4" w:rsidRPr="00D719B4">
        <w:rPr>
          <w:rFonts w:eastAsia="Meiryo" w:cstheme="minorHAnsi"/>
          <w:color w:val="262626"/>
          <w:kern w:val="0"/>
          <w:sz w:val="20"/>
          <w:szCs w:val="20"/>
          <w:u w:val="single"/>
          <w:lang w:eastAsia="fr-FR"/>
          <w14:ligatures w14:val="none"/>
        </w:rPr>
        <w:t>des moyens humains dédiés à l’exécution des prestations (équipe encadrante et équipe intervenante)</w:t>
      </w:r>
      <w:r w:rsidR="00D719B4">
        <w:rPr>
          <w:rFonts w:eastAsia="Meiryo" w:cstheme="minorHAnsi"/>
          <w:color w:val="262626"/>
          <w:kern w:val="0"/>
          <w:sz w:val="20"/>
          <w:szCs w:val="20"/>
          <w:u w:val="single"/>
          <w:lang w:eastAsia="fr-FR"/>
          <w14:ligatures w14:val="none"/>
        </w:rPr>
        <w:t xml:space="preserve"> notamment via les CV</w:t>
      </w:r>
    </w:p>
    <w:p w14:paraId="23A1A06B" w14:textId="6354141A" w:rsidR="00E77962" w:rsidRDefault="00E77962" w:rsidP="00E77962">
      <w:pPr>
        <w:rPr>
          <w:rFonts w:eastAsia="Meiryo" w:cstheme="minorHAnsi"/>
          <w:color w:val="262626"/>
          <w:kern w:val="0"/>
          <w:sz w:val="20"/>
          <w:szCs w:val="20"/>
          <w:lang w:eastAsia="fr-FR"/>
          <w14:ligatures w14:val="none"/>
        </w:rPr>
      </w:pPr>
    </w:p>
    <w:p w14:paraId="2B941DCF" w14:textId="6C486B68" w:rsidR="00E77962" w:rsidRDefault="00E77962" w:rsidP="00D719B4">
      <w:pPr>
        <w:jc w:val="both"/>
        <w:rPr>
          <w:rFonts w:eastAsia="Meiryo" w:cstheme="minorHAnsi"/>
          <w:color w:val="262626"/>
          <w:kern w:val="0"/>
          <w:sz w:val="20"/>
          <w:szCs w:val="20"/>
          <w:lang w:eastAsia="fr-FR"/>
          <w14:ligatures w14:val="none"/>
        </w:rPr>
      </w:pPr>
    </w:p>
    <w:p w14:paraId="314D737C" w14:textId="77777777" w:rsidR="00E77962" w:rsidRPr="00E77962" w:rsidRDefault="00E77962" w:rsidP="00D719B4">
      <w:pPr>
        <w:jc w:val="both"/>
        <w:rPr>
          <w:rFonts w:eastAsia="Meiryo" w:cstheme="minorHAnsi"/>
          <w:color w:val="262626"/>
          <w:kern w:val="0"/>
          <w:sz w:val="20"/>
          <w:szCs w:val="20"/>
          <w:lang w:eastAsia="fr-FR"/>
          <w14:ligatures w14:val="none"/>
        </w:rPr>
      </w:pPr>
    </w:p>
    <w:p w14:paraId="1700B6E4" w14:textId="77777777" w:rsidR="00D719B4" w:rsidRPr="00D719B4" w:rsidRDefault="00851D74" w:rsidP="00D719B4">
      <w:pPr>
        <w:pStyle w:val="Paragraphedeliste"/>
        <w:numPr>
          <w:ilvl w:val="0"/>
          <w:numId w:val="1"/>
        </w:numPr>
        <w:jc w:val="both"/>
        <w:rPr>
          <w:rFonts w:eastAsia="Meiryo" w:cstheme="minorHAnsi"/>
          <w:color w:val="262626"/>
          <w:kern w:val="0"/>
          <w:sz w:val="20"/>
          <w:szCs w:val="20"/>
          <w:lang w:eastAsia="fr-FR"/>
          <w14:ligatures w14:val="none"/>
        </w:rPr>
      </w:pPr>
      <w:r w:rsidRPr="003F3798">
        <w:rPr>
          <w:rFonts w:eastAsia="Meiryo" w:cstheme="minorHAnsi"/>
          <w:color w:val="262626"/>
          <w:kern w:val="0"/>
          <w:sz w:val="20"/>
          <w:szCs w:val="20"/>
          <w:u w:val="single"/>
          <w:lang w:eastAsia="fr-FR"/>
          <w14:ligatures w14:val="none"/>
        </w:rPr>
        <w:t xml:space="preserve">Description </w:t>
      </w:r>
      <w:r w:rsidR="00D719B4" w:rsidRPr="00D719B4">
        <w:rPr>
          <w:rFonts w:eastAsia="Meiryo" w:cstheme="minorHAnsi"/>
          <w:color w:val="262626"/>
          <w:kern w:val="0"/>
          <w:sz w:val="20"/>
          <w:szCs w:val="20"/>
          <w:u w:val="single"/>
          <w:lang w:eastAsia="fr-FR"/>
          <w14:ligatures w14:val="none"/>
        </w:rPr>
        <w:t>du mode opératoire dans le cadre de l’exécution des prestations détaillé comme suit</w:t>
      </w:r>
      <w:r w:rsidR="00D719B4">
        <w:rPr>
          <w:rFonts w:eastAsia="Meiryo" w:cstheme="minorHAnsi"/>
          <w:color w:val="262626"/>
          <w:kern w:val="0"/>
          <w:sz w:val="20"/>
          <w:szCs w:val="20"/>
          <w:u w:val="single"/>
          <w:lang w:eastAsia="fr-FR"/>
          <w14:ligatures w14:val="none"/>
        </w:rPr>
        <w:t> :</w:t>
      </w:r>
    </w:p>
    <w:p w14:paraId="64F6A1E6" w14:textId="5B7F7B37" w:rsidR="00D719B4" w:rsidRDefault="00D719B4" w:rsidP="00D719B4">
      <w:pPr>
        <w:pStyle w:val="Paragraphedeliste"/>
        <w:numPr>
          <w:ilvl w:val="1"/>
          <w:numId w:val="1"/>
        </w:numPr>
        <w:jc w:val="both"/>
        <w:rPr>
          <w:rFonts w:eastAsia="Meiryo" w:cstheme="minorHAnsi"/>
          <w:color w:val="262626"/>
          <w:kern w:val="0"/>
          <w:sz w:val="20"/>
          <w:szCs w:val="20"/>
          <w:lang w:eastAsia="fr-FR"/>
          <w14:ligatures w14:val="none"/>
        </w:rPr>
      </w:pPr>
      <w:r w:rsidRPr="00D719B4">
        <w:rPr>
          <w:rFonts w:eastAsia="Meiryo" w:cstheme="minorHAnsi"/>
          <w:color w:val="262626"/>
          <w:kern w:val="0"/>
          <w:sz w:val="20"/>
          <w:szCs w:val="20"/>
          <w:lang w:eastAsia="fr-FR"/>
          <w14:ligatures w14:val="none"/>
        </w:rPr>
        <w:t>Compréhension des enjeux, des missions et qualité des modes opératoires pour les prestations (évènementiel/manifestations)</w:t>
      </w:r>
      <w:r>
        <w:rPr>
          <w:rFonts w:eastAsia="Meiryo" w:cstheme="minorHAnsi"/>
          <w:color w:val="262626"/>
          <w:kern w:val="0"/>
          <w:sz w:val="20"/>
          <w:szCs w:val="20"/>
          <w:lang w:eastAsia="fr-FR"/>
          <w14:ligatures w14:val="none"/>
        </w:rPr>
        <w:t> :</w:t>
      </w:r>
    </w:p>
    <w:p w14:paraId="4DC450D9" w14:textId="77777777" w:rsidR="00D719B4" w:rsidRPr="00D719B4" w:rsidRDefault="00D719B4" w:rsidP="00D719B4">
      <w:pPr>
        <w:pStyle w:val="Paragraphedeliste"/>
        <w:ind w:left="1440"/>
        <w:jc w:val="both"/>
        <w:rPr>
          <w:rFonts w:eastAsia="Meiryo" w:cstheme="minorHAnsi"/>
          <w:color w:val="262626"/>
          <w:kern w:val="0"/>
          <w:sz w:val="20"/>
          <w:szCs w:val="20"/>
          <w:lang w:eastAsia="fr-FR"/>
          <w14:ligatures w14:val="none"/>
        </w:rPr>
      </w:pPr>
    </w:p>
    <w:p w14:paraId="64ADDE94" w14:textId="5DE25BD5" w:rsidR="00D719B4" w:rsidRDefault="00D719B4" w:rsidP="00D719B4">
      <w:pPr>
        <w:pStyle w:val="Paragraphedeliste"/>
        <w:numPr>
          <w:ilvl w:val="1"/>
          <w:numId w:val="1"/>
        </w:numPr>
        <w:jc w:val="both"/>
        <w:rPr>
          <w:rFonts w:eastAsia="Meiryo" w:cstheme="minorHAnsi"/>
          <w:color w:val="262626"/>
          <w:kern w:val="0"/>
          <w:sz w:val="20"/>
          <w:szCs w:val="20"/>
          <w:lang w:eastAsia="fr-FR"/>
          <w14:ligatures w14:val="none"/>
        </w:rPr>
      </w:pPr>
      <w:r>
        <w:rPr>
          <w:rFonts w:eastAsia="Meiryo" w:cstheme="minorHAnsi"/>
          <w:color w:val="262626"/>
          <w:kern w:val="0"/>
          <w:sz w:val="20"/>
          <w:szCs w:val="20"/>
          <w:lang w:eastAsia="fr-FR"/>
          <w14:ligatures w14:val="none"/>
        </w:rPr>
        <w:t>Description</w:t>
      </w:r>
      <w:r w:rsidRPr="00D719B4">
        <w:rPr>
          <w:rFonts w:eastAsia="Meiryo" w:cstheme="minorHAnsi"/>
          <w:color w:val="262626"/>
          <w:kern w:val="0"/>
          <w:sz w:val="20"/>
          <w:szCs w:val="20"/>
          <w:lang w:eastAsia="fr-FR"/>
          <w14:ligatures w14:val="none"/>
        </w:rPr>
        <w:t xml:space="preserve"> de la méthodologie ainsi que des moyens mis en œuvre pour garantir l’exécution du reporting d’activité et la qualité optimale des prestations, notamment des modalités de suivi et de contrôle des prestations (réunions, encadrement des équipes et lien avec le représentant du pouvoir adjudicateur, respect des consignées, etc.) ;</w:t>
      </w:r>
    </w:p>
    <w:p w14:paraId="792BD8D2" w14:textId="77777777" w:rsidR="00D719B4" w:rsidRPr="00D719B4" w:rsidRDefault="00D719B4" w:rsidP="00D719B4">
      <w:pPr>
        <w:pStyle w:val="Paragraphedeliste"/>
        <w:jc w:val="both"/>
        <w:rPr>
          <w:rFonts w:eastAsia="Meiryo" w:cstheme="minorHAnsi"/>
          <w:color w:val="262626"/>
          <w:kern w:val="0"/>
          <w:sz w:val="20"/>
          <w:szCs w:val="20"/>
          <w:lang w:eastAsia="fr-FR"/>
          <w14:ligatures w14:val="none"/>
        </w:rPr>
      </w:pPr>
    </w:p>
    <w:p w14:paraId="03A557F4" w14:textId="77777777" w:rsidR="00D719B4" w:rsidRPr="00D719B4" w:rsidRDefault="00D719B4" w:rsidP="00D719B4">
      <w:pPr>
        <w:pStyle w:val="Paragraphedeliste"/>
        <w:ind w:left="1440"/>
        <w:jc w:val="both"/>
        <w:rPr>
          <w:rFonts w:eastAsia="Meiryo" w:cstheme="minorHAnsi"/>
          <w:color w:val="262626"/>
          <w:kern w:val="0"/>
          <w:sz w:val="20"/>
          <w:szCs w:val="20"/>
          <w:lang w:eastAsia="fr-FR"/>
          <w14:ligatures w14:val="none"/>
        </w:rPr>
      </w:pPr>
    </w:p>
    <w:p w14:paraId="502E0BF0" w14:textId="51CE583C" w:rsidR="00D719B4" w:rsidRPr="00D719B4" w:rsidRDefault="00D719B4" w:rsidP="00D719B4">
      <w:pPr>
        <w:pStyle w:val="Paragraphedeliste"/>
        <w:numPr>
          <w:ilvl w:val="1"/>
          <w:numId w:val="1"/>
        </w:numPr>
        <w:jc w:val="both"/>
        <w:rPr>
          <w:rFonts w:eastAsia="Meiryo" w:cstheme="minorHAnsi"/>
          <w:color w:val="262626"/>
          <w:kern w:val="0"/>
          <w:sz w:val="20"/>
          <w:szCs w:val="20"/>
          <w:lang w:eastAsia="fr-FR"/>
          <w14:ligatures w14:val="none"/>
        </w:rPr>
      </w:pPr>
      <w:r>
        <w:rPr>
          <w:rFonts w:eastAsia="Meiryo" w:cstheme="minorHAnsi"/>
          <w:color w:val="262626"/>
          <w:kern w:val="0"/>
          <w:sz w:val="20"/>
          <w:szCs w:val="20"/>
          <w:lang w:eastAsia="fr-FR"/>
          <w14:ligatures w14:val="none"/>
        </w:rPr>
        <w:t>Description</w:t>
      </w:r>
      <w:r w:rsidRPr="00D719B4">
        <w:rPr>
          <w:rFonts w:eastAsia="Meiryo" w:cstheme="minorHAnsi"/>
          <w:color w:val="262626"/>
          <w:kern w:val="0"/>
          <w:sz w:val="20"/>
          <w:szCs w:val="20"/>
          <w:lang w:eastAsia="fr-FR"/>
          <w14:ligatures w14:val="none"/>
        </w:rPr>
        <w:t xml:space="preserve"> du mode opératoire proposé s’agissant des demandes dites de « dernière minute</w:t>
      </w:r>
      <w:r>
        <w:rPr>
          <w:rFonts w:eastAsia="Meiryo" w:cstheme="minorHAnsi"/>
          <w:color w:val="262626"/>
          <w:kern w:val="0"/>
          <w:sz w:val="20"/>
          <w:szCs w:val="20"/>
          <w:lang w:eastAsia="fr-FR"/>
          <w14:ligatures w14:val="none"/>
        </w:rPr>
        <w:t> </w:t>
      </w:r>
      <w:r w:rsidRPr="00D719B4">
        <w:rPr>
          <w:rFonts w:eastAsia="Meiryo" w:cstheme="minorHAnsi"/>
          <w:color w:val="262626"/>
          <w:kern w:val="0"/>
          <w:sz w:val="20"/>
          <w:szCs w:val="20"/>
          <w:lang w:eastAsia="fr-FR"/>
          <w14:ligatures w14:val="none"/>
        </w:rPr>
        <w:t>» dans le respect des prescriptions de l’article 4.6 du CCTP du lot 2</w:t>
      </w:r>
    </w:p>
    <w:p w14:paraId="3C0D3C4A" w14:textId="62CEC1F7" w:rsidR="00E77962" w:rsidRDefault="00E77962" w:rsidP="00E77962">
      <w:pPr>
        <w:rPr>
          <w:rFonts w:eastAsia="Meiryo" w:cstheme="minorHAnsi"/>
          <w:color w:val="262626"/>
          <w:kern w:val="0"/>
          <w:sz w:val="20"/>
          <w:szCs w:val="20"/>
          <w:lang w:eastAsia="fr-FR"/>
          <w14:ligatures w14:val="none"/>
        </w:rPr>
      </w:pPr>
    </w:p>
    <w:p w14:paraId="30F40DD4" w14:textId="77777777" w:rsidR="00E77962" w:rsidRPr="00E77962" w:rsidRDefault="00E77962" w:rsidP="00E77962">
      <w:pPr>
        <w:rPr>
          <w:rFonts w:eastAsia="Meiryo" w:cstheme="minorHAnsi"/>
          <w:color w:val="262626"/>
          <w:kern w:val="0"/>
          <w:sz w:val="20"/>
          <w:szCs w:val="20"/>
          <w:lang w:eastAsia="fr-FR"/>
          <w14:ligatures w14:val="none"/>
        </w:rPr>
      </w:pPr>
    </w:p>
    <w:p w14:paraId="67006168" w14:textId="70A7A4EE" w:rsidR="00E77962" w:rsidRPr="00D719B4" w:rsidRDefault="00851D74" w:rsidP="00E62965">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A13D32">
        <w:rPr>
          <w:rFonts w:eastAsia="Meiryo" w:cstheme="minorHAnsi"/>
          <w:color w:val="262626"/>
          <w:kern w:val="0"/>
          <w:sz w:val="20"/>
          <w:szCs w:val="20"/>
          <w:u w:val="single"/>
          <w:lang w:eastAsia="fr-FR"/>
          <w14:ligatures w14:val="none"/>
        </w:rPr>
        <w:t xml:space="preserve">Description </w:t>
      </w:r>
      <w:r w:rsidR="00D719B4" w:rsidRPr="00D719B4">
        <w:rPr>
          <w:rFonts w:eastAsia="Meiryo" w:cstheme="minorHAnsi"/>
          <w:color w:val="262626"/>
          <w:kern w:val="0"/>
          <w:sz w:val="20"/>
          <w:szCs w:val="20"/>
          <w:u w:val="single"/>
          <w:lang w:eastAsia="fr-FR"/>
          <w14:ligatures w14:val="none"/>
        </w:rPr>
        <w:t xml:space="preserve">de la méthodologie du soumissionnaire et moyens mis en œuvre pour garantir la bonne exécution des prestations en cas de modification du personnel intervenant (turnover, absences programmées ou inopinées des agents, modalités mises en œuvre afin de respecter le délai de remplacement de l’agent en cas d’absences inopinées etc…) </w:t>
      </w:r>
    </w:p>
    <w:p w14:paraId="020177EE" w14:textId="63DA2034"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42125CB5" w14:textId="77777777" w:rsidR="00B24E37" w:rsidRPr="00E77962" w:rsidRDefault="00B24E37"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052B3968" w14:textId="68383280" w:rsidR="00E77962" w:rsidRPr="00D719B4" w:rsidRDefault="00E77962" w:rsidP="00677CFC">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r w:rsidRPr="00D719B4">
        <w:rPr>
          <w:rFonts w:eastAsia="Meiryo" w:cstheme="minorHAnsi"/>
          <w:color w:val="262626"/>
          <w:kern w:val="0"/>
          <w:sz w:val="20"/>
          <w:szCs w:val="20"/>
          <w:u w:val="single"/>
          <w:lang w:eastAsia="fr-FR"/>
          <w14:ligatures w14:val="none"/>
        </w:rPr>
        <w:t xml:space="preserve">Description </w:t>
      </w:r>
      <w:r w:rsidR="00D719B4" w:rsidRPr="00D719B4">
        <w:rPr>
          <w:rFonts w:eastAsia="Meiryo" w:cstheme="minorHAnsi"/>
          <w:color w:val="262626"/>
          <w:kern w:val="0"/>
          <w:sz w:val="20"/>
          <w:szCs w:val="20"/>
          <w:u w:val="single"/>
          <w:lang w:eastAsia="fr-FR"/>
          <w14:ligatures w14:val="none"/>
        </w:rPr>
        <w:t>de la démarche de développement durable (économique, sociale et environnementale) en lien avec l'objet du marché et la pertinence des actions mises en œuvre dans le cadre de l'exécution contractuelle, étant précisé que la démarche RSE globale des soumissionnaires ne sera pas prise en compte</w:t>
      </w:r>
    </w:p>
    <w:p w14:paraId="7973EFB5" w14:textId="0C3B9581" w:rsidR="00B24E37" w:rsidRDefault="00B24E37"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14A491D"/>
    <w:multiLevelType w:val="hybridMultilevel"/>
    <w:tmpl w:val="52E6CD58"/>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3"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1"/>
  </w:num>
  <w:num w:numId="2" w16cid:durableId="393697118">
    <w:abstractNumId w:val="3"/>
  </w:num>
  <w:num w:numId="3" w16cid:durableId="2073691046">
    <w:abstractNumId w:val="4"/>
  </w:num>
  <w:num w:numId="4" w16cid:durableId="568152711">
    <w:abstractNumId w:val="5"/>
  </w:num>
  <w:num w:numId="5" w16cid:durableId="2091734063">
    <w:abstractNumId w:val="0"/>
  </w:num>
  <w:num w:numId="6" w16cid:durableId="1535727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817B2"/>
    <w:rsid w:val="000B7971"/>
    <w:rsid w:val="00170099"/>
    <w:rsid w:val="003E15E9"/>
    <w:rsid w:val="003F3798"/>
    <w:rsid w:val="00486A5E"/>
    <w:rsid w:val="005E4ED6"/>
    <w:rsid w:val="006769E7"/>
    <w:rsid w:val="006D7844"/>
    <w:rsid w:val="00851D74"/>
    <w:rsid w:val="00866519"/>
    <w:rsid w:val="00A13D32"/>
    <w:rsid w:val="00A236F2"/>
    <w:rsid w:val="00B24E37"/>
    <w:rsid w:val="00BF33D7"/>
    <w:rsid w:val="00D65A5F"/>
    <w:rsid w:val="00D719B4"/>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styleId="Pieddepage">
    <w:name w:val="footer"/>
    <w:basedOn w:val="Normal"/>
    <w:link w:val="PieddepageCar"/>
    <w:uiPriority w:val="99"/>
    <w:unhideWhenUsed/>
    <w:rsid w:val="00A13D32"/>
    <w:pPr>
      <w:tabs>
        <w:tab w:val="center" w:pos="4536"/>
        <w:tab w:val="right" w:pos="9072"/>
      </w:tabs>
      <w:spacing w:after="0" w:line="240" w:lineRule="auto"/>
    </w:pPr>
    <w:rPr>
      <w:color w:val="000000" w:themeColor="text1" w:themeShade="80"/>
      <w:kern w:val="0"/>
      <w:sz w:val="20"/>
      <w14:ligatures w14:val="none"/>
    </w:rPr>
  </w:style>
  <w:style w:type="character" w:customStyle="1" w:styleId="PieddepageCar">
    <w:name w:val="Pied de page Car"/>
    <w:basedOn w:val="Policepardfaut"/>
    <w:link w:val="Pieddepage"/>
    <w:uiPriority w:val="99"/>
    <w:rsid w:val="00A13D32"/>
    <w:rPr>
      <w:color w:val="000000" w:themeColor="text1" w:themeShade="80"/>
      <w:kern w:val="0"/>
      <w:sz w:val="20"/>
      <w14:ligatures w14:val="none"/>
    </w:rPr>
  </w:style>
  <w:style w:type="paragraph" w:customStyle="1" w:styleId="Sous-titrecyan">
    <w:name w:val="Sous-titre cyan"/>
    <w:basedOn w:val="Normal"/>
    <w:link w:val="Sous-titrecyanCar"/>
    <w:qFormat/>
    <w:rsid w:val="00A13D32"/>
    <w:pPr>
      <w:spacing w:after="0" w:line="240" w:lineRule="auto"/>
    </w:pPr>
    <w:rPr>
      <w:rFonts w:ascii="Calibri" w:eastAsia="Calibri" w:hAnsi="Calibri" w:cs="Arial"/>
      <w:color w:val="00B0F0"/>
      <w:kern w:val="0"/>
      <w:sz w:val="24"/>
      <w:szCs w:val="24"/>
      <w14:ligatures w14:val="none"/>
    </w:rPr>
  </w:style>
  <w:style w:type="character" w:customStyle="1" w:styleId="Sous-titrecyanCar">
    <w:name w:val="Sous-titre cyan Car"/>
    <w:basedOn w:val="Policepardfaut"/>
    <w:link w:val="Sous-titrecyan"/>
    <w:rsid w:val="00A13D32"/>
    <w:rPr>
      <w:rFonts w:ascii="Calibri" w:eastAsia="Calibri" w:hAnsi="Calibri" w:cs="Arial"/>
      <w:color w:val="00B0F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367</Words>
  <Characters>2020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16</cp:revision>
  <dcterms:created xsi:type="dcterms:W3CDTF">2024-04-25T14:15:00Z</dcterms:created>
  <dcterms:modified xsi:type="dcterms:W3CDTF">2025-04-03T12:42:00Z</dcterms:modified>
</cp:coreProperties>
</file>