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6E62CE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6E62C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6E62C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417ABC76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6E62CE">
                  <w:rPr>
                    <w:b/>
                  </w:rPr>
                  <w:t>2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ECA76DB" w:rsidR="00AC04E8" w:rsidRDefault="00E542C5" w:rsidP="008B7189">
                <w:pPr>
                  <w:jc w:val="center"/>
                  <w:rPr>
                    <w:sz w:val="22"/>
                  </w:rPr>
                </w:pPr>
                <w:r w:rsidRPr="00E542C5">
                  <w:rPr>
                    <w:sz w:val="22"/>
                  </w:rPr>
                  <w:t xml:space="preserve">PRESTATIONS DE CONTROLE TECHNIQUE (CT) – ZONE </w:t>
                </w:r>
                <w:r w:rsidR="006E62CE">
                  <w:rPr>
                    <w:sz w:val="22"/>
                  </w:rPr>
                  <w:t>B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6D5AA00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2025061</w:t>
                </w:r>
                <w:r w:rsidR="006E62CE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6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6E62CE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6E62CE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6E62CE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Content>
                <w:r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44AAB"/>
    <w:rsid w:val="006858C6"/>
    <w:rsid w:val="006E62CE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5B3E"/>
    <w:rsid w:val="00976A71"/>
    <w:rsid w:val="00A3627C"/>
    <w:rsid w:val="00A5164B"/>
    <w:rsid w:val="00A674CE"/>
    <w:rsid w:val="00AC04E8"/>
    <w:rsid w:val="00AD1604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97175"/>
    <w:rsid w:val="00CC7DD3"/>
    <w:rsid w:val="00CF3D53"/>
    <w:rsid w:val="00D47DB5"/>
    <w:rsid w:val="00D930B6"/>
    <w:rsid w:val="00DD0F6A"/>
    <w:rsid w:val="00DE38B2"/>
    <w:rsid w:val="00E42434"/>
    <w:rsid w:val="00E51138"/>
    <w:rsid w:val="00E542C5"/>
    <w:rsid w:val="00F24CC7"/>
    <w:rsid w:val="00F370E6"/>
    <w:rsid w:val="00F567FA"/>
    <w:rsid w:val="00F56EE6"/>
    <w:rsid w:val="00F87F9B"/>
    <w:rsid w:val="00F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000000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000000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951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2025-02-28T10:46:00Z</dcterms:created>
  <dcterms:modified xsi:type="dcterms:W3CDTF">2025-02-28T10:46:00Z</dcterms:modified>
</cp:coreProperties>
</file>