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636" w:rsidRDefault="000B719C">
      <w:pPr>
        <w:ind w:right="658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1933575" cy="981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36" w:rsidRDefault="001D563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D5636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p w:rsidR="001D5636" w:rsidRDefault="001D5636">
      <w:pPr>
        <w:spacing w:after="120" w:line="240" w:lineRule="exact"/>
      </w:pPr>
    </w:p>
    <w:p w:rsidR="001D5636" w:rsidRDefault="000B719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D563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1D5636" w:rsidRDefault="000B719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dispositifs médicaux stériles IMPLANT OSSEUX D’ORIGINE HUMAINE - IMPLA</w:t>
            </w:r>
          </w:p>
          <w:p w:rsidR="001D5636" w:rsidRDefault="000B719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line="240" w:lineRule="exact"/>
      </w:pPr>
    </w:p>
    <w:p w:rsidR="001D5636" w:rsidRDefault="001D5636">
      <w:pPr>
        <w:spacing w:after="40" w:line="240" w:lineRule="exact"/>
      </w:pPr>
    </w:p>
    <w:p w:rsidR="001D5636" w:rsidRDefault="000B719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D5636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</w:tr>
      <w:tr w:rsidR="001D563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D563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</w:tr>
    </w:tbl>
    <w:p w:rsidR="001D5636" w:rsidRDefault="000B719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D5636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p w:rsidR="001D5636" w:rsidRDefault="001D5636">
      <w:pPr>
        <w:spacing w:after="100" w:line="240" w:lineRule="exact"/>
      </w:pPr>
    </w:p>
    <w:p w:rsidR="001D5636" w:rsidRDefault="001D563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1D5636" w:rsidRDefault="000B719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DU DOCTEUR SCHWEITZER</w:t>
      </w:r>
    </w:p>
    <w:p w:rsidR="001D5636" w:rsidRDefault="000B719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17019 LA ROCHELLE CEDEX</w:t>
      </w:r>
    </w:p>
    <w:p w:rsidR="001D5636" w:rsidRDefault="001D563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D5636">
          <w:pgSz w:w="11900" w:h="16840"/>
          <w:pgMar w:top="1400" w:right="1140" w:bottom="1440" w:left="1140" w:header="1400" w:footer="1440" w:gutter="0"/>
          <w:cols w:space="708"/>
        </w:sectPr>
      </w:pPr>
    </w:p>
    <w:p w:rsidR="001D5636" w:rsidRDefault="001D563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D5636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40" w:lineRule="exact"/>
              <w:rPr>
                <w:sz w:val="14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dispositifs médicaux stériles IMPLANT OSSEUX D’ORIGINE HUMAINE - IMPLA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40" w:lineRule="exact"/>
              <w:rPr>
                <w:sz w:val="14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40" w:lineRule="exact"/>
              <w:rPr>
                <w:sz w:val="14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40" w:lineRule="exact"/>
              <w:rPr>
                <w:sz w:val="14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40" w:lineRule="exact"/>
              <w:rPr>
                <w:sz w:val="14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40" w:lineRule="exact"/>
              <w:rPr>
                <w:sz w:val="14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80" w:lineRule="exact"/>
              <w:rPr>
                <w:sz w:val="18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40" w:lineRule="exact"/>
              <w:rPr>
                <w:sz w:val="14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D56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spacing w:line="140" w:lineRule="exact"/>
              <w:rPr>
                <w:sz w:val="14"/>
              </w:rPr>
            </w:pPr>
          </w:p>
          <w:p w:rsidR="001D5636" w:rsidRDefault="000B719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1D5636" w:rsidRDefault="001D5636">
      <w:pPr>
        <w:sectPr w:rsidR="001D5636">
          <w:pgSz w:w="11900" w:h="16840"/>
          <w:pgMar w:top="1440" w:right="1160" w:bottom="1440" w:left="1140" w:header="1440" w:footer="1440" w:gutter="0"/>
          <w:cols w:space="708"/>
        </w:sectPr>
      </w:pPr>
    </w:p>
    <w:p w:rsidR="001D5636" w:rsidRDefault="000B719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1D5636" w:rsidRDefault="001D5636">
      <w:pPr>
        <w:spacing w:after="80" w:line="240" w:lineRule="exact"/>
      </w:pPr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1D5636" w:rsidRDefault="000B719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D563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D5636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D56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IMPLANTS OSSEUX D’ORIGINE HUMAINE- tous types</w:t>
            </w:r>
          </w:p>
        </w:tc>
      </w:tr>
    </w:tbl>
    <w:p w:rsidR="001D5636" w:rsidRDefault="001D5636">
      <w:pPr>
        <w:sectPr w:rsidR="001D563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Membres du groupement de commandes :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CENTRE HOSPITALIER ROCHEFORT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GROUPE HOSPITALIER DE LA</w:t>
      </w:r>
      <w:r>
        <w:rPr>
          <w:color w:val="000000"/>
          <w:lang w:val="fr-FR"/>
        </w:rPr>
        <w:t xml:space="preserve"> ROCHELLE RE AUNIS</w:t>
      </w:r>
    </w:p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Valérie BENEAT-MARLIER, Directrice Générale du GH-Ré-Aunis</w:t>
      </w:r>
    </w:p>
    <w:p w:rsidR="001D5636" w:rsidRDefault="000B719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Valérie BENEAT-MARLIER, Directrice Générale du GH-Ré-Aunis</w:t>
      </w:r>
    </w:p>
    <w:p w:rsidR="001D5636" w:rsidRDefault="000B719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Hospitalière de La Rochelle</w:t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</w:t>
      </w:r>
      <w:r>
        <w:rPr>
          <w:color w:val="000000"/>
          <w:lang w:val="fr-FR"/>
        </w:rPr>
        <w:t>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mon offre et pour mon </w:t>
            </w:r>
            <w:r>
              <w:rPr>
                <w:color w:val="000000"/>
                <w:lang w:val="fr-FR"/>
              </w:rPr>
              <w:t>propre compte ;</w:t>
            </w:r>
          </w:p>
        </w:tc>
      </w:tr>
      <w:tr w:rsidR="001D56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D56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1D5636">
      <w:pPr>
        <w:sectPr w:rsidR="001D563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mandataire </w:t>
            </w:r>
            <w:r>
              <w:rPr>
                <w:color w:val="000000"/>
                <w:lang w:val="fr-FR"/>
              </w:rPr>
              <w:t>(Candidat groupé),</w:t>
            </w: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63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  <w:sectPr w:rsidR="001D563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</w:t>
      </w:r>
      <w:r>
        <w:rPr>
          <w:color w:val="000000"/>
          <w:lang w:val="fr-FR"/>
        </w:rPr>
        <w:t xml:space="preserve">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8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0B719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:rsidR="001D5636" w:rsidRDefault="000B719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1D5636" w:rsidRDefault="000B719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dispositifs médicaux stériles IMPLANT OSSEUX D’ORIGINE HUMAINE - IMPLA</w:t>
      </w:r>
    </w:p>
    <w:p w:rsidR="001D5636" w:rsidRDefault="001D563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PERIODE : 01/07/2025 au 30/06/2027</w:t>
      </w:r>
    </w:p>
    <w:p w:rsidR="001D5636" w:rsidRDefault="001D563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sera conclu pour une durée de 12 mois à partir du 01.07.2025 jusqu’au 30.06.2026 puis une reconduction tacite de 12 mois jus</w:t>
      </w:r>
      <w:r>
        <w:rPr>
          <w:color w:val="000000"/>
          <w:lang w:val="fr-FR"/>
        </w:rPr>
        <w:t>qu'au 30.06.2027</w:t>
      </w:r>
    </w:p>
    <w:p w:rsidR="001D5636" w:rsidRDefault="001D563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est un accord-cadre à bons de commandes mono-attributaire, sans minimum et avec un maximum de 220999 en euros.</w:t>
      </w:r>
    </w:p>
    <w:p w:rsidR="001D5636" w:rsidRDefault="001D563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réserve la possibilité de négocier aux minimums sur les 2 meilleures offres du classement</w:t>
      </w:r>
      <w:r>
        <w:rPr>
          <w:color w:val="000000"/>
          <w:lang w:val="fr-FR"/>
        </w:rPr>
        <w:t>.</w:t>
      </w:r>
    </w:p>
    <w:p w:rsidR="001D5636" w:rsidRDefault="001D563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font l'objet d'un seul lot.</w:t>
      </w:r>
    </w:p>
    <w:p w:rsidR="001D5636" w:rsidRDefault="000B719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1D5636" w:rsidRDefault="000B719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1D5636" w:rsidRDefault="000B719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1D5636" w:rsidRDefault="000B719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maximum est passé en application des articles L2125-1 1°, R. 2162-1 à R. 2162-6, R. 2162-13 et R. 2162-14 du Code de la commande publique. Il fixe les conditions d'exécution des prestations et s'exécute au fur et </w:t>
      </w:r>
      <w:r>
        <w:rPr>
          <w:color w:val="000000"/>
          <w:lang w:val="fr-FR"/>
        </w:rPr>
        <w:t>à mesure de l'émission de bons de commande.</w:t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</w:t>
      </w:r>
      <w:r>
        <w:rPr>
          <w:color w:val="000000"/>
          <w:lang w:val="fr-FR"/>
        </w:rPr>
        <w:t>e est défini(e) comme suit :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n°01 - IMPLANTS OSSEUX D’ORIGINE HUMAINE- tous types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1D56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1D56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220 999,00 €</w:t>
            </w:r>
          </w:p>
        </w:tc>
      </w:tr>
      <w:tr w:rsidR="001D56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220 999,00 €</w:t>
            </w: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D563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D563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D563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D563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636" w:rsidRDefault="000B71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1D5636" w:rsidRDefault="000B719C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  <w:sectPr w:rsidR="001D563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Durée de l'accord-cadre</w:t>
      </w:r>
      <w:bookmarkEnd w:id="18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</w:t>
      </w:r>
      <w:r>
        <w:rPr>
          <w:color w:val="000000"/>
          <w:lang w:val="fr-FR"/>
        </w:rPr>
        <w:t xml:space="preserve"> tout autre élément indispensable à leur exécution sont fixés dans les conditions du CCP.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d'urgence, le pouvoir adjudicateur pourra contacter les personnes désignées ci-après qui devront être en mesure de répondre et de satisfaire à leur demande 24 </w:t>
      </w:r>
      <w:r>
        <w:rPr>
          <w:color w:val="000000"/>
          <w:lang w:val="fr-FR"/>
        </w:rPr>
        <w:t>heures sur 24 :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1D5636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1D5636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1D563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1D563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1D563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:rsidR="001D5636" w:rsidRDefault="001D5636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1D563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1D563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1D563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:rsidR="001D5636" w:rsidRDefault="001D5636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1D563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1D563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1D563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D5636" w:rsidRDefault="000B719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:rsidR="001D5636" w:rsidRDefault="001D5636">
            <w:pPr>
              <w:rPr>
                <w:sz w:val="2"/>
              </w:rPr>
            </w:pP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</w:t>
      </w:r>
      <w:r>
        <w:rPr>
          <w:color w:val="000000"/>
          <w:lang w:val="fr-FR"/>
        </w:rPr>
        <w:t>porter le montant au crédit du ou des comptes suivants :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0B719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1D5636">
      <w:pPr>
        <w:sectPr w:rsidR="001D563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6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0B71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5636" w:rsidRDefault="001D56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un compte unique ouvert au nom du </w:t>
            </w:r>
            <w:r>
              <w:rPr>
                <w:color w:val="000000"/>
                <w:lang w:val="fr-FR"/>
              </w:rPr>
              <w:t>mandataire ;</w:t>
            </w: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D5636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</w:tbl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</w:t>
      </w:r>
      <w:r>
        <w:rPr>
          <w:color w:val="000000"/>
          <w:lang w:val="fr-FR"/>
        </w:rPr>
        <w:t>les dispositions du CCP s'appliquent.</w:t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1D5636" w:rsidRDefault="000B71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4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D563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D56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p w:rsidR="001D5636" w:rsidRDefault="000B719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6"/>
    </w:p>
    <w:p w:rsidR="001D5636" w:rsidRDefault="000B719C">
      <w:pPr>
        <w:spacing w:line="60" w:lineRule="exact"/>
        <w:rPr>
          <w:sz w:val="6"/>
        </w:rPr>
      </w:pPr>
      <w:r>
        <w:t xml:space="preserve"> 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</w:t>
      </w:r>
      <w:r>
        <w:rPr>
          <w:color w:val="000000"/>
          <w:lang w:val="fr-FR"/>
        </w:rPr>
        <w:t xml:space="preserve"> la (les) société(s) pour laquelle (lesquelles) j'interviens (nous intervenons) ne tombe(nt) pas sous le coup des interdictions découlant des articles L. 2141-1 à L. 2141-14 du Code de la commande publique.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</w:t>
      </w:r>
      <w:r>
        <w:rPr>
          <w:color w:val="000000"/>
          <w:lang w:val="fr-FR"/>
        </w:rPr>
        <w:t>lectroniquement)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1D5636" w:rsidRDefault="000B71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D5636" w:rsidRDefault="000B71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D5636" w:rsidRDefault="001D56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5636" w:rsidRDefault="000B71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:rsidR="001D5636" w:rsidRDefault="001D56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D563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:rsidR="001D5636" w:rsidRDefault="000B719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1D5636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D5636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1D5636" w:rsidRDefault="000B719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D56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implant osseux</w:t>
            </w:r>
          </w:p>
        </w:tc>
      </w:tr>
    </w:tbl>
    <w:p w:rsidR="001D5636" w:rsidRDefault="000B719C">
      <w:pPr>
        <w:spacing w:after="20" w:line="240" w:lineRule="exact"/>
      </w:pPr>
      <w:r>
        <w:t xml:space="preserve"> 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t xml:space="preserve"> .</w:t>
      </w:r>
    </w:p>
    <w:p w:rsidR="001D5636" w:rsidRDefault="000B71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</w:t>
      </w:r>
      <w:r>
        <w:rPr>
          <w:color w:val="000000"/>
          <w:lang w:val="fr-FR"/>
        </w:rPr>
        <w:t>........</w:t>
      </w:r>
    </w:p>
    <w:p w:rsidR="001D5636" w:rsidRDefault="000B719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D5636" w:rsidRDefault="000B71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1D5636" w:rsidRDefault="001D56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5636" w:rsidRDefault="001D56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5636" w:rsidRDefault="001D56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5636" w:rsidRDefault="001D56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5636" w:rsidRDefault="001D56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5636" w:rsidRDefault="001D563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1D5636" w:rsidRDefault="001D56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5636" w:rsidRDefault="000B71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</w:t>
      </w:r>
      <w:r>
        <w:rPr>
          <w:color w:val="000000"/>
          <w:lang w:val="fr-FR"/>
        </w:rPr>
        <w:t xml:space="preserve">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</w:t>
            </w:r>
          </w:p>
        </w:tc>
      </w:tr>
      <w:tr w:rsidR="001D5636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</w:tbl>
    <w:p w:rsidR="001D5636" w:rsidRDefault="000B71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</w:t>
            </w:r>
          </w:p>
        </w:tc>
      </w:tr>
      <w:tr w:rsidR="001D5636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</w:tbl>
    <w:p w:rsidR="001D5636" w:rsidRDefault="000B71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</w:t>
            </w:r>
            <w:r>
              <w:rPr>
                <w:color w:val="000000"/>
                <w:lang w:val="fr-FR"/>
              </w:rPr>
              <w:t>du paiement direct, est évaluée à (indiquer en chiffres et en lettres) :</w:t>
            </w:r>
          </w:p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</w:t>
            </w:r>
          </w:p>
        </w:tc>
      </w:tr>
      <w:tr w:rsidR="001D5636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</w:tbl>
    <w:p w:rsidR="001D5636" w:rsidRDefault="000B71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1D5636" w:rsidRDefault="000B71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</w:t>
            </w:r>
          </w:p>
        </w:tc>
      </w:tr>
      <w:tr w:rsidR="001D5636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</w:tbl>
    <w:p w:rsidR="001D5636" w:rsidRDefault="000B719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D56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1D5636" w:rsidRDefault="000B71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r>
        <w:rPr>
          <w:color w:val="000000"/>
          <w:lang w:val="fr-FR"/>
        </w:rPr>
        <w:t>. . . .</w:t>
      </w:r>
    </w:p>
    <w:p w:rsidR="001D5636" w:rsidRDefault="000B71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1D5636" w:rsidRDefault="001D56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5636" w:rsidRDefault="000B719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D5636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1D5636" w:rsidRDefault="001D5636">
      <w:pPr>
        <w:sectPr w:rsidR="001D5636">
          <w:footerReference w:type="default" r:id="rId24"/>
          <w:pgSz w:w="11900" w:h="16840"/>
          <w:pgMar w:top="1440" w:right="1140" w:bottom="1140" w:left="1140" w:header="1440" w:footer="1140" w:gutter="0"/>
          <w:cols w:space="708"/>
        </w:sectPr>
      </w:pPr>
    </w:p>
    <w:p w:rsidR="001D5636" w:rsidRDefault="000B719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1D5636" w:rsidRDefault="000B719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D563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1D5636" w:rsidRDefault="000B719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D56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5636" w:rsidRDefault="001D56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  <w:tr w:rsidR="001D56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5636" w:rsidRDefault="001D56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  <w:tr w:rsidR="001D56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………………………….….Code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APE…………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5636" w:rsidRDefault="001D56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  <w:tr w:rsidR="001D56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5636" w:rsidRDefault="001D56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  <w:tr w:rsidR="001D56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5636" w:rsidRDefault="000B71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5636" w:rsidRDefault="001D56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  <w:tr w:rsidR="001D563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0B719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636" w:rsidRDefault="001D5636"/>
        </w:tc>
      </w:tr>
    </w:tbl>
    <w:p w:rsidR="001D5636" w:rsidRDefault="001D5636"/>
    <w:sectPr w:rsidR="001D5636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B719C">
      <w:r>
        <w:separator/>
      </w:r>
    </w:p>
  </w:endnote>
  <w:endnote w:type="continuationSeparator" w:id="0">
    <w:p w:rsidR="00000000" w:rsidRDefault="000B7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6" w:rsidRDefault="001D56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56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IMPLA-2025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6" w:rsidRDefault="001D56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56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IMPLA-2025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6" w:rsidRDefault="000B71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1D5636" w:rsidRDefault="001D5636">
    <w:pPr>
      <w:spacing w:after="160" w:line="240" w:lineRule="exact"/>
    </w:pPr>
  </w:p>
  <w:p w:rsidR="001D5636" w:rsidRDefault="001D56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56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IMPLA-2025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6" w:rsidRDefault="000B71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1D5636" w:rsidRDefault="001D5636">
    <w:pPr>
      <w:spacing w:after="160" w:line="240" w:lineRule="exact"/>
    </w:pPr>
  </w:p>
  <w:p w:rsidR="001D5636" w:rsidRDefault="001D56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56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IMPLA-2025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6" w:rsidRDefault="001D56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56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IMPLA-2025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6" w:rsidRDefault="000B71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Cocher la case correspondant à votre situa</w:t>
    </w:r>
    <w:r>
      <w:rPr>
        <w:color w:val="000000"/>
        <w:sz w:val="16"/>
        <w:lang w:val="fr-FR"/>
      </w:rPr>
      <w:t xml:space="preserve">tion </w:t>
    </w:r>
  </w:p>
  <w:p w:rsidR="001D5636" w:rsidRDefault="000B71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:rsidR="001D5636" w:rsidRDefault="001D5636">
    <w:pPr>
      <w:spacing w:after="160" w:line="240" w:lineRule="exact"/>
    </w:pPr>
  </w:p>
  <w:p w:rsidR="001D5636" w:rsidRDefault="001D56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56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IMPLA-2025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6" w:rsidRDefault="000B71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D5636" w:rsidRDefault="001D5636">
    <w:pPr>
      <w:spacing w:after="160" w:line="240" w:lineRule="exact"/>
    </w:pPr>
  </w:p>
  <w:p w:rsidR="001D5636" w:rsidRDefault="001D56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56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IMPLA-2025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line="240" w:lineRule="exact"/>
    </w:pPr>
  </w:p>
  <w:p w:rsidR="001D5636" w:rsidRDefault="001D5636">
    <w:pPr>
      <w:spacing w:after="80" w:line="240" w:lineRule="exact"/>
    </w:pPr>
  </w:p>
  <w:p w:rsidR="001D5636" w:rsidRDefault="001D56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56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IMPLA-2025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D5636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IMPLA-2025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D5636" w:rsidRDefault="000B719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B719C">
      <w:r>
        <w:separator/>
      </w:r>
    </w:p>
  </w:footnote>
  <w:footnote w:type="continuationSeparator" w:id="0">
    <w:p w:rsidR="00000000" w:rsidRDefault="000B7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36"/>
    <w:rsid w:val="000B719C"/>
    <w:rsid w:val="001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5:docId w15:val="{E5BC4DA4-775D-41DF-968D-508A1401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1865</Words>
  <Characters>10261</Characters>
  <Application>Microsoft Office Word</Application>
  <DocSecurity>4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CHAZEAUD Nathalie</dc:creator>
  <cp:lastModifiedBy>CHAZEAUD Nathalie</cp:lastModifiedBy>
  <cp:revision>2</cp:revision>
  <dcterms:created xsi:type="dcterms:W3CDTF">2025-04-07T12:25:00Z</dcterms:created>
  <dcterms:modified xsi:type="dcterms:W3CDTF">2025-04-07T12:25:00Z</dcterms:modified>
</cp:coreProperties>
</file>