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2FE43" w14:textId="09EA1D73" w:rsidR="00284A38" w:rsidRDefault="00BD4A2C" w:rsidP="00284A38">
      <w:pPr>
        <w:widowControl w:val="0"/>
        <w:autoSpaceDE w:val="0"/>
        <w:autoSpaceDN w:val="0"/>
        <w:spacing w:before="48" w:after="0" w:line="240" w:lineRule="auto"/>
        <w:ind w:right="-8"/>
        <w:jc w:val="center"/>
        <w:rPr>
          <w:rFonts w:ascii="Arial" w:eastAsia="Arial MT" w:hAnsi="Arial MT" w:cs="Arial MT"/>
          <w:b/>
          <w:sz w:val="32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757877E0" wp14:editId="23C96C4C">
            <wp:simplePos x="0" y="0"/>
            <wp:positionH relativeFrom="column">
              <wp:posOffset>1270939</wp:posOffset>
            </wp:positionH>
            <wp:positionV relativeFrom="paragraph">
              <wp:posOffset>-478348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411820" w14:textId="77777777" w:rsidR="00284A38" w:rsidRDefault="00284A38" w:rsidP="00284A38">
      <w:pPr>
        <w:widowControl w:val="0"/>
        <w:autoSpaceDE w:val="0"/>
        <w:autoSpaceDN w:val="0"/>
        <w:spacing w:before="48" w:after="0" w:line="240" w:lineRule="auto"/>
        <w:ind w:right="1650"/>
        <w:jc w:val="center"/>
        <w:rPr>
          <w:rFonts w:ascii="Arial" w:eastAsia="Arial MT" w:hAnsi="Arial MT" w:cs="Arial MT"/>
          <w:b/>
          <w:sz w:val="32"/>
        </w:rPr>
      </w:pPr>
    </w:p>
    <w:p w14:paraId="2B47378D" w14:textId="77777777" w:rsidR="00284A38" w:rsidRDefault="00284A38" w:rsidP="00284A38">
      <w:pPr>
        <w:widowControl w:val="0"/>
        <w:autoSpaceDE w:val="0"/>
        <w:autoSpaceDN w:val="0"/>
        <w:spacing w:before="48" w:after="0" w:line="240" w:lineRule="auto"/>
        <w:ind w:right="1650"/>
        <w:jc w:val="center"/>
        <w:rPr>
          <w:rFonts w:ascii="Arial" w:eastAsia="Arial MT" w:hAnsi="Arial MT" w:cs="Arial MT"/>
          <w:b/>
          <w:sz w:val="32"/>
        </w:rPr>
      </w:pPr>
    </w:p>
    <w:p w14:paraId="605D62A1" w14:textId="77777777" w:rsidR="00284A38" w:rsidRPr="00524058" w:rsidRDefault="00284A38" w:rsidP="00284A38">
      <w:pPr>
        <w:spacing w:after="0"/>
        <w:jc w:val="center"/>
        <w:rPr>
          <w:rFonts w:ascii="Gotham Book" w:hAnsi="Gotham Book" w:cs="Century Gothic"/>
          <w:b/>
          <w:sz w:val="24"/>
          <w:szCs w:val="24"/>
        </w:rPr>
      </w:pPr>
    </w:p>
    <w:p w14:paraId="799DA795" w14:textId="2DBA4643" w:rsidR="00284A38" w:rsidRDefault="00C624B8" w:rsidP="00284A38">
      <w:pPr>
        <w:spacing w:after="0"/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CADRE DE MEMOIRE TECHNIQUE</w:t>
      </w:r>
    </w:p>
    <w:p w14:paraId="3032EAF4" w14:textId="25C818F3" w:rsidR="00284A38" w:rsidRDefault="00284A38" w:rsidP="00BD4A2C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  <w:r w:rsidRPr="00BD4A2C">
        <w:rPr>
          <w:rFonts w:ascii="Calibri" w:hAnsi="Calibri" w:cs="Calibri"/>
          <w:b/>
          <w:sz w:val="32"/>
          <w:szCs w:val="32"/>
        </w:rPr>
        <w:t>C.</w:t>
      </w:r>
      <w:r w:rsidR="00C624B8" w:rsidRPr="00BD4A2C">
        <w:rPr>
          <w:rFonts w:ascii="Calibri" w:hAnsi="Calibri" w:cs="Calibri"/>
          <w:b/>
          <w:sz w:val="32"/>
          <w:szCs w:val="32"/>
        </w:rPr>
        <w:t>M.T</w:t>
      </w:r>
    </w:p>
    <w:p w14:paraId="2BF8059D" w14:textId="77777777" w:rsidR="00BD4A2C" w:rsidRPr="00BD4A2C" w:rsidRDefault="00BD4A2C" w:rsidP="00284A38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</w:p>
    <w:p w14:paraId="28E65E5D" w14:textId="77777777" w:rsidR="00BD4A2C" w:rsidRPr="00AA61B4" w:rsidRDefault="00BD4A2C" w:rsidP="00BD4A2C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FF0000"/>
          <w:sz w:val="32"/>
          <w:szCs w:val="36"/>
        </w:rPr>
      </w:pPr>
      <w:r w:rsidRPr="00AA61B4">
        <w:rPr>
          <w:rFonts w:eastAsia="TimesNewRomanPSMT" w:cs="ArialMT"/>
          <w:b/>
          <w:color w:val="FF0000"/>
          <w:sz w:val="32"/>
          <w:szCs w:val="36"/>
        </w:rPr>
        <w:t>Remettre un CMT par lot soumissionné</w:t>
      </w:r>
    </w:p>
    <w:p w14:paraId="2C6C54CE" w14:textId="77777777" w:rsidR="00284A38" w:rsidRPr="00524058" w:rsidRDefault="00284A38" w:rsidP="00284A38">
      <w:pPr>
        <w:spacing w:after="0"/>
        <w:jc w:val="center"/>
        <w:rPr>
          <w:rFonts w:ascii="Gotham Book" w:hAnsi="Gotham Book" w:cs="Century Gothic"/>
          <w:b/>
          <w:sz w:val="24"/>
          <w:szCs w:val="24"/>
        </w:rPr>
      </w:pPr>
    </w:p>
    <w:p w14:paraId="36A00AFF" w14:textId="6582316F" w:rsidR="00BD4A2C" w:rsidRPr="00D00E33" w:rsidRDefault="00BD4A2C" w:rsidP="00BD4A2C">
      <w:pPr>
        <w:jc w:val="center"/>
      </w:pPr>
      <w:r w:rsidRPr="00D00E33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6B4CF4" wp14:editId="3D0C2709">
                <wp:simplePos x="0" y="0"/>
                <wp:positionH relativeFrom="column">
                  <wp:posOffset>-326693</wp:posOffset>
                </wp:positionH>
                <wp:positionV relativeFrom="paragraph">
                  <wp:posOffset>522577</wp:posOffset>
                </wp:positionV>
                <wp:extent cx="6448425" cy="1367624"/>
                <wp:effectExtent l="0" t="0" r="28575" b="234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367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BEBDA" w14:textId="77777777" w:rsidR="00BD4A2C" w:rsidRPr="00421806" w:rsidRDefault="00BD4A2C" w:rsidP="00BD4A2C">
                            <w:pPr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bookmarkStart w:id="0" w:name="_Hlk78282091"/>
                            <w:bookmarkStart w:id="1" w:name="_Hlk78282092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REHABILITATION DU BUREAU DES ENTREES ET RAFRAÎCHISSEMENT DU HALL D’ACCUEIL DU CENTRE HOSPITALIER UNIVERSITAIRE DE MARTINIQU</w:t>
                            </w:r>
                            <w:bookmarkEnd w:id="0"/>
                            <w:bookmarkEnd w:id="1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E (CHUM)</w:t>
                            </w:r>
                          </w:p>
                          <w:p w14:paraId="7AC3DE90" w14:textId="77777777" w:rsidR="00BD4A2C" w:rsidRPr="00421806" w:rsidRDefault="00BD4A2C" w:rsidP="00BD4A2C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B4C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7pt;margin-top:41.15pt;width:507.75pt;height:10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">
                <v:textbox inset=",5.3mm,,5.3mm">
                  <w:txbxContent>
                    <w:p w14:paraId="49EBEBDA" w14:textId="77777777" w:rsidR="00BD4A2C" w:rsidRPr="00421806" w:rsidRDefault="00BD4A2C" w:rsidP="00BD4A2C">
                      <w:pPr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  <w:bookmarkStart w:id="2" w:name="_Hlk78282091"/>
                      <w:bookmarkStart w:id="3" w:name="_Hlk78282092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REHABILITATION DU BUREAU DES ENTREES ET RAFRAÎCHISSEMENT DU HALL D’ACCUEIL DU CENTRE HOSPITALIER UNIVERSITAIRE DE MARTINIQU</w:t>
                      </w:r>
                      <w:bookmarkEnd w:id="2"/>
                      <w:bookmarkEnd w:id="3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E (CHUM)</w:t>
                      </w:r>
                    </w:p>
                    <w:p w14:paraId="7AC3DE90" w14:textId="77777777" w:rsidR="00BD4A2C" w:rsidRPr="00421806" w:rsidRDefault="00BD4A2C" w:rsidP="00BD4A2C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A38">
        <w:rPr>
          <w:noProof/>
        </w:rPr>
        <mc:AlternateContent>
          <mc:Choice Requires="wps">
            <w:drawing>
              <wp:anchor distT="0" distB="0" distL="90170" distR="90170" simplePos="0" relativeHeight="251657728" behindDoc="0" locked="0" layoutInCell="1" allowOverlap="1" wp14:anchorId="0CD75F74" wp14:editId="3D7594CC">
                <wp:simplePos x="0" y="0"/>
                <wp:positionH relativeFrom="page">
                  <wp:align>center</wp:align>
                </wp:positionH>
                <wp:positionV relativeFrom="paragraph">
                  <wp:posOffset>635</wp:posOffset>
                </wp:positionV>
                <wp:extent cx="13970" cy="160020"/>
                <wp:effectExtent l="0" t="0" r="0" b="0"/>
                <wp:wrapTopAndBottom/>
                <wp:docPr id="952894188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970" cy="160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ADDC23" w14:textId="77777777" w:rsidR="00284A38" w:rsidRDefault="00284A38" w:rsidP="00284A38">
                            <w:pPr>
                              <w:jc w:val="center"/>
                              <w:rPr>
                                <w:rFonts w:ascii="Century Gothic" w:hAnsi="Century Gothic" w:cs="Century Gothic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75F74" id="Zone de texte 1" o:spid="_x0000_s1027" type="#_x0000_t202" style="position:absolute;left:0;text-align:left;margin-left:0;margin-top:.05pt;width:1.1pt;height:12.6pt;z-index:251657728;visibility:visible;mso-wrap-style:square;mso-width-percent:0;mso-height-percent:0;mso-wrap-distance-left:7.1pt;mso-wrap-distance-top:0;mso-wrap-distance-right:7.1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" stroked="f">
                <v:fill opacity="0"/>
                <v:textbox inset="0,0,0,0">
                  <w:txbxContent>
                    <w:p w14:paraId="54ADDC23" w14:textId="77777777" w:rsidR="00284A38" w:rsidRDefault="00284A38" w:rsidP="00284A38">
                      <w:pPr>
                        <w:jc w:val="center"/>
                        <w:rPr>
                          <w:rFonts w:ascii="Century Gothic" w:hAnsi="Century Gothic" w:cs="Century Gothic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0A1901" w14:textId="1283CDFE" w:rsidR="00BD4A2C" w:rsidRDefault="00BD4A2C" w:rsidP="00BD4A2C">
      <w:pPr>
        <w:jc w:val="center"/>
      </w:pPr>
    </w:p>
    <w:p w14:paraId="638BE349" w14:textId="77777777" w:rsidR="00BD4A2C" w:rsidRPr="00D00E33" w:rsidRDefault="00BD4A2C" w:rsidP="00BD4A2C">
      <w:pPr>
        <w:jc w:val="center"/>
      </w:pPr>
    </w:p>
    <w:p w14:paraId="056DE960" w14:textId="77777777" w:rsidR="00BD4A2C" w:rsidRPr="00D00E33" w:rsidRDefault="00BD4A2C" w:rsidP="00BD4A2C">
      <w:pPr>
        <w:jc w:val="center"/>
      </w:pPr>
    </w:p>
    <w:p w14:paraId="649EA937" w14:textId="77777777" w:rsidR="00BD4A2C" w:rsidRPr="00D00E33" w:rsidRDefault="00BD4A2C" w:rsidP="00BD4A2C">
      <w:pPr>
        <w:jc w:val="center"/>
      </w:pPr>
    </w:p>
    <w:p w14:paraId="35CE9CAA" w14:textId="77777777" w:rsidR="00BD4A2C" w:rsidRPr="00D00E33" w:rsidRDefault="00BD4A2C" w:rsidP="00BD4A2C">
      <w:pPr>
        <w:jc w:val="center"/>
      </w:pPr>
    </w:p>
    <w:p w14:paraId="043971EF" w14:textId="3CB03C8F" w:rsidR="00284A38" w:rsidRPr="00BD4A2C" w:rsidRDefault="00BD4A2C" w:rsidP="00BD4A2C">
      <w:pPr>
        <w:jc w:val="center"/>
        <w:rPr>
          <w:b/>
          <w:bCs/>
          <w:sz w:val="28"/>
          <w:szCs w:val="28"/>
          <w:u w:val="single"/>
        </w:rPr>
      </w:pPr>
      <w:r w:rsidRPr="00BD4A2C">
        <w:rPr>
          <w:b/>
          <w:sz w:val="28"/>
          <w:szCs w:val="28"/>
        </w:rPr>
        <w:t>N° de consultation : DCE-2025-ATECK-049-GVL</w:t>
      </w:r>
    </w:p>
    <w:p w14:paraId="549EF5E8" w14:textId="77777777" w:rsidR="008215B1" w:rsidRPr="00D00E33" w:rsidRDefault="008215B1" w:rsidP="008215B1"/>
    <w:p w14:paraId="095587E3" w14:textId="52CFD32F" w:rsidR="00943E2C" w:rsidRPr="00BD4A2C" w:rsidRDefault="00233B76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  <w:r w:rsidRPr="00BD4A2C">
        <w:rPr>
          <w:rFonts w:eastAsia="Times New Roman" w:cstheme="minorHAnsi"/>
          <w:b/>
          <w:sz w:val="24"/>
          <w:szCs w:val="24"/>
          <w:u w:val="thick"/>
        </w:rPr>
        <w:t>N</w:t>
      </w:r>
      <w:r w:rsidR="00943E2C" w:rsidRPr="00BD4A2C">
        <w:rPr>
          <w:rFonts w:eastAsia="Times New Roman" w:cstheme="minorHAnsi"/>
          <w:b/>
          <w:sz w:val="24"/>
          <w:szCs w:val="24"/>
          <w:u w:val="thick"/>
        </w:rPr>
        <w:t>om du candidat</w:t>
      </w:r>
      <w:r w:rsidR="00943E2C" w:rsidRPr="00BD4A2C">
        <w:rPr>
          <w:rFonts w:eastAsia="Times New Roman" w:cstheme="minorHAnsi"/>
          <w:b/>
          <w:sz w:val="24"/>
          <w:szCs w:val="24"/>
        </w:rPr>
        <w:t> :</w:t>
      </w:r>
      <w:r w:rsidR="00943E2C" w:rsidRPr="00BD4A2C">
        <w:rPr>
          <w:rFonts w:eastAsia="Times New Roman" w:cstheme="minorHAnsi"/>
          <w:b/>
          <w:sz w:val="24"/>
          <w:szCs w:val="24"/>
          <w:u w:val="thick"/>
        </w:rPr>
        <w:t xml:space="preserve"> </w:t>
      </w:r>
    </w:p>
    <w:p w14:paraId="3DD8846E" w14:textId="6FDBAC89" w:rsidR="008F2E38" w:rsidRDefault="00DA53EB" w:rsidP="00943E2C">
      <w:pPr>
        <w:widowControl w:val="0"/>
        <w:spacing w:after="0" w:line="240" w:lineRule="auto"/>
        <w:rPr>
          <w:rFonts w:eastAsia="Times New Roman" w:cstheme="minorHAnsi"/>
          <w:bCs/>
          <w:szCs w:val="20"/>
        </w:rPr>
      </w:pPr>
      <w:r w:rsidRPr="00DA53EB">
        <w:rPr>
          <w:rFonts w:eastAsia="Times New Roman" w:cstheme="minorHAnsi"/>
          <w:bCs/>
          <w:szCs w:val="20"/>
          <w:highlight w:val="yellow"/>
        </w:rPr>
        <w:t>(</w:t>
      </w:r>
      <w:proofErr w:type="gramStart"/>
      <w:r w:rsidRPr="00DA53EB">
        <w:rPr>
          <w:rFonts w:eastAsia="Times New Roman" w:cstheme="minorHAnsi"/>
          <w:bCs/>
          <w:szCs w:val="20"/>
          <w:highlight w:val="yellow"/>
        </w:rPr>
        <w:t>à</w:t>
      </w:r>
      <w:proofErr w:type="gramEnd"/>
      <w:r w:rsidRPr="00DA53EB">
        <w:rPr>
          <w:rFonts w:eastAsia="Times New Roman" w:cstheme="minorHAnsi"/>
          <w:bCs/>
          <w:szCs w:val="20"/>
          <w:highlight w:val="yellow"/>
        </w:rPr>
        <w:t xml:space="preserve"> préciser)</w:t>
      </w:r>
    </w:p>
    <w:p w14:paraId="767471F1" w14:textId="77777777" w:rsidR="00DA53EB" w:rsidRPr="00DA53EB" w:rsidRDefault="00DA53EB" w:rsidP="00943E2C">
      <w:pPr>
        <w:widowControl w:val="0"/>
        <w:spacing w:after="0" w:line="240" w:lineRule="auto"/>
        <w:rPr>
          <w:rFonts w:eastAsia="Times New Roman" w:cstheme="minorHAnsi"/>
          <w:bCs/>
          <w:szCs w:val="20"/>
        </w:rPr>
      </w:pPr>
    </w:p>
    <w:p w14:paraId="047F36C5" w14:textId="367258FE" w:rsidR="008F2E38" w:rsidRPr="00BD4A2C" w:rsidRDefault="008F2E38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  <w:r w:rsidRPr="00284A38">
        <w:rPr>
          <w:rFonts w:eastAsia="Times New Roman" w:cstheme="minorHAnsi"/>
          <w:b/>
          <w:color w:val="FF0000"/>
          <w:sz w:val="32"/>
          <w:szCs w:val="28"/>
          <w:u w:val="thick"/>
        </w:rPr>
        <w:t>Lot concerné</w:t>
      </w:r>
      <w:r w:rsidRPr="00284A38">
        <w:rPr>
          <w:rFonts w:eastAsia="Times New Roman" w:cstheme="minorHAnsi"/>
          <w:bCs/>
          <w:color w:val="FF0000"/>
          <w:sz w:val="32"/>
          <w:szCs w:val="28"/>
        </w:rPr>
        <w:t> </w:t>
      </w:r>
      <w:r w:rsidRPr="00284A38">
        <w:rPr>
          <w:rFonts w:eastAsia="Times New Roman" w:cstheme="minorHAnsi"/>
          <w:bCs/>
          <w:sz w:val="32"/>
          <w:szCs w:val="28"/>
        </w:rPr>
        <w:t>:</w:t>
      </w:r>
      <w:r w:rsidRPr="00284A38">
        <w:rPr>
          <w:rFonts w:eastAsia="Times New Roman" w:cstheme="minorHAnsi"/>
          <w:b/>
          <w:sz w:val="32"/>
          <w:szCs w:val="28"/>
          <w:u w:val="thick"/>
        </w:rPr>
        <w:t xml:space="preserve"> </w:t>
      </w:r>
    </w:p>
    <w:p w14:paraId="00809F70" w14:textId="119E2F9D" w:rsidR="00284A38" w:rsidRPr="00DA53EB" w:rsidRDefault="00DA53EB" w:rsidP="00943E2C">
      <w:pPr>
        <w:widowControl w:val="0"/>
        <w:spacing w:after="0" w:line="240" w:lineRule="auto"/>
        <w:rPr>
          <w:rFonts w:eastAsia="Times New Roman" w:cstheme="minorHAnsi"/>
          <w:bCs/>
          <w:szCs w:val="20"/>
          <w:highlight w:val="yellow"/>
        </w:rPr>
      </w:pPr>
      <w:r w:rsidRPr="00DA53EB">
        <w:rPr>
          <w:rFonts w:eastAsia="Times New Roman" w:cstheme="minorHAnsi"/>
          <w:bCs/>
          <w:szCs w:val="20"/>
          <w:highlight w:val="yellow"/>
        </w:rPr>
        <w:t>(</w:t>
      </w:r>
      <w:proofErr w:type="gramStart"/>
      <w:r w:rsidRPr="00DA53EB">
        <w:rPr>
          <w:rFonts w:eastAsia="Times New Roman" w:cstheme="minorHAnsi"/>
          <w:bCs/>
          <w:szCs w:val="20"/>
          <w:highlight w:val="yellow"/>
        </w:rPr>
        <w:t>à</w:t>
      </w:r>
      <w:proofErr w:type="gramEnd"/>
      <w:r w:rsidRPr="00DA53EB">
        <w:rPr>
          <w:rFonts w:eastAsia="Times New Roman" w:cstheme="minorHAnsi"/>
          <w:bCs/>
          <w:szCs w:val="20"/>
          <w:highlight w:val="yellow"/>
        </w:rPr>
        <w:t xml:space="preserve"> préciser)</w:t>
      </w:r>
    </w:p>
    <w:p w14:paraId="314AC74A" w14:textId="77777777" w:rsidR="00943E2C" w:rsidRPr="00284A38" w:rsidRDefault="00943E2C" w:rsidP="00943E2C">
      <w:pPr>
        <w:widowControl w:val="0"/>
        <w:spacing w:after="0" w:line="240" w:lineRule="auto"/>
        <w:rPr>
          <w:rFonts w:eastAsia="Times New Roman" w:cstheme="minorHAnsi"/>
        </w:rPr>
      </w:pPr>
    </w:p>
    <w:p w14:paraId="6184A0D0" w14:textId="55DE8455" w:rsidR="00C132CD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 w:rsidRPr="00284A38">
        <w:rPr>
          <w:rFonts w:eastAsia="Times New Roman" w:cstheme="minorHAnsi"/>
          <w:bCs/>
        </w:rPr>
        <w:t>Ce</w:t>
      </w:r>
      <w:r w:rsidRPr="00284A38">
        <w:rPr>
          <w:rFonts w:eastAsia="Times New Roman" w:cstheme="minorHAnsi"/>
          <w:b/>
          <w:bCs/>
        </w:rPr>
        <w:t xml:space="preserve"> </w:t>
      </w:r>
      <w:r w:rsidRPr="00284A38">
        <w:rPr>
          <w:rFonts w:eastAsia="Times New Roman" w:cstheme="minorHAnsi"/>
          <w:bCs/>
        </w:rPr>
        <w:t>document contractuel</w:t>
      </w:r>
      <w:r w:rsidRPr="00284A38">
        <w:rPr>
          <w:rFonts w:eastAsia="Times New Roman" w:cstheme="minorHAnsi"/>
          <w:b/>
          <w:bCs/>
        </w:rPr>
        <w:t xml:space="preserve"> permettra </w:t>
      </w:r>
      <w:r w:rsidRPr="00BD4A2C">
        <w:rPr>
          <w:rFonts w:eastAsia="Times New Roman" w:cstheme="minorHAnsi"/>
          <w:b/>
          <w:bCs/>
        </w:rPr>
        <w:t xml:space="preserve">au soumissionnaire de </w:t>
      </w:r>
      <w:r w:rsidR="00925826" w:rsidRPr="00BD4A2C">
        <w:rPr>
          <w:rFonts w:eastAsia="Times New Roman" w:cstheme="minorHAnsi"/>
          <w:b/>
          <w:bCs/>
        </w:rPr>
        <w:t>répondre</w:t>
      </w:r>
      <w:r w:rsidR="00BD4A2C">
        <w:rPr>
          <w:rFonts w:eastAsia="Times New Roman" w:cstheme="minorHAnsi"/>
          <w:b/>
          <w:bCs/>
        </w:rPr>
        <w:t xml:space="preserve"> </w:t>
      </w:r>
      <w:r w:rsidR="00925826" w:rsidRPr="00BD4A2C">
        <w:rPr>
          <w:rFonts w:eastAsia="Times New Roman" w:cstheme="minorHAnsi"/>
          <w:b/>
          <w:bCs/>
        </w:rPr>
        <w:t>au critère n°2</w:t>
      </w:r>
      <w:r w:rsidR="00C132CD" w:rsidRPr="00BD4A2C">
        <w:rPr>
          <w:rFonts w:eastAsia="Times New Roman" w:cstheme="minorHAnsi"/>
          <w:b/>
          <w:bCs/>
        </w:rPr>
        <w:t xml:space="preserve"> « Valeur technique »</w:t>
      </w:r>
      <w:r w:rsidR="00284A38" w:rsidRPr="00BD4A2C">
        <w:rPr>
          <w:rFonts w:eastAsia="Times New Roman" w:cstheme="minorHAnsi"/>
          <w:b/>
          <w:bCs/>
        </w:rPr>
        <w:t xml:space="preserve"> jugé sur </w:t>
      </w:r>
      <w:r w:rsidR="00BD4A2C" w:rsidRPr="00BD4A2C">
        <w:rPr>
          <w:rFonts w:eastAsia="Times New Roman" w:cstheme="minorHAnsi"/>
          <w:b/>
          <w:bCs/>
        </w:rPr>
        <w:t>6</w:t>
      </w:r>
      <w:r w:rsidR="00284A38" w:rsidRPr="00BD4A2C">
        <w:rPr>
          <w:rFonts w:eastAsia="Times New Roman" w:cstheme="minorHAnsi"/>
          <w:b/>
          <w:bCs/>
        </w:rPr>
        <w:t>0 points</w:t>
      </w:r>
      <w:r w:rsidR="00BD4A2C">
        <w:rPr>
          <w:rFonts w:eastAsia="Times New Roman" w:cstheme="minorHAnsi"/>
          <w:b/>
          <w:bCs/>
        </w:rPr>
        <w:t xml:space="preserve"> sur les sous-critères suivants :</w:t>
      </w:r>
    </w:p>
    <w:p w14:paraId="7203826E" w14:textId="07478810" w:rsidR="00BD4A2C" w:rsidRPr="00BD4A2C" w:rsidRDefault="00BD4A2C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 w:rsidRPr="0076340B">
        <w:rPr>
          <w:rFonts w:cstheme="minorHAnsi"/>
        </w:rPr>
        <w:t>Qualité des moyens humains</w:t>
      </w:r>
      <w:r>
        <w:rPr>
          <w:rFonts w:cstheme="minorHAnsi"/>
        </w:rPr>
        <w:t xml:space="preserve"> et pertinence de la méthodologie organisationnelle, jugé sur 20 points</w:t>
      </w:r>
    </w:p>
    <w:p w14:paraId="38049B33" w14:textId="0953375F" w:rsidR="00BD4A2C" w:rsidRPr="00BD4A2C" w:rsidRDefault="00BD4A2C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>
        <w:rPr>
          <w:rFonts w:cstheme="minorHAnsi"/>
        </w:rPr>
        <w:t>Réactivité pour exécuter le chantier, jugé sur 20 points</w:t>
      </w:r>
    </w:p>
    <w:p w14:paraId="1B1D9EED" w14:textId="5FDE4055" w:rsidR="00BD4A2C" w:rsidRPr="00BD4A2C" w:rsidRDefault="00BD4A2C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 w:rsidRPr="0076340B">
        <w:rPr>
          <w:rFonts w:cstheme="minorHAnsi"/>
        </w:rPr>
        <w:t xml:space="preserve">Qualité des moyens </w:t>
      </w:r>
      <w:r>
        <w:rPr>
          <w:rFonts w:cstheme="minorHAnsi"/>
        </w:rPr>
        <w:t>techniques et pertinence de la méthodologie organisationnelle, jugé sur 10 points</w:t>
      </w:r>
    </w:p>
    <w:p w14:paraId="3C9AD246" w14:textId="353FA5F4" w:rsidR="00BD4A2C" w:rsidRPr="00BD4A2C" w:rsidRDefault="00BD4A2C" w:rsidP="00BD4A2C">
      <w:pPr>
        <w:pStyle w:val="Paragraphedeliste"/>
        <w:widowControl w:val="0"/>
        <w:numPr>
          <w:ilvl w:val="0"/>
          <w:numId w:val="16"/>
        </w:numPr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>
        <w:rPr>
          <w:rFonts w:cstheme="minorHAnsi"/>
          <w:bCs/>
        </w:rPr>
        <w:t>Pertinence des modes de gestion des déchets, jugé sur 10 points</w:t>
      </w:r>
    </w:p>
    <w:p w14:paraId="554D0C28" w14:textId="77777777" w:rsidR="006E3E81" w:rsidRPr="00284A38" w:rsidRDefault="006E3E81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  <w:u w:val="single"/>
        </w:rPr>
      </w:pPr>
    </w:p>
    <w:p w14:paraId="1CCC21B9" w14:textId="3EEE4154" w:rsidR="00943E2C" w:rsidRPr="00284A38" w:rsidRDefault="00925826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eastAsia="Times New Roman" w:cstheme="minorHAnsi"/>
          <w:b/>
          <w:bCs/>
        </w:rPr>
      </w:pPr>
      <w:r w:rsidRPr="00284A38">
        <w:rPr>
          <w:rFonts w:eastAsia="Times New Roman" w:cstheme="minorHAnsi"/>
          <w:b/>
          <w:bCs/>
          <w:u w:val="single"/>
        </w:rPr>
        <w:t>Ce cadre est à remplir obligatoirement en lieu et place d’un mémoire technique.</w:t>
      </w:r>
    </w:p>
    <w:p w14:paraId="5E3686C1" w14:textId="77777777" w:rsidR="00943E2C" w:rsidRPr="00284A38" w:rsidRDefault="00943E2C" w:rsidP="00943E2C">
      <w:pPr>
        <w:widowControl w:val="0"/>
        <w:spacing w:after="0" w:line="240" w:lineRule="auto"/>
        <w:jc w:val="both"/>
        <w:rPr>
          <w:rFonts w:eastAsia="Times New Roman" w:cstheme="minorHAnsi"/>
        </w:rPr>
      </w:pPr>
    </w:p>
    <w:p w14:paraId="6CDC7E11" w14:textId="54376BF3" w:rsidR="003849AD" w:rsidRPr="00284A38" w:rsidRDefault="00943E2C" w:rsidP="00943E2C">
      <w:pPr>
        <w:widowControl w:val="0"/>
        <w:spacing w:after="0" w:line="240" w:lineRule="auto"/>
        <w:jc w:val="both"/>
        <w:rPr>
          <w:rFonts w:eastAsia="Times New Roman" w:cstheme="minorHAnsi"/>
        </w:rPr>
      </w:pPr>
      <w:r w:rsidRPr="00284A38">
        <w:rPr>
          <w:rFonts w:eastAsia="Times New Roman" w:cstheme="minorHAnsi"/>
        </w:rPr>
        <w:t xml:space="preserve">Le soumissionnaire </w:t>
      </w:r>
      <w:r w:rsidR="00233B76" w:rsidRPr="00284A38">
        <w:rPr>
          <w:rFonts w:eastAsia="Times New Roman" w:cstheme="minorHAnsi"/>
        </w:rPr>
        <w:t>pourra joindre</w:t>
      </w:r>
      <w:r w:rsidRPr="00284A38">
        <w:rPr>
          <w:rFonts w:eastAsia="Times New Roman" w:cstheme="minorHAnsi"/>
        </w:rPr>
        <w:t xml:space="preserve"> à son offre toute documentation </w:t>
      </w:r>
      <w:r w:rsidR="00233B76" w:rsidRPr="00284A38">
        <w:rPr>
          <w:rFonts w:eastAsia="Times New Roman" w:cstheme="minorHAnsi"/>
        </w:rPr>
        <w:t xml:space="preserve">complémentaire </w:t>
      </w:r>
      <w:r w:rsidRPr="00284A38">
        <w:rPr>
          <w:rFonts w:eastAsia="Times New Roman" w:cstheme="minorHAnsi"/>
        </w:rPr>
        <w:t>mettant en valeur s</w:t>
      </w:r>
      <w:r w:rsidR="003B1DEB" w:rsidRPr="00284A38">
        <w:rPr>
          <w:rFonts w:eastAsia="Times New Roman" w:cstheme="minorHAnsi"/>
        </w:rPr>
        <w:t>on savoir-faire</w:t>
      </w:r>
      <w:r w:rsidR="00925826" w:rsidRPr="00284A38">
        <w:rPr>
          <w:rFonts w:eastAsia="Times New Roman" w:cstheme="minorHAnsi"/>
        </w:rPr>
        <w:t>.</w:t>
      </w:r>
    </w:p>
    <w:p w14:paraId="4DD4EBF2" w14:textId="77777777" w:rsidR="00233B76" w:rsidRDefault="00233B7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233B76" w:rsidSect="00233B76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7"/>
        <w:gridCol w:w="10917"/>
      </w:tblGrid>
      <w:tr w:rsidR="00925826" w14:paraId="0FEC0660" w14:textId="77777777" w:rsidTr="00925826">
        <w:trPr>
          <w:trHeight w:val="9355"/>
        </w:trPr>
        <w:tc>
          <w:tcPr>
            <w:tcW w:w="3227" w:type="dxa"/>
            <w:vAlign w:val="center"/>
          </w:tcPr>
          <w:p w14:paraId="7E5BCA36" w14:textId="79A46BD3" w:rsidR="006E3E81" w:rsidRPr="00233B76" w:rsidRDefault="00925826" w:rsidP="00233B76">
            <w:pPr>
              <w:widowControl w:val="0"/>
              <w:rPr>
                <w:rFonts w:eastAsia="Times New Roman" w:cstheme="minorHAnsi"/>
                <w:bCs/>
                <w:sz w:val="24"/>
                <w:szCs w:val="24"/>
              </w:rPr>
            </w:pPr>
            <w:r w:rsidRPr="00233B7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Sous-critère </w:t>
            </w:r>
            <w:r w:rsidR="008215B1" w:rsidRPr="00233B76">
              <w:rPr>
                <w:rFonts w:eastAsia="Times New Roman" w:cstheme="minorHAnsi"/>
                <w:b/>
                <w:sz w:val="24"/>
                <w:szCs w:val="24"/>
              </w:rPr>
              <w:t>1</w:t>
            </w:r>
            <w:r w:rsidR="00233B76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>:</w:t>
            </w:r>
            <w:r w:rsidR="00233B7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="00BD4A2C" w:rsidRPr="00BD4A2C">
              <w:rPr>
                <w:rFonts w:eastAsia="Times New Roman" w:cstheme="minorHAnsi"/>
                <w:b/>
                <w:sz w:val="24"/>
                <w:szCs w:val="24"/>
              </w:rPr>
              <w:t>Qualité des moyens humains affectés au marché et pertinence de la méthodologie organisationnelle mise en place</w:t>
            </w:r>
          </w:p>
          <w:p w14:paraId="4627B225" w14:textId="7BE9FF64" w:rsidR="006E3E81" w:rsidRDefault="006E3E81" w:rsidP="006E3E81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18C950AF" w14:textId="77777777" w:rsidR="00BD4A2C" w:rsidRP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>Nombre et qualité des effectifs dédiés à l’exécution des chantiers</w:t>
            </w:r>
          </w:p>
          <w:p w14:paraId="7E2916F9" w14:textId="77777777" w:rsidR="00BD4A2C" w:rsidRP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 xml:space="preserve">Qualifications, compétences et expériences de ces personnels </w:t>
            </w:r>
          </w:p>
          <w:p w14:paraId="096340A7" w14:textId="77777777" w:rsid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>Organisation adoptée entre les intervenants (répartition des compétences, organisation entre le titulaire principal et ses éventuels cotraitants/sous-traitants)</w:t>
            </w:r>
          </w:p>
          <w:p w14:paraId="394F9935" w14:textId="546ED1D6" w:rsidR="00156588" w:rsidRPr="00BD4A2C" w:rsidRDefault="00156588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Prise en compte des contraintes pour des interventions en site en occupé</w:t>
            </w:r>
          </w:p>
          <w:p w14:paraId="5926887B" w14:textId="6247DB3A" w:rsidR="000F70C5" w:rsidRDefault="000F70C5" w:rsidP="000F70C5">
            <w:pPr>
              <w:widowControl w:val="0"/>
              <w:rPr>
                <w:rFonts w:cs="Calibri"/>
                <w:sz w:val="28"/>
                <w:szCs w:val="28"/>
              </w:rPr>
            </w:pPr>
          </w:p>
          <w:p w14:paraId="11108284" w14:textId="77777777" w:rsidR="00156588" w:rsidRDefault="00156588" w:rsidP="000F70C5">
            <w:pPr>
              <w:widowControl w:val="0"/>
              <w:rPr>
                <w:rFonts w:eastAsia="Times New Roman" w:cstheme="minorHAnsi"/>
                <w:color w:val="000000"/>
                <w:u w:val="single"/>
                <w:lang w:eastAsia="fr-FR"/>
              </w:rPr>
            </w:pPr>
          </w:p>
          <w:p w14:paraId="2A99E04B" w14:textId="43117DB6" w:rsidR="000F70C5" w:rsidRDefault="007362D4" w:rsidP="000F70C5">
            <w:pPr>
              <w:widowControl w:val="0"/>
              <w:rPr>
                <w:rFonts w:eastAsia="Times New Roman" w:cstheme="minorHAnsi"/>
                <w:color w:val="000000"/>
                <w:u w:val="single"/>
                <w:lang w:eastAsia="fr-FR"/>
              </w:rPr>
            </w:pPr>
            <w:r w:rsidRPr="00C624B8">
              <w:rPr>
                <w:rFonts w:eastAsia="Times New Roman" w:cstheme="minorHAnsi"/>
                <w:color w:val="000000"/>
                <w:u w:val="single"/>
                <w:lang w:eastAsia="fr-FR"/>
              </w:rPr>
              <w:t xml:space="preserve">Les CV détaillés de chaque </w:t>
            </w:r>
            <w:r w:rsidR="00BD4A2C">
              <w:rPr>
                <w:rFonts w:eastAsia="Times New Roman" w:cstheme="minorHAnsi"/>
                <w:color w:val="000000"/>
                <w:u w:val="single"/>
                <w:lang w:eastAsia="fr-FR"/>
              </w:rPr>
              <w:t>intervenant dédié</w:t>
            </w:r>
            <w:r w:rsidRPr="00C624B8">
              <w:rPr>
                <w:rFonts w:eastAsia="Times New Roman" w:cstheme="minorHAnsi"/>
                <w:color w:val="000000"/>
                <w:u w:val="single"/>
                <w:lang w:eastAsia="fr-FR"/>
              </w:rPr>
              <w:t xml:space="preserve"> doivent être joints au CMT</w:t>
            </w:r>
            <w:r w:rsidR="00BD4A2C">
              <w:rPr>
                <w:rFonts w:eastAsia="Times New Roman" w:cstheme="minorHAnsi"/>
                <w:color w:val="000000"/>
                <w:u w:val="single"/>
                <w:lang w:eastAsia="fr-FR"/>
              </w:rPr>
              <w:t xml:space="preserve"> ainsi que leurs habilitations.</w:t>
            </w:r>
          </w:p>
          <w:p w14:paraId="0F1F18AA" w14:textId="77777777" w:rsidR="00BD4A2C" w:rsidRDefault="00BD4A2C" w:rsidP="000F70C5">
            <w:pPr>
              <w:widowControl w:val="0"/>
              <w:rPr>
                <w:rFonts w:eastAsia="Times New Roman" w:cstheme="minorHAnsi"/>
                <w:color w:val="000000"/>
                <w:u w:val="single"/>
                <w:lang w:eastAsia="fr-FR"/>
              </w:rPr>
            </w:pPr>
          </w:p>
          <w:p w14:paraId="61A0FF7D" w14:textId="510C5F36" w:rsidR="00BD4A2C" w:rsidRPr="00AE25B9" w:rsidRDefault="00BD4A2C" w:rsidP="000F70C5">
            <w:pPr>
              <w:widowControl w:val="0"/>
              <w:rPr>
                <w:rFonts w:eastAsia="Times New Roman" w:cstheme="minorHAnsi"/>
                <w:color w:val="000000"/>
                <w:u w:val="single"/>
                <w:lang w:eastAsia="fr-FR"/>
              </w:rPr>
            </w:pPr>
            <w:r>
              <w:rPr>
                <w:rFonts w:eastAsia="Times New Roman" w:cstheme="minorHAnsi"/>
                <w:color w:val="000000"/>
                <w:u w:val="single"/>
                <w:lang w:eastAsia="fr-FR"/>
              </w:rPr>
              <w:lastRenderedPageBreak/>
              <w:t>Un organigramme détaillé doit également être intégré au CMT.</w:t>
            </w:r>
          </w:p>
          <w:p w14:paraId="3AEDC591" w14:textId="05B55600" w:rsidR="000F70C5" w:rsidRDefault="000F70C5" w:rsidP="000F70C5">
            <w:pPr>
              <w:widowControl w:val="0"/>
              <w:rPr>
                <w:rFonts w:cs="Calibri"/>
                <w:sz w:val="28"/>
                <w:szCs w:val="28"/>
              </w:rPr>
            </w:pPr>
          </w:p>
          <w:p w14:paraId="5D1063A3" w14:textId="77777777" w:rsidR="000F70C5" w:rsidRDefault="000F70C5" w:rsidP="000F70C5">
            <w:pPr>
              <w:widowControl w:val="0"/>
              <w:rPr>
                <w:rFonts w:ascii="Trebuchet MS" w:hAnsi="Trebuchet MS"/>
                <w:sz w:val="28"/>
                <w:szCs w:val="28"/>
              </w:rPr>
            </w:pPr>
          </w:p>
          <w:p w14:paraId="0D0657FD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5007EAE3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35F76BE5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57A41FCC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073C7617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339177DC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706E02F6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5CBFA69D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0C3E846A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74C62880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0B99B974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0EE44524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5233CC7C" w14:textId="77777777" w:rsid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1B158512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1F12F5C2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610B1A83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13D012B8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0F5624FB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7501C7DD" w14:textId="77777777" w:rsid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78EFC5D0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7967BE42" w14:textId="77777777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03BA5B41" w14:textId="77777777" w:rsid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2C3BFE06" w14:textId="77777777" w:rsid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428D4962" w14:textId="5F0586BE" w:rsidR="00156588" w:rsidRPr="00156588" w:rsidRDefault="00156588" w:rsidP="00156588">
            <w:pPr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917" w:type="dxa"/>
          </w:tcPr>
          <w:p w14:paraId="75BDF796" w14:textId="4425B8AD" w:rsidR="00925826" w:rsidRPr="00233B76" w:rsidRDefault="00925826" w:rsidP="00AC58BD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33B76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Réponse du candidat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="00BD4A2C" w:rsidRPr="00BD4A2C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5</w:t>
            </w:r>
            <w:r w:rsidRPr="00233B76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 </w:t>
            </w:r>
            <w:r w:rsidRPr="00233B76">
              <w:rPr>
                <w:rFonts w:eastAsia="Times New Roman" w:cstheme="minorHAnsi"/>
                <w:b/>
                <w:sz w:val="24"/>
                <w:szCs w:val="24"/>
              </w:rPr>
              <w:t>– hors CV</w:t>
            </w:r>
            <w:r w:rsidR="00BD4A2C">
              <w:rPr>
                <w:rFonts w:eastAsia="Times New Roman" w:cstheme="minorHAnsi"/>
                <w:b/>
                <w:sz w:val="24"/>
                <w:szCs w:val="24"/>
              </w:rPr>
              <w:t xml:space="preserve"> et habilitations diverses</w:t>
            </w:r>
            <w:r w:rsidRPr="00C624B8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  <w:p w14:paraId="41450560" w14:textId="57F507DA" w:rsidR="00D45B9E" w:rsidRPr="00925826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233B7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302"/>
        <w:gridCol w:w="11171"/>
      </w:tblGrid>
      <w:tr w:rsidR="00925826" w14:paraId="2D5A7B57" w14:textId="77777777" w:rsidTr="000F70C5">
        <w:trPr>
          <w:trHeight w:val="8689"/>
        </w:trPr>
        <w:tc>
          <w:tcPr>
            <w:tcW w:w="3302" w:type="dxa"/>
          </w:tcPr>
          <w:p w14:paraId="0595B18D" w14:textId="77777777" w:rsidR="00BD4A2C" w:rsidRPr="0076340B" w:rsidRDefault="00925826" w:rsidP="00BD4A2C">
            <w:pPr>
              <w:rPr>
                <w:rFonts w:cstheme="minorHAnsi"/>
                <w:bCs/>
              </w:rPr>
            </w:pPr>
            <w:r w:rsidRPr="00233B7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Sous-critère </w:t>
            </w:r>
            <w:r w:rsidR="008215B1" w:rsidRPr="00233B76">
              <w:rPr>
                <w:rFonts w:eastAsia="Times New Roman" w:cstheme="minorHAnsi"/>
                <w:b/>
                <w:sz w:val="24"/>
                <w:szCs w:val="24"/>
              </w:rPr>
              <w:t>2</w:t>
            </w:r>
            <w:r w:rsidRPr="00233B76">
              <w:rPr>
                <w:rFonts w:eastAsia="Times New Roman" w:cstheme="minorHAnsi"/>
                <w:b/>
                <w:sz w:val="24"/>
                <w:szCs w:val="24"/>
              </w:rPr>
              <w:t xml:space="preserve"> : </w:t>
            </w:r>
            <w:bookmarkStart w:id="4" w:name="_Hlk193467759"/>
            <w:r w:rsidR="00BD4A2C" w:rsidRPr="00BD4A2C">
              <w:rPr>
                <w:rFonts w:eastAsia="Times New Roman" w:cstheme="minorHAnsi"/>
                <w:b/>
                <w:sz w:val="24"/>
                <w:szCs w:val="24"/>
              </w:rPr>
              <w:t xml:space="preserve">Réactivité </w:t>
            </w:r>
            <w:bookmarkEnd w:id="4"/>
            <w:r w:rsidR="00BD4A2C" w:rsidRPr="00BD4A2C">
              <w:rPr>
                <w:rFonts w:eastAsia="Times New Roman" w:cstheme="minorHAnsi"/>
                <w:b/>
                <w:sz w:val="24"/>
                <w:szCs w:val="24"/>
              </w:rPr>
              <w:t>du candidat pour exécuter le chantier</w:t>
            </w:r>
            <w:r w:rsidR="00BD4A2C">
              <w:rPr>
                <w:rFonts w:cstheme="minorHAnsi"/>
              </w:rPr>
              <w:t xml:space="preserve"> </w:t>
            </w:r>
          </w:p>
          <w:p w14:paraId="79D5FDAE" w14:textId="5DB2B250" w:rsidR="006E3E81" w:rsidRPr="00A56576" w:rsidRDefault="006E3E81" w:rsidP="00BD4A2C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171" w:type="dxa"/>
          </w:tcPr>
          <w:p w14:paraId="27500751" w14:textId="77777777" w:rsidR="00925826" w:rsidRDefault="00BD4A2C" w:rsidP="00AC58BD">
            <w:pPr>
              <w:widowControl w:val="0"/>
              <w:jc w:val="both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Joindre uniquement un planning d’exécution détaillé en cohérence avec le planning prévisionnel. </w:t>
            </w:r>
          </w:p>
          <w:p w14:paraId="73BA2EB3" w14:textId="77777777" w:rsidR="00BD4A2C" w:rsidRDefault="00BD4A2C" w:rsidP="00AC58BD">
            <w:pPr>
              <w:widowControl w:val="0"/>
              <w:jc w:val="both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</w:p>
          <w:p w14:paraId="2171FF43" w14:textId="75896AA8" w:rsidR="00BD4A2C" w:rsidRPr="00156588" w:rsidRDefault="00BD4A2C" w:rsidP="00AC58BD">
            <w:pPr>
              <w:widowControl w:val="0"/>
              <w:jc w:val="both"/>
              <w:rPr>
                <w:rFonts w:cstheme="minorHAnsi"/>
                <w:u w:val="single"/>
              </w:rPr>
            </w:pPr>
            <w:r w:rsidRPr="00156588">
              <w:rPr>
                <w:rFonts w:cstheme="minorHAnsi"/>
                <w:sz w:val="24"/>
                <w:szCs w:val="24"/>
                <w:u w:val="single"/>
              </w:rPr>
              <w:t xml:space="preserve">Le planning doit être détaillé par phases de travaux et préciser le nombre de jours affectés à chaque phase. </w:t>
            </w:r>
          </w:p>
        </w:tc>
      </w:tr>
    </w:tbl>
    <w:p w14:paraId="12514B29" w14:textId="77777777" w:rsidR="007362D4" w:rsidRDefault="007362D4" w:rsidP="00D45FFF">
      <w:pPr>
        <w:tabs>
          <w:tab w:val="left" w:pos="1140"/>
        </w:tabs>
        <w:rPr>
          <w:rFonts w:ascii="Trebuchet MS" w:hAnsi="Trebuchet MS"/>
        </w:rPr>
        <w:sectPr w:rsidR="007362D4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302"/>
        <w:gridCol w:w="11171"/>
      </w:tblGrid>
      <w:tr w:rsidR="007362D4" w14:paraId="1B99E972" w14:textId="77777777" w:rsidTr="00A726E8">
        <w:trPr>
          <w:trHeight w:val="8689"/>
        </w:trPr>
        <w:tc>
          <w:tcPr>
            <w:tcW w:w="3302" w:type="dxa"/>
          </w:tcPr>
          <w:p w14:paraId="2ACA7E00" w14:textId="2173355C" w:rsidR="007362D4" w:rsidRDefault="007362D4" w:rsidP="00A726E8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233B7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Sous-critère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3</w:t>
            </w:r>
            <w:r w:rsidRPr="00233B76">
              <w:rPr>
                <w:rFonts w:eastAsia="Times New Roman" w:cstheme="minorHAnsi"/>
                <w:b/>
                <w:sz w:val="24"/>
                <w:szCs w:val="24"/>
              </w:rPr>
              <w:t xml:space="preserve"> : </w:t>
            </w:r>
            <w:r w:rsidR="00BD4A2C" w:rsidRPr="00BD4A2C">
              <w:rPr>
                <w:rFonts w:eastAsia="Times New Roman" w:cstheme="minorHAnsi"/>
                <w:b/>
                <w:sz w:val="24"/>
                <w:szCs w:val="24"/>
              </w:rPr>
              <w:t>Qualité des moyens techniques affectés au marché et pertinence de la méthodologie organisationnelle mise en place</w:t>
            </w:r>
          </w:p>
          <w:p w14:paraId="6F059E0C" w14:textId="77777777" w:rsidR="007362D4" w:rsidRDefault="007362D4" w:rsidP="00C624B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</w:p>
          <w:p w14:paraId="661FA00B" w14:textId="1B845575" w:rsidR="00BD4A2C" w:rsidRP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>Equipements et matériels dédiés au chantier, avec précision des moyens spécifiquement dédiés aux interventions en SS4</w:t>
            </w:r>
          </w:p>
          <w:p w14:paraId="537B163B" w14:textId="77777777" w:rsidR="00DA53EB" w:rsidRPr="00BD4A2C" w:rsidRDefault="00BD4A2C" w:rsidP="00BD4A2C">
            <w:pPr>
              <w:pStyle w:val="Enumration1"/>
              <w:ind w:left="284" w:hanging="284"/>
              <w:rPr>
                <w:rFonts w:ascii="Trebuchet MS" w:hAnsi="Trebuchet MS"/>
                <w:sz w:val="28"/>
                <w:szCs w:val="28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>Modalités organisationnelles proposées pour la gestion du matériel dédié aux chantiers « MPSCA » (matériaux ou produits susceptibles de contenir de l'amiante) et ceux « non MPSCA »</w:t>
            </w:r>
          </w:p>
          <w:p w14:paraId="023A3E69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3067CFEF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4ACC3B49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7FCFC52C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10722980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79D7D934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75D5DA39" w14:textId="77777777" w:rsidR="00BD4A2C" w:rsidRDefault="00BD4A2C" w:rsidP="00BD4A2C">
            <w:pPr>
              <w:rPr>
                <w:rFonts w:eastAsia="Times New Roman" w:cstheme="minorHAnsi"/>
                <w:lang w:eastAsia="fr-FR"/>
              </w:rPr>
            </w:pPr>
          </w:p>
          <w:p w14:paraId="2ED24591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10F14A50" w14:textId="77777777" w:rsidR="00BD4A2C" w:rsidRPr="00BD4A2C" w:rsidRDefault="00BD4A2C" w:rsidP="00BD4A2C">
            <w:pPr>
              <w:rPr>
                <w:lang w:eastAsia="fr-FR"/>
              </w:rPr>
            </w:pPr>
          </w:p>
          <w:p w14:paraId="4611D580" w14:textId="77777777" w:rsidR="00BD4A2C" w:rsidRDefault="00BD4A2C" w:rsidP="00BD4A2C">
            <w:pPr>
              <w:rPr>
                <w:rFonts w:eastAsia="Times New Roman" w:cstheme="minorHAnsi"/>
                <w:lang w:eastAsia="fr-FR"/>
              </w:rPr>
            </w:pPr>
          </w:p>
          <w:p w14:paraId="50E31821" w14:textId="77777777" w:rsidR="00BD4A2C" w:rsidRDefault="00BD4A2C" w:rsidP="00BD4A2C">
            <w:pPr>
              <w:rPr>
                <w:rFonts w:eastAsia="Times New Roman" w:cstheme="minorHAnsi"/>
                <w:lang w:eastAsia="fr-FR"/>
              </w:rPr>
            </w:pPr>
          </w:p>
          <w:p w14:paraId="41D7CF24" w14:textId="2F09FEA6" w:rsidR="00BD4A2C" w:rsidRPr="00BD4A2C" w:rsidRDefault="00BD4A2C" w:rsidP="00BD4A2C">
            <w:pPr>
              <w:ind w:firstLine="708"/>
              <w:rPr>
                <w:lang w:eastAsia="fr-FR"/>
              </w:rPr>
            </w:pPr>
          </w:p>
        </w:tc>
        <w:tc>
          <w:tcPr>
            <w:tcW w:w="11171" w:type="dxa"/>
          </w:tcPr>
          <w:p w14:paraId="181FB554" w14:textId="46C2B29C" w:rsidR="00BD4A2C" w:rsidRPr="00233B76" w:rsidRDefault="00BD4A2C" w:rsidP="00BD4A2C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233B76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Pr="00BD4A2C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3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Pr="00233B76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pages maximum </w:t>
            </w:r>
            <w:r w:rsidRPr="00233B76">
              <w:rPr>
                <w:rFonts w:eastAsia="Times New Roman" w:cstheme="minorHAnsi"/>
                <w:b/>
                <w:sz w:val="24"/>
                <w:szCs w:val="24"/>
              </w:rPr>
              <w:t xml:space="preserve">– hors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fiches techniques des principaux équipements/matériels</w:t>
            </w:r>
            <w:r w:rsidRPr="00C624B8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  <w:p w14:paraId="0F3266AE" w14:textId="705C185E" w:rsidR="007362D4" w:rsidRPr="00925826" w:rsidRDefault="007362D4" w:rsidP="00A726E8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6E0435CB" w14:textId="77777777" w:rsidR="00C624B8" w:rsidRDefault="00C624B8" w:rsidP="00D45FFF">
      <w:pPr>
        <w:tabs>
          <w:tab w:val="left" w:pos="1140"/>
        </w:tabs>
        <w:rPr>
          <w:rFonts w:ascii="Trebuchet MS" w:hAnsi="Trebuchet MS"/>
        </w:rPr>
        <w:sectPr w:rsidR="00C624B8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3302"/>
        <w:gridCol w:w="11171"/>
      </w:tblGrid>
      <w:tr w:rsidR="00C624B8" w14:paraId="6F5E5BBB" w14:textId="77777777" w:rsidTr="00A726E8">
        <w:trPr>
          <w:trHeight w:val="8689"/>
        </w:trPr>
        <w:tc>
          <w:tcPr>
            <w:tcW w:w="3302" w:type="dxa"/>
          </w:tcPr>
          <w:p w14:paraId="2DB68175" w14:textId="645158A0" w:rsidR="00C624B8" w:rsidRDefault="00C624B8" w:rsidP="00A726E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  <w:r w:rsidRPr="00BD4A2C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Sous-critère 4 :</w:t>
            </w:r>
            <w:r w:rsidRPr="00233B7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D4A2C" w:rsidRPr="00BD4A2C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 xml:space="preserve">Pertinence des modes de gestion des déchets </w:t>
            </w:r>
          </w:p>
          <w:p w14:paraId="7586CE3A" w14:textId="77777777" w:rsidR="00C624B8" w:rsidRDefault="00C624B8" w:rsidP="00A726E8">
            <w:pPr>
              <w:pStyle w:val="Enumration1"/>
              <w:numPr>
                <w:ilvl w:val="0"/>
                <w:numId w:val="0"/>
              </w:numPr>
              <w:ind w:right="463"/>
              <w:jc w:val="left"/>
              <w:rPr>
                <w:rFonts w:ascii="Trebuchet MS" w:hAnsi="Trebuchet MS"/>
                <w:sz w:val="28"/>
                <w:szCs w:val="28"/>
              </w:rPr>
            </w:pPr>
          </w:p>
          <w:p w14:paraId="0C169EBD" w14:textId="2F3CE429" w:rsidR="00BD4A2C" w:rsidRPr="00BD4A2C" w:rsidRDefault="00BD4A2C" w:rsidP="00BD4A2C">
            <w:pPr>
              <w:pStyle w:val="Enumration1"/>
              <w:ind w:left="284" w:hanging="284"/>
              <w:rPr>
                <w:rFonts w:asciiTheme="minorHAnsi" w:hAnsiTheme="minorHAnsi" w:cstheme="minorHAnsi"/>
                <w:color w:val="auto"/>
                <w:sz w:val="22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 xml:space="preserve">Modalités de conditionnement des déchets, de prise en charge des déchets (recyclage, traitement, filières utilisées - modalités de tri) </w:t>
            </w:r>
          </w:p>
          <w:p w14:paraId="4D913ED1" w14:textId="65123F94" w:rsidR="00BD4A2C" w:rsidRPr="00A56576" w:rsidRDefault="00BD4A2C" w:rsidP="00BD4A2C">
            <w:pPr>
              <w:pStyle w:val="Enumration1"/>
              <w:ind w:left="284" w:hanging="284"/>
              <w:rPr>
                <w:rFonts w:ascii="Trebuchet MS" w:hAnsi="Trebuchet MS"/>
                <w:sz w:val="28"/>
                <w:szCs w:val="28"/>
              </w:rPr>
            </w:pPr>
            <w:r w:rsidRPr="00BD4A2C">
              <w:rPr>
                <w:rFonts w:asciiTheme="minorHAnsi" w:hAnsiTheme="minorHAnsi" w:cstheme="minorHAnsi"/>
                <w:color w:val="auto"/>
                <w:sz w:val="22"/>
              </w:rPr>
              <w:t>Modalités envisagées pour le transport des déchets amiantés, leur collecte et leur élimination</w:t>
            </w:r>
          </w:p>
        </w:tc>
        <w:tc>
          <w:tcPr>
            <w:tcW w:w="11171" w:type="dxa"/>
          </w:tcPr>
          <w:p w14:paraId="5823C58B" w14:textId="6F2D1E61" w:rsidR="00C624B8" w:rsidRPr="00925826" w:rsidRDefault="00C624B8" w:rsidP="00A726E8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  <w:r w:rsidRPr="00233B76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 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: 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>(</w:t>
            </w:r>
            <w:r w:rsidRPr="00C624B8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2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Pr="00233B76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pages maximum</w:t>
            </w:r>
            <w:r w:rsidR="00BD4A2C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</w:t>
            </w:r>
            <w:r w:rsidR="00BD4A2C" w:rsidRPr="00233B76">
              <w:rPr>
                <w:rFonts w:eastAsia="Times New Roman" w:cstheme="minorHAnsi"/>
                <w:b/>
                <w:sz w:val="24"/>
                <w:szCs w:val="24"/>
              </w:rPr>
              <w:t xml:space="preserve">– hors </w:t>
            </w:r>
            <w:r w:rsidR="00BD4A2C">
              <w:rPr>
                <w:rFonts w:eastAsia="Times New Roman" w:cstheme="minorHAnsi"/>
                <w:b/>
                <w:sz w:val="24"/>
                <w:szCs w:val="24"/>
              </w:rPr>
              <w:t>fiche d’identification des centres de déchets</w:t>
            </w:r>
            <w:r w:rsidRPr="00C624B8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</w:tc>
      </w:tr>
    </w:tbl>
    <w:p w14:paraId="1B60B5E3" w14:textId="04E60899" w:rsidR="00925826" w:rsidRPr="00925826" w:rsidRDefault="00925826" w:rsidP="00D45FFF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E2E0B" w14:textId="77777777" w:rsidR="00121937" w:rsidRDefault="00121937" w:rsidP="00943E2C">
      <w:pPr>
        <w:spacing w:after="0" w:line="240" w:lineRule="auto"/>
      </w:pPr>
      <w:r>
        <w:separator/>
      </w:r>
    </w:p>
  </w:endnote>
  <w:endnote w:type="continuationSeparator" w:id="0">
    <w:p w14:paraId="032F51F1" w14:textId="77777777" w:rsidR="00121937" w:rsidRDefault="00121937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otham Book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4DF7E" w14:textId="197E31D8" w:rsidR="00284A38" w:rsidRPr="00156588" w:rsidRDefault="00284A38" w:rsidP="00284A38">
    <w:pPr>
      <w:pStyle w:val="Pieddepage"/>
    </w:pPr>
    <w:r w:rsidRPr="00AD0B0C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C9EA0A5" wp14:editId="5C859270">
              <wp:simplePos x="0" y="0"/>
              <wp:positionH relativeFrom="page">
                <wp:align>right</wp:align>
              </wp:positionH>
              <wp:positionV relativeFrom="bottomMargin">
                <wp:posOffset>79513</wp:posOffset>
              </wp:positionV>
              <wp:extent cx="320675" cy="167005"/>
              <wp:effectExtent l="0" t="0" r="3175" b="4445"/>
              <wp:wrapNone/>
              <wp:docPr id="750293517" name="Zone de text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67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E65286" w14:textId="77777777" w:rsidR="00284A38" w:rsidRPr="00AD0B0C" w:rsidRDefault="00284A38" w:rsidP="00284A38">
                          <w:pPr>
                            <w:spacing w:before="12"/>
                            <w:ind w:left="60"/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</w:pP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D0B0C"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t>1</w:t>
                          </w:r>
                          <w:r w:rsidRPr="00AD0B0C"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D0B0C"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  <w:t>/13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EA0A5" id="_x0000_t202" coordsize="21600,21600" o:spt="202" path="m,l,21600r21600,l21600,xe">
              <v:stroke joinstyle="miter"/>
              <v:path gradientshapeok="t" o:connecttype="rect"/>
            </v:shapetype>
            <v:shape id="Zone de texte 22" o:spid="_x0000_s1028" type="#_x0000_t202" style="position:absolute;margin-left:-25.95pt;margin-top:6.25pt;width:25.25pt;height:13.1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" filled="f" stroked="f">
              <v:textbox inset="0,0,0,0">
                <w:txbxContent>
                  <w:p w14:paraId="39E65286" w14:textId="77777777" w:rsidR="00284A38" w:rsidRPr="00AD0B0C" w:rsidRDefault="00284A38" w:rsidP="00284A38">
                    <w:pPr>
                      <w:spacing w:before="12"/>
                      <w:ind w:left="60"/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</w:pP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begin"/>
                    </w:r>
                    <w:r w:rsidRPr="00AD0B0C"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  <w:instrText xml:space="preserve"> PAGE </w:instrText>
                    </w: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separate"/>
                    </w: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t>1</w:t>
                    </w:r>
                    <w:r w:rsidRPr="00AD0B0C">
                      <w:rPr>
                        <w:rFonts w:ascii="Calibri" w:hAnsi="Calibri" w:cs="Calibri"/>
                        <w:sz w:val="18"/>
                        <w:szCs w:val="18"/>
                      </w:rPr>
                      <w:fldChar w:fldCharType="end"/>
                    </w:r>
                    <w:r w:rsidRPr="00AD0B0C"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  <w:t>/13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156588" w:rsidRPr="00156588">
      <w:t xml:space="preserve"> </w:t>
    </w:r>
    <w:r w:rsidR="00156588" w:rsidRPr="00E72780">
      <w:t>Procédure n°DCE-2025-ATECK-049-GVL</w:t>
    </w:r>
  </w:p>
  <w:p w14:paraId="51982E5E" w14:textId="13799218" w:rsidR="00BB0787" w:rsidRPr="00284A38" w:rsidRDefault="00BB0787" w:rsidP="00284A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3473" w14:textId="1CE2D4EA" w:rsidR="00BB0787" w:rsidRDefault="00BD4A2C">
    <w:pPr>
      <w:pStyle w:val="Pieddepage"/>
    </w:pPr>
    <w:r w:rsidRPr="00E72780">
      <w:t>Procédure n°DCE-2025-ATECK-049-GVL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F5E13" w14:textId="77777777" w:rsidR="00121937" w:rsidRDefault="00121937" w:rsidP="00943E2C">
      <w:pPr>
        <w:spacing w:after="0" w:line="240" w:lineRule="auto"/>
      </w:pPr>
      <w:r>
        <w:separator/>
      </w:r>
    </w:p>
  </w:footnote>
  <w:footnote w:type="continuationSeparator" w:id="0">
    <w:p w14:paraId="2C52F557" w14:textId="77777777" w:rsidR="00121937" w:rsidRDefault="00121937" w:rsidP="00943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5537"/>
    <w:multiLevelType w:val="hybridMultilevel"/>
    <w:tmpl w:val="B80C594E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B3500"/>
    <w:multiLevelType w:val="hybridMultilevel"/>
    <w:tmpl w:val="8F2ABA6A"/>
    <w:lvl w:ilvl="0" w:tplc="914A5D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75E7E"/>
    <w:multiLevelType w:val="hybridMultilevel"/>
    <w:tmpl w:val="B0E00F86"/>
    <w:lvl w:ilvl="0" w:tplc="040C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8365A"/>
    <w:multiLevelType w:val="hybridMultilevel"/>
    <w:tmpl w:val="AAEA6220"/>
    <w:lvl w:ilvl="0" w:tplc="C484883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8" w15:restartNumberingAfterBreak="0">
    <w:nsid w:val="2BE82D1C"/>
    <w:multiLevelType w:val="hybridMultilevel"/>
    <w:tmpl w:val="72442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867E7"/>
    <w:multiLevelType w:val="hybridMultilevel"/>
    <w:tmpl w:val="B3368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678DD"/>
    <w:multiLevelType w:val="hybridMultilevel"/>
    <w:tmpl w:val="F01625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44B07"/>
    <w:multiLevelType w:val="hybridMultilevel"/>
    <w:tmpl w:val="FBA6A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D3091"/>
    <w:multiLevelType w:val="hybridMultilevel"/>
    <w:tmpl w:val="C158FE2E"/>
    <w:lvl w:ilvl="0" w:tplc="C484883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133880">
    <w:abstractNumId w:val="3"/>
  </w:num>
  <w:num w:numId="2" w16cid:durableId="319119369">
    <w:abstractNumId w:val="10"/>
  </w:num>
  <w:num w:numId="3" w16cid:durableId="1327436651">
    <w:abstractNumId w:val="7"/>
  </w:num>
  <w:num w:numId="4" w16cid:durableId="814956045">
    <w:abstractNumId w:val="2"/>
  </w:num>
  <w:num w:numId="5" w16cid:durableId="1390569988">
    <w:abstractNumId w:val="12"/>
  </w:num>
  <w:num w:numId="6" w16cid:durableId="1926646591">
    <w:abstractNumId w:val="8"/>
  </w:num>
  <w:num w:numId="7" w16cid:durableId="241334130">
    <w:abstractNumId w:val="9"/>
  </w:num>
  <w:num w:numId="8" w16cid:durableId="1425296993">
    <w:abstractNumId w:val="11"/>
  </w:num>
  <w:num w:numId="9" w16cid:durableId="1205750698">
    <w:abstractNumId w:val="6"/>
  </w:num>
  <w:num w:numId="10" w16cid:durableId="624699043">
    <w:abstractNumId w:val="4"/>
  </w:num>
  <w:num w:numId="11" w16cid:durableId="1912352120">
    <w:abstractNumId w:val="13"/>
  </w:num>
  <w:num w:numId="12" w16cid:durableId="998197278">
    <w:abstractNumId w:val="0"/>
  </w:num>
  <w:num w:numId="13" w16cid:durableId="1227764862">
    <w:abstractNumId w:val="5"/>
  </w:num>
  <w:num w:numId="14" w16cid:durableId="1286884211">
    <w:abstractNumId w:val="5"/>
  </w:num>
  <w:num w:numId="15" w16cid:durableId="415395317">
    <w:abstractNumId w:val="5"/>
  </w:num>
  <w:num w:numId="16" w16cid:durableId="2055499431">
    <w:abstractNumId w:val="1"/>
  </w:num>
  <w:num w:numId="17" w16cid:durableId="1414427052">
    <w:abstractNumId w:val="5"/>
  </w:num>
  <w:num w:numId="18" w16cid:durableId="19899677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445DC"/>
    <w:rsid w:val="00060388"/>
    <w:rsid w:val="00071090"/>
    <w:rsid w:val="000F6081"/>
    <w:rsid w:val="000F70C5"/>
    <w:rsid w:val="00101ED9"/>
    <w:rsid w:val="001203AE"/>
    <w:rsid w:val="00121937"/>
    <w:rsid w:val="00156588"/>
    <w:rsid w:val="00175621"/>
    <w:rsid w:val="001966EE"/>
    <w:rsid w:val="00204842"/>
    <w:rsid w:val="00233B76"/>
    <w:rsid w:val="00233C62"/>
    <w:rsid w:val="00284A38"/>
    <w:rsid w:val="00296B39"/>
    <w:rsid w:val="002B32AF"/>
    <w:rsid w:val="002E31BA"/>
    <w:rsid w:val="002F4ADD"/>
    <w:rsid w:val="0031276A"/>
    <w:rsid w:val="00370B5D"/>
    <w:rsid w:val="003849AD"/>
    <w:rsid w:val="003B1DEB"/>
    <w:rsid w:val="003D77A1"/>
    <w:rsid w:val="003F0B7F"/>
    <w:rsid w:val="00467CFA"/>
    <w:rsid w:val="00495F37"/>
    <w:rsid w:val="004A3A36"/>
    <w:rsid w:val="004C26CD"/>
    <w:rsid w:val="004D0DD1"/>
    <w:rsid w:val="0055773B"/>
    <w:rsid w:val="00566B3A"/>
    <w:rsid w:val="005A36ED"/>
    <w:rsid w:val="005B5EE9"/>
    <w:rsid w:val="005D0B45"/>
    <w:rsid w:val="005F7384"/>
    <w:rsid w:val="00615AEC"/>
    <w:rsid w:val="00633BFF"/>
    <w:rsid w:val="006576F0"/>
    <w:rsid w:val="006744C7"/>
    <w:rsid w:val="006B1748"/>
    <w:rsid w:val="006E008A"/>
    <w:rsid w:val="006E3E81"/>
    <w:rsid w:val="006E62DC"/>
    <w:rsid w:val="007362D4"/>
    <w:rsid w:val="007401AD"/>
    <w:rsid w:val="00747051"/>
    <w:rsid w:val="007740AF"/>
    <w:rsid w:val="00777845"/>
    <w:rsid w:val="007A49F3"/>
    <w:rsid w:val="007C40B6"/>
    <w:rsid w:val="00812AE5"/>
    <w:rsid w:val="008215B1"/>
    <w:rsid w:val="008335F4"/>
    <w:rsid w:val="008610AD"/>
    <w:rsid w:val="00875E4E"/>
    <w:rsid w:val="00881719"/>
    <w:rsid w:val="008910C4"/>
    <w:rsid w:val="008F2E38"/>
    <w:rsid w:val="00906319"/>
    <w:rsid w:val="00925826"/>
    <w:rsid w:val="00943E2C"/>
    <w:rsid w:val="009F5539"/>
    <w:rsid w:val="00A56576"/>
    <w:rsid w:val="00AA19C5"/>
    <w:rsid w:val="00AC2E20"/>
    <w:rsid w:val="00AE25B9"/>
    <w:rsid w:val="00B53FC8"/>
    <w:rsid w:val="00BB0787"/>
    <w:rsid w:val="00BD1982"/>
    <w:rsid w:val="00BD4A2C"/>
    <w:rsid w:val="00BE5ACD"/>
    <w:rsid w:val="00C1199F"/>
    <w:rsid w:val="00C132CD"/>
    <w:rsid w:val="00C165A0"/>
    <w:rsid w:val="00C42B8C"/>
    <w:rsid w:val="00C624B8"/>
    <w:rsid w:val="00CC7430"/>
    <w:rsid w:val="00CD5B8A"/>
    <w:rsid w:val="00CD68A7"/>
    <w:rsid w:val="00D03564"/>
    <w:rsid w:val="00D45B9E"/>
    <w:rsid w:val="00D45FFF"/>
    <w:rsid w:val="00D51AF8"/>
    <w:rsid w:val="00D63EEA"/>
    <w:rsid w:val="00D7448E"/>
    <w:rsid w:val="00DA53EB"/>
    <w:rsid w:val="00DB624A"/>
    <w:rsid w:val="00DB64AA"/>
    <w:rsid w:val="00DC3915"/>
    <w:rsid w:val="00DE2AB3"/>
    <w:rsid w:val="00E37E05"/>
    <w:rsid w:val="00E417B6"/>
    <w:rsid w:val="00E450DC"/>
    <w:rsid w:val="00EA458E"/>
    <w:rsid w:val="00EB134E"/>
    <w:rsid w:val="00ED4DE2"/>
    <w:rsid w:val="00F04FD6"/>
    <w:rsid w:val="00F243ED"/>
    <w:rsid w:val="00F344F7"/>
    <w:rsid w:val="00FA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A2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6E3E81"/>
    <w:pPr>
      <w:widowControl w:val="0"/>
      <w:numPr>
        <w:numId w:val="13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6E3E81"/>
    <w:rPr>
      <w:rFonts w:ascii="Arial" w:eastAsia="Times New Roman" w:hAnsi="Arial" w:cs="Times New Roman"/>
      <w:color w:val="000000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84A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84A38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284A38"/>
    <w:rPr>
      <w:kern w:val="2"/>
      <w:sz w:val="20"/>
      <w:szCs w:val="20"/>
      <w14:ligatures w14:val="standardContextual"/>
    </w:rPr>
  </w:style>
  <w:style w:type="paragraph" w:styleId="Rvision">
    <w:name w:val="Revision"/>
    <w:hidden/>
    <w:uiPriority w:val="99"/>
    <w:semiHidden/>
    <w:rsid w:val="0031276A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276A"/>
    <w:pPr>
      <w:spacing w:after="200"/>
    </w:pPr>
    <w:rPr>
      <w:b/>
      <w:bCs/>
      <w:kern w:val="0"/>
      <w14:ligatures w14:val="non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276A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45F2D-10F8-4B8C-8B97-A07C8FC4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Chateaureynaud</cp:lastModifiedBy>
  <cp:revision>63</cp:revision>
  <dcterms:created xsi:type="dcterms:W3CDTF">2017-06-27T08:52:00Z</dcterms:created>
  <dcterms:modified xsi:type="dcterms:W3CDTF">2025-03-25T15:39:00Z</dcterms:modified>
</cp:coreProperties>
</file>