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2238BD03" w14:textId="77777777" w:rsidR="00800789" w:rsidRDefault="00800789" w:rsidP="00800789">
            <w:pPr>
              <w:pStyle w:val="En-tte"/>
              <w:jc w:val="center"/>
              <w:rPr>
                <w:rFonts w:cs="Arial"/>
                <w:b/>
                <w:bCs/>
                <w:sz w:val="24"/>
                <w:szCs w:val="24"/>
              </w:rPr>
            </w:pPr>
            <w:r w:rsidRPr="00B45DBB">
              <w:rPr>
                <w:rFonts w:cs="Arial"/>
                <w:b/>
                <w:bCs/>
                <w:sz w:val="24"/>
                <w:szCs w:val="24"/>
              </w:rPr>
              <w:t>R2402 – TRAVAUX D’AMENAGEMENTS SERVICE 41/42</w:t>
            </w:r>
          </w:p>
          <w:p w14:paraId="10C6D64F" w14:textId="75B7ED3C" w:rsidR="000454D1" w:rsidRPr="00DF7A89" w:rsidRDefault="000454D1" w:rsidP="00800789">
            <w:pPr>
              <w:pStyle w:val="En-tte"/>
              <w:jc w:val="center"/>
              <w:rPr>
                <w:rFonts w:ascii="Arial" w:hAnsi="Arial" w:cs="Arial"/>
                <w:bCs/>
                <w:sz w:val="28"/>
                <w:szCs w:val="28"/>
              </w:rPr>
            </w:pPr>
            <w:r w:rsidRPr="005D6631">
              <w:rPr>
                <w:rFonts w:cs="Arial"/>
                <w:b/>
                <w:bCs/>
                <w:color w:val="FF0000"/>
                <w:sz w:val="24"/>
                <w:szCs w:val="24"/>
              </w:rPr>
              <w:t>RELANCE LOT 6 CVC</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FB16EA"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647C16F6"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FB16EA">
              <w:rPr>
                <w:rFonts w:ascii="Arial" w:hAnsi="Arial" w:cs="Arial"/>
                <w:bCs/>
                <w:sz w:val="20"/>
                <w:szCs w:val="20"/>
              </w:rPr>
              <w:t>RANGUEIL</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FB16EA"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FB16EA"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FB16EA"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4C2C971F" w:rsidR="00DF7A89" w:rsidRPr="001C0786" w:rsidRDefault="00250889" w:rsidP="00DF7A89">
            <w:pPr>
              <w:spacing w:after="0" w:line="240" w:lineRule="auto"/>
              <w:jc w:val="center"/>
              <w:rPr>
                <w:rFonts w:ascii="Arial" w:hAnsi="Arial" w:cs="Arial"/>
                <w:bCs/>
                <w:sz w:val="20"/>
                <w:szCs w:val="20"/>
              </w:rPr>
            </w:pPr>
            <w:r>
              <w:rPr>
                <w:rFonts w:ascii="Arial" w:hAnsi="Arial" w:cs="Arial"/>
                <w:bCs/>
                <w:sz w:val="20"/>
                <w:szCs w:val="20"/>
              </w:rPr>
              <w:t>6</w:t>
            </w:r>
            <w:r w:rsidR="00223C00">
              <w:rPr>
                <w:rFonts w:ascii="Arial" w:hAnsi="Arial" w:cs="Arial"/>
                <w:bCs/>
                <w:sz w:val="20"/>
                <w:szCs w:val="20"/>
              </w:rPr>
              <w:t xml:space="preserve"> MOIS</w:t>
            </w:r>
            <w:r w:rsidR="00DF7A89">
              <w:rPr>
                <w:rFonts w:ascii="Arial" w:hAnsi="Arial" w:cs="Arial"/>
                <w:bCs/>
                <w:sz w:val="20"/>
                <w:szCs w:val="20"/>
              </w:rPr>
              <w:t xml:space="preserve"> + 12 MOIS GPA</w:t>
            </w:r>
          </w:p>
        </w:tc>
        <w:tc>
          <w:tcPr>
            <w:tcW w:w="1630" w:type="dxa"/>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FB16EA"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FB16EA"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509CB165" w:rsidR="00DF7A89" w:rsidRPr="001C0786" w:rsidRDefault="00250889" w:rsidP="00DF7A89">
            <w:pPr>
              <w:pStyle w:val="En-tte"/>
              <w:jc w:val="center"/>
              <w:rPr>
                <w:rFonts w:ascii="Arial" w:hAnsi="Arial" w:cs="Arial"/>
                <w:bCs/>
                <w:sz w:val="20"/>
                <w:szCs w:val="20"/>
              </w:rPr>
            </w:pPr>
            <w:r>
              <w:rPr>
                <w:rFonts w:ascii="Arial" w:hAnsi="Arial" w:cs="Arial"/>
                <w:bCs/>
                <w:sz w:val="20"/>
                <w:szCs w:val="20"/>
              </w:rPr>
              <w:t>AVRIL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4ACE3740" w14:textId="499109CC" w:rsidR="00FB16EA"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4653638" w:history="1">
            <w:r w:rsidR="00FB16EA" w:rsidRPr="00E13F1E">
              <w:rPr>
                <w:rStyle w:val="Lienhypertexte"/>
                <w:noProof/>
                <w14:scene3d>
                  <w14:camera w14:prst="orthographicFront"/>
                  <w14:lightRig w14:rig="threePt" w14:dir="t">
                    <w14:rot w14:lat="0" w14:lon="0" w14:rev="0"/>
                  </w14:lightRig>
                </w14:scene3d>
              </w:rPr>
              <w:t>0</w:t>
            </w:r>
            <w:r w:rsidR="00FB16EA">
              <w:rPr>
                <w:rFonts w:eastAsiaTheme="minorEastAsia"/>
                <w:noProof/>
                <w:lang w:eastAsia="fr-FR"/>
              </w:rPr>
              <w:tab/>
            </w:r>
            <w:r w:rsidR="00FB16EA" w:rsidRPr="00E13F1E">
              <w:rPr>
                <w:rStyle w:val="Lienhypertexte"/>
                <w:noProof/>
              </w:rPr>
              <w:t>Définitions</w:t>
            </w:r>
            <w:r w:rsidR="00FB16EA">
              <w:rPr>
                <w:noProof/>
                <w:webHidden/>
              </w:rPr>
              <w:tab/>
            </w:r>
            <w:r w:rsidR="00FB16EA">
              <w:rPr>
                <w:noProof/>
                <w:webHidden/>
              </w:rPr>
              <w:fldChar w:fldCharType="begin"/>
            </w:r>
            <w:r w:rsidR="00FB16EA">
              <w:rPr>
                <w:noProof/>
                <w:webHidden/>
              </w:rPr>
              <w:instrText xml:space="preserve"> PAGEREF _Toc194653638 \h </w:instrText>
            </w:r>
            <w:r w:rsidR="00FB16EA">
              <w:rPr>
                <w:noProof/>
                <w:webHidden/>
              </w:rPr>
            </w:r>
            <w:r w:rsidR="00FB16EA">
              <w:rPr>
                <w:noProof/>
                <w:webHidden/>
              </w:rPr>
              <w:fldChar w:fldCharType="separate"/>
            </w:r>
            <w:r w:rsidR="00FB16EA">
              <w:rPr>
                <w:noProof/>
                <w:webHidden/>
              </w:rPr>
              <w:t>5</w:t>
            </w:r>
            <w:r w:rsidR="00FB16EA">
              <w:rPr>
                <w:noProof/>
                <w:webHidden/>
              </w:rPr>
              <w:fldChar w:fldCharType="end"/>
            </w:r>
          </w:hyperlink>
        </w:p>
        <w:p w14:paraId="642A79A6" w14:textId="7753037C" w:rsidR="00FB16EA" w:rsidRDefault="00FB16EA">
          <w:pPr>
            <w:pStyle w:val="TM1"/>
            <w:tabs>
              <w:tab w:val="left" w:pos="440"/>
              <w:tab w:val="right" w:leader="dot" w:pos="9062"/>
            </w:tabs>
            <w:rPr>
              <w:rFonts w:eastAsiaTheme="minorEastAsia"/>
              <w:noProof/>
              <w:lang w:eastAsia="fr-FR"/>
            </w:rPr>
          </w:pPr>
          <w:hyperlink w:anchor="_Toc194653639" w:history="1">
            <w:r w:rsidRPr="00E13F1E">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E13F1E">
              <w:rPr>
                <w:rStyle w:val="Lienhypertexte"/>
                <w:noProof/>
              </w:rPr>
              <w:t>Objet du marché – dispositions générales</w:t>
            </w:r>
            <w:r>
              <w:rPr>
                <w:noProof/>
                <w:webHidden/>
              </w:rPr>
              <w:tab/>
            </w:r>
            <w:r>
              <w:rPr>
                <w:noProof/>
                <w:webHidden/>
              </w:rPr>
              <w:fldChar w:fldCharType="begin"/>
            </w:r>
            <w:r>
              <w:rPr>
                <w:noProof/>
                <w:webHidden/>
              </w:rPr>
              <w:instrText xml:space="preserve"> PAGEREF _Toc194653639 \h </w:instrText>
            </w:r>
            <w:r>
              <w:rPr>
                <w:noProof/>
                <w:webHidden/>
              </w:rPr>
            </w:r>
            <w:r>
              <w:rPr>
                <w:noProof/>
                <w:webHidden/>
              </w:rPr>
              <w:fldChar w:fldCharType="separate"/>
            </w:r>
            <w:r>
              <w:rPr>
                <w:noProof/>
                <w:webHidden/>
              </w:rPr>
              <w:t>5</w:t>
            </w:r>
            <w:r>
              <w:rPr>
                <w:noProof/>
                <w:webHidden/>
              </w:rPr>
              <w:fldChar w:fldCharType="end"/>
            </w:r>
          </w:hyperlink>
        </w:p>
        <w:p w14:paraId="4C89C89E" w14:textId="596B8384" w:rsidR="00FB16EA" w:rsidRDefault="00FB16EA">
          <w:pPr>
            <w:pStyle w:val="TM2"/>
            <w:tabs>
              <w:tab w:val="left" w:pos="880"/>
              <w:tab w:val="right" w:leader="dot" w:pos="9062"/>
            </w:tabs>
            <w:rPr>
              <w:rFonts w:eastAsiaTheme="minorEastAsia"/>
              <w:noProof/>
              <w:lang w:eastAsia="fr-FR"/>
            </w:rPr>
          </w:pPr>
          <w:hyperlink w:anchor="_Toc194653640" w:history="1">
            <w:r w:rsidRPr="00E13F1E">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E13F1E">
              <w:rPr>
                <w:rStyle w:val="Lienhypertexte"/>
                <w:noProof/>
              </w:rPr>
              <w:t>Objet du marché</w:t>
            </w:r>
            <w:r>
              <w:rPr>
                <w:noProof/>
                <w:webHidden/>
              </w:rPr>
              <w:tab/>
            </w:r>
            <w:r>
              <w:rPr>
                <w:noProof/>
                <w:webHidden/>
              </w:rPr>
              <w:fldChar w:fldCharType="begin"/>
            </w:r>
            <w:r>
              <w:rPr>
                <w:noProof/>
                <w:webHidden/>
              </w:rPr>
              <w:instrText xml:space="preserve"> PAGEREF _Toc194653640 \h </w:instrText>
            </w:r>
            <w:r>
              <w:rPr>
                <w:noProof/>
                <w:webHidden/>
              </w:rPr>
            </w:r>
            <w:r>
              <w:rPr>
                <w:noProof/>
                <w:webHidden/>
              </w:rPr>
              <w:fldChar w:fldCharType="separate"/>
            </w:r>
            <w:r>
              <w:rPr>
                <w:noProof/>
                <w:webHidden/>
              </w:rPr>
              <w:t>5</w:t>
            </w:r>
            <w:r>
              <w:rPr>
                <w:noProof/>
                <w:webHidden/>
              </w:rPr>
              <w:fldChar w:fldCharType="end"/>
            </w:r>
          </w:hyperlink>
        </w:p>
        <w:p w14:paraId="5CE24424" w14:textId="230C12E4" w:rsidR="00FB16EA" w:rsidRDefault="00FB16EA">
          <w:pPr>
            <w:pStyle w:val="TM2"/>
            <w:tabs>
              <w:tab w:val="left" w:pos="880"/>
              <w:tab w:val="right" w:leader="dot" w:pos="9062"/>
            </w:tabs>
            <w:rPr>
              <w:rFonts w:eastAsiaTheme="minorEastAsia"/>
              <w:noProof/>
              <w:lang w:eastAsia="fr-FR"/>
            </w:rPr>
          </w:pPr>
          <w:hyperlink w:anchor="_Toc194653641" w:history="1">
            <w:r w:rsidRPr="00E13F1E">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E13F1E">
              <w:rPr>
                <w:rStyle w:val="Lienhypertexte"/>
                <w:noProof/>
              </w:rPr>
              <w:t>Allotissement</w:t>
            </w:r>
            <w:r>
              <w:rPr>
                <w:noProof/>
                <w:webHidden/>
              </w:rPr>
              <w:tab/>
            </w:r>
            <w:r>
              <w:rPr>
                <w:noProof/>
                <w:webHidden/>
              </w:rPr>
              <w:fldChar w:fldCharType="begin"/>
            </w:r>
            <w:r>
              <w:rPr>
                <w:noProof/>
                <w:webHidden/>
              </w:rPr>
              <w:instrText xml:space="preserve"> PAGEREF _Toc194653641 \h </w:instrText>
            </w:r>
            <w:r>
              <w:rPr>
                <w:noProof/>
                <w:webHidden/>
              </w:rPr>
            </w:r>
            <w:r>
              <w:rPr>
                <w:noProof/>
                <w:webHidden/>
              </w:rPr>
              <w:fldChar w:fldCharType="separate"/>
            </w:r>
            <w:r>
              <w:rPr>
                <w:noProof/>
                <w:webHidden/>
              </w:rPr>
              <w:t>6</w:t>
            </w:r>
            <w:r>
              <w:rPr>
                <w:noProof/>
                <w:webHidden/>
              </w:rPr>
              <w:fldChar w:fldCharType="end"/>
            </w:r>
          </w:hyperlink>
        </w:p>
        <w:p w14:paraId="6F5D04BF" w14:textId="4D9A95B4" w:rsidR="00FB16EA" w:rsidRDefault="00FB16EA">
          <w:pPr>
            <w:pStyle w:val="TM2"/>
            <w:tabs>
              <w:tab w:val="left" w:pos="880"/>
              <w:tab w:val="right" w:leader="dot" w:pos="9062"/>
            </w:tabs>
            <w:rPr>
              <w:rFonts w:eastAsiaTheme="minorEastAsia"/>
              <w:noProof/>
              <w:lang w:eastAsia="fr-FR"/>
            </w:rPr>
          </w:pPr>
          <w:hyperlink w:anchor="_Toc194653642" w:history="1">
            <w:r w:rsidRPr="00E13F1E">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E13F1E">
              <w:rPr>
                <w:rStyle w:val="Lienhypertexte"/>
                <w:noProof/>
              </w:rPr>
              <w:t>Marchés de prestations similaires</w:t>
            </w:r>
            <w:r>
              <w:rPr>
                <w:noProof/>
                <w:webHidden/>
              </w:rPr>
              <w:tab/>
            </w:r>
            <w:r>
              <w:rPr>
                <w:noProof/>
                <w:webHidden/>
              </w:rPr>
              <w:fldChar w:fldCharType="begin"/>
            </w:r>
            <w:r>
              <w:rPr>
                <w:noProof/>
                <w:webHidden/>
              </w:rPr>
              <w:instrText xml:space="preserve"> PAGEREF _Toc194653642 \h </w:instrText>
            </w:r>
            <w:r>
              <w:rPr>
                <w:noProof/>
                <w:webHidden/>
              </w:rPr>
            </w:r>
            <w:r>
              <w:rPr>
                <w:noProof/>
                <w:webHidden/>
              </w:rPr>
              <w:fldChar w:fldCharType="separate"/>
            </w:r>
            <w:r>
              <w:rPr>
                <w:noProof/>
                <w:webHidden/>
              </w:rPr>
              <w:t>6</w:t>
            </w:r>
            <w:r>
              <w:rPr>
                <w:noProof/>
                <w:webHidden/>
              </w:rPr>
              <w:fldChar w:fldCharType="end"/>
            </w:r>
          </w:hyperlink>
        </w:p>
        <w:p w14:paraId="5E8C1443" w14:textId="1BF464F6" w:rsidR="00FB16EA" w:rsidRDefault="00FB16EA">
          <w:pPr>
            <w:pStyle w:val="TM2"/>
            <w:tabs>
              <w:tab w:val="left" w:pos="880"/>
              <w:tab w:val="right" w:leader="dot" w:pos="9062"/>
            </w:tabs>
            <w:rPr>
              <w:rFonts w:eastAsiaTheme="minorEastAsia"/>
              <w:noProof/>
              <w:lang w:eastAsia="fr-FR"/>
            </w:rPr>
          </w:pPr>
          <w:hyperlink w:anchor="_Toc194653643" w:history="1">
            <w:r w:rsidRPr="00E13F1E">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E13F1E">
              <w:rPr>
                <w:rStyle w:val="Lienhypertexte"/>
                <w:noProof/>
              </w:rPr>
              <w:t>Définition des parties au contrat</w:t>
            </w:r>
            <w:r>
              <w:rPr>
                <w:noProof/>
                <w:webHidden/>
              </w:rPr>
              <w:tab/>
            </w:r>
            <w:r>
              <w:rPr>
                <w:noProof/>
                <w:webHidden/>
              </w:rPr>
              <w:fldChar w:fldCharType="begin"/>
            </w:r>
            <w:r>
              <w:rPr>
                <w:noProof/>
                <w:webHidden/>
              </w:rPr>
              <w:instrText xml:space="preserve"> PAGEREF _Toc194653643 \h </w:instrText>
            </w:r>
            <w:r>
              <w:rPr>
                <w:noProof/>
                <w:webHidden/>
              </w:rPr>
            </w:r>
            <w:r>
              <w:rPr>
                <w:noProof/>
                <w:webHidden/>
              </w:rPr>
              <w:fldChar w:fldCharType="separate"/>
            </w:r>
            <w:r>
              <w:rPr>
                <w:noProof/>
                <w:webHidden/>
              </w:rPr>
              <w:t>6</w:t>
            </w:r>
            <w:r>
              <w:rPr>
                <w:noProof/>
                <w:webHidden/>
              </w:rPr>
              <w:fldChar w:fldCharType="end"/>
            </w:r>
          </w:hyperlink>
        </w:p>
        <w:p w14:paraId="3EF2385D" w14:textId="5589D587" w:rsidR="00FB16EA" w:rsidRDefault="00FB16EA">
          <w:pPr>
            <w:pStyle w:val="TM3"/>
            <w:tabs>
              <w:tab w:val="left" w:pos="1320"/>
              <w:tab w:val="right" w:leader="dot" w:pos="9062"/>
            </w:tabs>
            <w:rPr>
              <w:rFonts w:eastAsiaTheme="minorEastAsia"/>
              <w:noProof/>
              <w:lang w:eastAsia="fr-FR"/>
            </w:rPr>
          </w:pPr>
          <w:hyperlink w:anchor="_Toc194653644" w:history="1">
            <w:r w:rsidRPr="00E13F1E">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E13F1E">
              <w:rPr>
                <w:rStyle w:val="Lienhypertexte"/>
                <w:noProof/>
              </w:rPr>
              <w:t>Pouvoir Adjudicateur</w:t>
            </w:r>
            <w:r>
              <w:rPr>
                <w:noProof/>
                <w:webHidden/>
              </w:rPr>
              <w:tab/>
            </w:r>
            <w:r>
              <w:rPr>
                <w:noProof/>
                <w:webHidden/>
              </w:rPr>
              <w:fldChar w:fldCharType="begin"/>
            </w:r>
            <w:r>
              <w:rPr>
                <w:noProof/>
                <w:webHidden/>
              </w:rPr>
              <w:instrText xml:space="preserve"> PAGEREF _Toc194653644 \h </w:instrText>
            </w:r>
            <w:r>
              <w:rPr>
                <w:noProof/>
                <w:webHidden/>
              </w:rPr>
            </w:r>
            <w:r>
              <w:rPr>
                <w:noProof/>
                <w:webHidden/>
              </w:rPr>
              <w:fldChar w:fldCharType="separate"/>
            </w:r>
            <w:r>
              <w:rPr>
                <w:noProof/>
                <w:webHidden/>
              </w:rPr>
              <w:t>6</w:t>
            </w:r>
            <w:r>
              <w:rPr>
                <w:noProof/>
                <w:webHidden/>
              </w:rPr>
              <w:fldChar w:fldCharType="end"/>
            </w:r>
          </w:hyperlink>
        </w:p>
        <w:p w14:paraId="6D692272" w14:textId="34C6DABC" w:rsidR="00FB16EA" w:rsidRDefault="00FB16EA">
          <w:pPr>
            <w:pStyle w:val="TM3"/>
            <w:tabs>
              <w:tab w:val="left" w:pos="1320"/>
              <w:tab w:val="right" w:leader="dot" w:pos="9062"/>
            </w:tabs>
            <w:rPr>
              <w:rFonts w:eastAsiaTheme="minorEastAsia"/>
              <w:noProof/>
              <w:lang w:eastAsia="fr-FR"/>
            </w:rPr>
          </w:pPr>
          <w:hyperlink w:anchor="_Toc194653645" w:history="1">
            <w:r w:rsidRPr="00E13F1E">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E13F1E">
              <w:rPr>
                <w:rStyle w:val="Lienhypertexte"/>
                <w:noProof/>
              </w:rPr>
              <w:t>Titulaire</w:t>
            </w:r>
            <w:r>
              <w:rPr>
                <w:noProof/>
                <w:webHidden/>
              </w:rPr>
              <w:tab/>
            </w:r>
            <w:r>
              <w:rPr>
                <w:noProof/>
                <w:webHidden/>
              </w:rPr>
              <w:fldChar w:fldCharType="begin"/>
            </w:r>
            <w:r>
              <w:rPr>
                <w:noProof/>
                <w:webHidden/>
              </w:rPr>
              <w:instrText xml:space="preserve"> PAGEREF _Toc194653645 \h </w:instrText>
            </w:r>
            <w:r>
              <w:rPr>
                <w:noProof/>
                <w:webHidden/>
              </w:rPr>
            </w:r>
            <w:r>
              <w:rPr>
                <w:noProof/>
                <w:webHidden/>
              </w:rPr>
              <w:fldChar w:fldCharType="separate"/>
            </w:r>
            <w:r>
              <w:rPr>
                <w:noProof/>
                <w:webHidden/>
              </w:rPr>
              <w:t>6</w:t>
            </w:r>
            <w:r>
              <w:rPr>
                <w:noProof/>
                <w:webHidden/>
              </w:rPr>
              <w:fldChar w:fldCharType="end"/>
            </w:r>
          </w:hyperlink>
        </w:p>
        <w:p w14:paraId="755B675F" w14:textId="70AEF966" w:rsidR="00FB16EA" w:rsidRDefault="00FB16EA">
          <w:pPr>
            <w:pStyle w:val="TM2"/>
            <w:tabs>
              <w:tab w:val="left" w:pos="880"/>
              <w:tab w:val="right" w:leader="dot" w:pos="9062"/>
            </w:tabs>
            <w:rPr>
              <w:rFonts w:eastAsiaTheme="minorEastAsia"/>
              <w:noProof/>
              <w:lang w:eastAsia="fr-FR"/>
            </w:rPr>
          </w:pPr>
          <w:hyperlink w:anchor="_Toc194653646" w:history="1">
            <w:r w:rsidRPr="00E13F1E">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E13F1E">
              <w:rPr>
                <w:rStyle w:val="Lienhypertexte"/>
                <w:noProof/>
              </w:rPr>
              <w:t>Forme des notifications</w:t>
            </w:r>
            <w:r>
              <w:rPr>
                <w:noProof/>
                <w:webHidden/>
              </w:rPr>
              <w:tab/>
            </w:r>
            <w:r>
              <w:rPr>
                <w:noProof/>
                <w:webHidden/>
              </w:rPr>
              <w:fldChar w:fldCharType="begin"/>
            </w:r>
            <w:r>
              <w:rPr>
                <w:noProof/>
                <w:webHidden/>
              </w:rPr>
              <w:instrText xml:space="preserve"> PAGEREF _Toc194653646 \h </w:instrText>
            </w:r>
            <w:r>
              <w:rPr>
                <w:noProof/>
                <w:webHidden/>
              </w:rPr>
            </w:r>
            <w:r>
              <w:rPr>
                <w:noProof/>
                <w:webHidden/>
              </w:rPr>
              <w:fldChar w:fldCharType="separate"/>
            </w:r>
            <w:r>
              <w:rPr>
                <w:noProof/>
                <w:webHidden/>
              </w:rPr>
              <w:t>7</w:t>
            </w:r>
            <w:r>
              <w:rPr>
                <w:noProof/>
                <w:webHidden/>
              </w:rPr>
              <w:fldChar w:fldCharType="end"/>
            </w:r>
          </w:hyperlink>
        </w:p>
        <w:p w14:paraId="4E99A05F" w14:textId="13B1EF97" w:rsidR="00FB16EA" w:rsidRDefault="00FB16EA">
          <w:pPr>
            <w:pStyle w:val="TM3"/>
            <w:tabs>
              <w:tab w:val="left" w:pos="1320"/>
              <w:tab w:val="right" w:leader="dot" w:pos="9062"/>
            </w:tabs>
            <w:rPr>
              <w:rFonts w:eastAsiaTheme="minorEastAsia"/>
              <w:noProof/>
              <w:lang w:eastAsia="fr-FR"/>
            </w:rPr>
          </w:pPr>
          <w:hyperlink w:anchor="_Toc194653647" w:history="1">
            <w:r w:rsidRPr="00E13F1E">
              <w:rPr>
                <w:rStyle w:val="Lienhypertexte"/>
                <w:noProof/>
                <w14:scene3d>
                  <w14:camera w14:prst="orthographicFront"/>
                  <w14:lightRig w14:rig="threePt" w14:dir="t">
                    <w14:rot w14:lat="0" w14:lon="0" w14:rev="0"/>
                  </w14:lightRig>
                </w14:scene3d>
              </w:rPr>
              <w:t>1.5.1</w:t>
            </w:r>
            <w:r>
              <w:rPr>
                <w:rFonts w:eastAsiaTheme="minorEastAsia"/>
                <w:noProof/>
                <w:lang w:eastAsia="fr-FR"/>
              </w:rPr>
              <w:tab/>
            </w:r>
            <w:r w:rsidRPr="00E13F1E">
              <w:rPr>
                <w:rStyle w:val="Lienhypertexte"/>
                <w:noProof/>
              </w:rPr>
              <w:t>Notifications destinées au Titulaire</w:t>
            </w:r>
            <w:r>
              <w:rPr>
                <w:noProof/>
                <w:webHidden/>
              </w:rPr>
              <w:tab/>
            </w:r>
            <w:r>
              <w:rPr>
                <w:noProof/>
                <w:webHidden/>
              </w:rPr>
              <w:fldChar w:fldCharType="begin"/>
            </w:r>
            <w:r>
              <w:rPr>
                <w:noProof/>
                <w:webHidden/>
              </w:rPr>
              <w:instrText xml:space="preserve"> PAGEREF _Toc194653647 \h </w:instrText>
            </w:r>
            <w:r>
              <w:rPr>
                <w:noProof/>
                <w:webHidden/>
              </w:rPr>
            </w:r>
            <w:r>
              <w:rPr>
                <w:noProof/>
                <w:webHidden/>
              </w:rPr>
              <w:fldChar w:fldCharType="separate"/>
            </w:r>
            <w:r>
              <w:rPr>
                <w:noProof/>
                <w:webHidden/>
              </w:rPr>
              <w:t>7</w:t>
            </w:r>
            <w:r>
              <w:rPr>
                <w:noProof/>
                <w:webHidden/>
              </w:rPr>
              <w:fldChar w:fldCharType="end"/>
            </w:r>
          </w:hyperlink>
        </w:p>
        <w:p w14:paraId="76AA35E6" w14:textId="595567A5" w:rsidR="00FB16EA" w:rsidRDefault="00FB16EA">
          <w:pPr>
            <w:pStyle w:val="TM3"/>
            <w:tabs>
              <w:tab w:val="left" w:pos="1320"/>
              <w:tab w:val="right" w:leader="dot" w:pos="9062"/>
            </w:tabs>
            <w:rPr>
              <w:rFonts w:eastAsiaTheme="minorEastAsia"/>
              <w:noProof/>
              <w:lang w:eastAsia="fr-FR"/>
            </w:rPr>
          </w:pPr>
          <w:hyperlink w:anchor="_Toc194653648" w:history="1">
            <w:r w:rsidRPr="00E13F1E">
              <w:rPr>
                <w:rStyle w:val="Lienhypertexte"/>
                <w:noProof/>
                <w:lang w:eastAsia="fr-FR"/>
                <w14:scene3d>
                  <w14:camera w14:prst="orthographicFront"/>
                  <w14:lightRig w14:rig="threePt" w14:dir="t">
                    <w14:rot w14:lat="0" w14:lon="0" w14:rev="0"/>
                  </w14:lightRig>
                </w14:scene3d>
              </w:rPr>
              <w:t>1.5.2</w:t>
            </w:r>
            <w:r>
              <w:rPr>
                <w:rFonts w:eastAsiaTheme="minorEastAsia"/>
                <w:noProof/>
                <w:lang w:eastAsia="fr-FR"/>
              </w:rPr>
              <w:tab/>
            </w:r>
            <w:r w:rsidRPr="00E13F1E">
              <w:rPr>
                <w:rStyle w:val="Lienhypertexte"/>
                <w:noProof/>
                <w:lang w:eastAsia="fr-FR"/>
              </w:rPr>
              <w:t>Notifications destinées au Maitre d’Ouvrage</w:t>
            </w:r>
            <w:r>
              <w:rPr>
                <w:noProof/>
                <w:webHidden/>
              </w:rPr>
              <w:tab/>
            </w:r>
            <w:r>
              <w:rPr>
                <w:noProof/>
                <w:webHidden/>
              </w:rPr>
              <w:fldChar w:fldCharType="begin"/>
            </w:r>
            <w:r>
              <w:rPr>
                <w:noProof/>
                <w:webHidden/>
              </w:rPr>
              <w:instrText xml:space="preserve"> PAGEREF _Toc194653648 \h </w:instrText>
            </w:r>
            <w:r>
              <w:rPr>
                <w:noProof/>
                <w:webHidden/>
              </w:rPr>
            </w:r>
            <w:r>
              <w:rPr>
                <w:noProof/>
                <w:webHidden/>
              </w:rPr>
              <w:fldChar w:fldCharType="separate"/>
            </w:r>
            <w:r>
              <w:rPr>
                <w:noProof/>
                <w:webHidden/>
              </w:rPr>
              <w:t>7</w:t>
            </w:r>
            <w:r>
              <w:rPr>
                <w:noProof/>
                <w:webHidden/>
              </w:rPr>
              <w:fldChar w:fldCharType="end"/>
            </w:r>
          </w:hyperlink>
        </w:p>
        <w:p w14:paraId="7AE2AD24" w14:textId="19BE4229" w:rsidR="00FB16EA" w:rsidRDefault="00FB16EA">
          <w:pPr>
            <w:pStyle w:val="TM1"/>
            <w:tabs>
              <w:tab w:val="left" w:pos="440"/>
              <w:tab w:val="right" w:leader="dot" w:pos="9062"/>
            </w:tabs>
            <w:rPr>
              <w:rFonts w:eastAsiaTheme="minorEastAsia"/>
              <w:noProof/>
              <w:lang w:eastAsia="fr-FR"/>
            </w:rPr>
          </w:pPr>
          <w:hyperlink w:anchor="_Toc194653649" w:history="1">
            <w:r w:rsidRPr="00E13F1E">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E13F1E">
              <w:rPr>
                <w:rStyle w:val="Lienhypertexte"/>
                <w:noProof/>
              </w:rPr>
              <w:t>Acteurs du projet</w:t>
            </w:r>
            <w:r>
              <w:rPr>
                <w:noProof/>
                <w:webHidden/>
              </w:rPr>
              <w:tab/>
            </w:r>
            <w:r>
              <w:rPr>
                <w:noProof/>
                <w:webHidden/>
              </w:rPr>
              <w:fldChar w:fldCharType="begin"/>
            </w:r>
            <w:r>
              <w:rPr>
                <w:noProof/>
                <w:webHidden/>
              </w:rPr>
              <w:instrText xml:space="preserve"> PAGEREF _Toc194653649 \h </w:instrText>
            </w:r>
            <w:r>
              <w:rPr>
                <w:noProof/>
                <w:webHidden/>
              </w:rPr>
            </w:r>
            <w:r>
              <w:rPr>
                <w:noProof/>
                <w:webHidden/>
              </w:rPr>
              <w:fldChar w:fldCharType="separate"/>
            </w:r>
            <w:r>
              <w:rPr>
                <w:noProof/>
                <w:webHidden/>
              </w:rPr>
              <w:t>7</w:t>
            </w:r>
            <w:r>
              <w:rPr>
                <w:noProof/>
                <w:webHidden/>
              </w:rPr>
              <w:fldChar w:fldCharType="end"/>
            </w:r>
          </w:hyperlink>
        </w:p>
        <w:p w14:paraId="65193031" w14:textId="2BCB4DE5" w:rsidR="00FB16EA" w:rsidRDefault="00FB16EA">
          <w:pPr>
            <w:pStyle w:val="TM2"/>
            <w:tabs>
              <w:tab w:val="left" w:pos="880"/>
              <w:tab w:val="right" w:leader="dot" w:pos="9062"/>
            </w:tabs>
            <w:rPr>
              <w:rFonts w:eastAsiaTheme="minorEastAsia"/>
              <w:noProof/>
              <w:lang w:eastAsia="fr-FR"/>
            </w:rPr>
          </w:pPr>
          <w:hyperlink w:anchor="_Toc194653650" w:history="1">
            <w:r w:rsidRPr="00E13F1E">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E13F1E">
              <w:rPr>
                <w:rStyle w:val="Lienhypertexte"/>
                <w:noProof/>
              </w:rPr>
              <w:t>Maîtrise d’ouvrage</w:t>
            </w:r>
            <w:r>
              <w:rPr>
                <w:noProof/>
                <w:webHidden/>
              </w:rPr>
              <w:tab/>
            </w:r>
            <w:r>
              <w:rPr>
                <w:noProof/>
                <w:webHidden/>
              </w:rPr>
              <w:fldChar w:fldCharType="begin"/>
            </w:r>
            <w:r>
              <w:rPr>
                <w:noProof/>
                <w:webHidden/>
              </w:rPr>
              <w:instrText xml:space="preserve"> PAGEREF _Toc194653650 \h </w:instrText>
            </w:r>
            <w:r>
              <w:rPr>
                <w:noProof/>
                <w:webHidden/>
              </w:rPr>
            </w:r>
            <w:r>
              <w:rPr>
                <w:noProof/>
                <w:webHidden/>
              </w:rPr>
              <w:fldChar w:fldCharType="separate"/>
            </w:r>
            <w:r>
              <w:rPr>
                <w:noProof/>
                <w:webHidden/>
              </w:rPr>
              <w:t>7</w:t>
            </w:r>
            <w:r>
              <w:rPr>
                <w:noProof/>
                <w:webHidden/>
              </w:rPr>
              <w:fldChar w:fldCharType="end"/>
            </w:r>
          </w:hyperlink>
        </w:p>
        <w:p w14:paraId="125ABA38" w14:textId="683F01C2" w:rsidR="00FB16EA" w:rsidRDefault="00FB16EA">
          <w:pPr>
            <w:pStyle w:val="TM2"/>
            <w:tabs>
              <w:tab w:val="left" w:pos="880"/>
              <w:tab w:val="right" w:leader="dot" w:pos="9062"/>
            </w:tabs>
            <w:rPr>
              <w:rFonts w:eastAsiaTheme="minorEastAsia"/>
              <w:noProof/>
              <w:lang w:eastAsia="fr-FR"/>
            </w:rPr>
          </w:pPr>
          <w:hyperlink w:anchor="_Toc194653651" w:history="1">
            <w:r w:rsidRPr="00E13F1E">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E13F1E">
              <w:rPr>
                <w:rStyle w:val="Lienhypertexte"/>
                <w:noProof/>
              </w:rPr>
              <w:t>Maîtrise d’œuvre</w:t>
            </w:r>
            <w:r>
              <w:rPr>
                <w:noProof/>
                <w:webHidden/>
              </w:rPr>
              <w:tab/>
            </w:r>
            <w:r>
              <w:rPr>
                <w:noProof/>
                <w:webHidden/>
              </w:rPr>
              <w:fldChar w:fldCharType="begin"/>
            </w:r>
            <w:r>
              <w:rPr>
                <w:noProof/>
                <w:webHidden/>
              </w:rPr>
              <w:instrText xml:space="preserve"> PAGEREF _Toc194653651 \h </w:instrText>
            </w:r>
            <w:r>
              <w:rPr>
                <w:noProof/>
                <w:webHidden/>
              </w:rPr>
            </w:r>
            <w:r>
              <w:rPr>
                <w:noProof/>
                <w:webHidden/>
              </w:rPr>
              <w:fldChar w:fldCharType="separate"/>
            </w:r>
            <w:r>
              <w:rPr>
                <w:noProof/>
                <w:webHidden/>
              </w:rPr>
              <w:t>8</w:t>
            </w:r>
            <w:r>
              <w:rPr>
                <w:noProof/>
                <w:webHidden/>
              </w:rPr>
              <w:fldChar w:fldCharType="end"/>
            </w:r>
          </w:hyperlink>
        </w:p>
        <w:p w14:paraId="3DA6B7D5" w14:textId="5219F15C" w:rsidR="00FB16EA" w:rsidRDefault="00FB16EA">
          <w:pPr>
            <w:pStyle w:val="TM2"/>
            <w:tabs>
              <w:tab w:val="left" w:pos="880"/>
              <w:tab w:val="right" w:leader="dot" w:pos="9062"/>
            </w:tabs>
            <w:rPr>
              <w:rFonts w:eastAsiaTheme="minorEastAsia"/>
              <w:noProof/>
              <w:lang w:eastAsia="fr-FR"/>
            </w:rPr>
          </w:pPr>
          <w:hyperlink w:anchor="_Toc194653652" w:history="1">
            <w:r w:rsidRPr="00E13F1E">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E13F1E">
              <w:rPr>
                <w:rStyle w:val="Lienhypertexte"/>
                <w:noProof/>
              </w:rPr>
              <w:t>CSPS</w:t>
            </w:r>
            <w:r>
              <w:rPr>
                <w:noProof/>
                <w:webHidden/>
              </w:rPr>
              <w:tab/>
            </w:r>
            <w:r>
              <w:rPr>
                <w:noProof/>
                <w:webHidden/>
              </w:rPr>
              <w:fldChar w:fldCharType="begin"/>
            </w:r>
            <w:r>
              <w:rPr>
                <w:noProof/>
                <w:webHidden/>
              </w:rPr>
              <w:instrText xml:space="preserve"> PAGEREF _Toc194653652 \h </w:instrText>
            </w:r>
            <w:r>
              <w:rPr>
                <w:noProof/>
                <w:webHidden/>
              </w:rPr>
            </w:r>
            <w:r>
              <w:rPr>
                <w:noProof/>
                <w:webHidden/>
              </w:rPr>
              <w:fldChar w:fldCharType="separate"/>
            </w:r>
            <w:r>
              <w:rPr>
                <w:noProof/>
                <w:webHidden/>
              </w:rPr>
              <w:t>8</w:t>
            </w:r>
            <w:r>
              <w:rPr>
                <w:noProof/>
                <w:webHidden/>
              </w:rPr>
              <w:fldChar w:fldCharType="end"/>
            </w:r>
          </w:hyperlink>
        </w:p>
        <w:p w14:paraId="3FE736C7" w14:textId="551EA20D" w:rsidR="00FB16EA" w:rsidRDefault="00FB16EA">
          <w:pPr>
            <w:pStyle w:val="TM2"/>
            <w:tabs>
              <w:tab w:val="left" w:pos="880"/>
              <w:tab w:val="right" w:leader="dot" w:pos="9062"/>
            </w:tabs>
            <w:rPr>
              <w:rFonts w:eastAsiaTheme="minorEastAsia"/>
              <w:noProof/>
              <w:lang w:eastAsia="fr-FR"/>
            </w:rPr>
          </w:pPr>
          <w:hyperlink w:anchor="_Toc194653653" w:history="1">
            <w:r w:rsidRPr="00E13F1E">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E13F1E">
              <w:rPr>
                <w:rStyle w:val="Lienhypertexte"/>
                <w:noProof/>
              </w:rPr>
              <w:t>Bureau de contrôle</w:t>
            </w:r>
            <w:r>
              <w:rPr>
                <w:noProof/>
                <w:webHidden/>
              </w:rPr>
              <w:tab/>
            </w:r>
            <w:r>
              <w:rPr>
                <w:noProof/>
                <w:webHidden/>
              </w:rPr>
              <w:fldChar w:fldCharType="begin"/>
            </w:r>
            <w:r>
              <w:rPr>
                <w:noProof/>
                <w:webHidden/>
              </w:rPr>
              <w:instrText xml:space="preserve"> PAGEREF _Toc194653653 \h </w:instrText>
            </w:r>
            <w:r>
              <w:rPr>
                <w:noProof/>
                <w:webHidden/>
              </w:rPr>
            </w:r>
            <w:r>
              <w:rPr>
                <w:noProof/>
                <w:webHidden/>
              </w:rPr>
              <w:fldChar w:fldCharType="separate"/>
            </w:r>
            <w:r>
              <w:rPr>
                <w:noProof/>
                <w:webHidden/>
              </w:rPr>
              <w:t>8</w:t>
            </w:r>
            <w:r>
              <w:rPr>
                <w:noProof/>
                <w:webHidden/>
              </w:rPr>
              <w:fldChar w:fldCharType="end"/>
            </w:r>
          </w:hyperlink>
        </w:p>
        <w:p w14:paraId="242D4650" w14:textId="7690A485" w:rsidR="00FB16EA" w:rsidRDefault="00FB16EA">
          <w:pPr>
            <w:pStyle w:val="TM2"/>
            <w:tabs>
              <w:tab w:val="left" w:pos="880"/>
              <w:tab w:val="right" w:leader="dot" w:pos="9062"/>
            </w:tabs>
            <w:rPr>
              <w:rFonts w:eastAsiaTheme="minorEastAsia"/>
              <w:noProof/>
              <w:lang w:eastAsia="fr-FR"/>
            </w:rPr>
          </w:pPr>
          <w:hyperlink w:anchor="_Toc194653654" w:history="1">
            <w:r w:rsidRPr="00E13F1E">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E13F1E">
              <w:rPr>
                <w:rStyle w:val="Lienhypertexte"/>
                <w:noProof/>
              </w:rPr>
              <w:t>CSSI</w:t>
            </w:r>
            <w:r>
              <w:rPr>
                <w:noProof/>
                <w:webHidden/>
              </w:rPr>
              <w:tab/>
            </w:r>
            <w:r>
              <w:rPr>
                <w:noProof/>
                <w:webHidden/>
              </w:rPr>
              <w:fldChar w:fldCharType="begin"/>
            </w:r>
            <w:r>
              <w:rPr>
                <w:noProof/>
                <w:webHidden/>
              </w:rPr>
              <w:instrText xml:space="preserve"> PAGEREF _Toc194653654 \h </w:instrText>
            </w:r>
            <w:r>
              <w:rPr>
                <w:noProof/>
                <w:webHidden/>
              </w:rPr>
            </w:r>
            <w:r>
              <w:rPr>
                <w:noProof/>
                <w:webHidden/>
              </w:rPr>
              <w:fldChar w:fldCharType="separate"/>
            </w:r>
            <w:r>
              <w:rPr>
                <w:noProof/>
                <w:webHidden/>
              </w:rPr>
              <w:t>8</w:t>
            </w:r>
            <w:r>
              <w:rPr>
                <w:noProof/>
                <w:webHidden/>
              </w:rPr>
              <w:fldChar w:fldCharType="end"/>
            </w:r>
          </w:hyperlink>
        </w:p>
        <w:p w14:paraId="77EF329E" w14:textId="138EF6D5" w:rsidR="00FB16EA" w:rsidRDefault="00FB16EA">
          <w:pPr>
            <w:pStyle w:val="TM1"/>
            <w:tabs>
              <w:tab w:val="left" w:pos="440"/>
              <w:tab w:val="right" w:leader="dot" w:pos="9062"/>
            </w:tabs>
            <w:rPr>
              <w:rFonts w:eastAsiaTheme="minorEastAsia"/>
              <w:noProof/>
              <w:lang w:eastAsia="fr-FR"/>
            </w:rPr>
          </w:pPr>
          <w:hyperlink w:anchor="_Toc194653655" w:history="1">
            <w:r w:rsidRPr="00E13F1E">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E13F1E">
              <w:rPr>
                <w:rStyle w:val="Lienhypertexte"/>
                <w:noProof/>
              </w:rPr>
              <w:t>Documents contractuels</w:t>
            </w:r>
            <w:r>
              <w:rPr>
                <w:noProof/>
                <w:webHidden/>
              </w:rPr>
              <w:tab/>
            </w:r>
            <w:r>
              <w:rPr>
                <w:noProof/>
                <w:webHidden/>
              </w:rPr>
              <w:fldChar w:fldCharType="begin"/>
            </w:r>
            <w:r>
              <w:rPr>
                <w:noProof/>
                <w:webHidden/>
              </w:rPr>
              <w:instrText xml:space="preserve"> PAGEREF _Toc194653655 \h </w:instrText>
            </w:r>
            <w:r>
              <w:rPr>
                <w:noProof/>
                <w:webHidden/>
              </w:rPr>
            </w:r>
            <w:r>
              <w:rPr>
                <w:noProof/>
                <w:webHidden/>
              </w:rPr>
              <w:fldChar w:fldCharType="separate"/>
            </w:r>
            <w:r>
              <w:rPr>
                <w:noProof/>
                <w:webHidden/>
              </w:rPr>
              <w:t>8</w:t>
            </w:r>
            <w:r>
              <w:rPr>
                <w:noProof/>
                <w:webHidden/>
              </w:rPr>
              <w:fldChar w:fldCharType="end"/>
            </w:r>
          </w:hyperlink>
        </w:p>
        <w:p w14:paraId="2E75C326" w14:textId="0A60D2FC" w:rsidR="00FB16EA" w:rsidRDefault="00FB16EA">
          <w:pPr>
            <w:pStyle w:val="TM1"/>
            <w:tabs>
              <w:tab w:val="left" w:pos="440"/>
              <w:tab w:val="right" w:leader="dot" w:pos="9062"/>
            </w:tabs>
            <w:rPr>
              <w:rFonts w:eastAsiaTheme="minorEastAsia"/>
              <w:noProof/>
              <w:lang w:eastAsia="fr-FR"/>
            </w:rPr>
          </w:pPr>
          <w:hyperlink w:anchor="_Toc194653656" w:history="1">
            <w:r w:rsidRPr="00E13F1E">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E13F1E">
              <w:rPr>
                <w:rStyle w:val="Lienhypertexte"/>
                <w:noProof/>
              </w:rPr>
              <w:t>Prix et mode d’évaluation des ouvrages, variation dans les prix, règlement des comptes</w:t>
            </w:r>
            <w:r>
              <w:rPr>
                <w:noProof/>
                <w:webHidden/>
              </w:rPr>
              <w:tab/>
            </w:r>
            <w:r>
              <w:rPr>
                <w:noProof/>
                <w:webHidden/>
              </w:rPr>
              <w:fldChar w:fldCharType="begin"/>
            </w:r>
            <w:r>
              <w:rPr>
                <w:noProof/>
                <w:webHidden/>
              </w:rPr>
              <w:instrText xml:space="preserve"> PAGEREF _Toc194653656 \h </w:instrText>
            </w:r>
            <w:r>
              <w:rPr>
                <w:noProof/>
                <w:webHidden/>
              </w:rPr>
            </w:r>
            <w:r>
              <w:rPr>
                <w:noProof/>
                <w:webHidden/>
              </w:rPr>
              <w:fldChar w:fldCharType="separate"/>
            </w:r>
            <w:r>
              <w:rPr>
                <w:noProof/>
                <w:webHidden/>
              </w:rPr>
              <w:t>9</w:t>
            </w:r>
            <w:r>
              <w:rPr>
                <w:noProof/>
                <w:webHidden/>
              </w:rPr>
              <w:fldChar w:fldCharType="end"/>
            </w:r>
          </w:hyperlink>
        </w:p>
        <w:p w14:paraId="76CC4412" w14:textId="49B70DDE" w:rsidR="00FB16EA" w:rsidRDefault="00FB16EA">
          <w:pPr>
            <w:pStyle w:val="TM2"/>
            <w:tabs>
              <w:tab w:val="left" w:pos="880"/>
              <w:tab w:val="right" w:leader="dot" w:pos="9062"/>
            </w:tabs>
            <w:rPr>
              <w:rFonts w:eastAsiaTheme="minorEastAsia"/>
              <w:noProof/>
              <w:lang w:eastAsia="fr-FR"/>
            </w:rPr>
          </w:pPr>
          <w:hyperlink w:anchor="_Toc194653657" w:history="1">
            <w:r w:rsidRPr="00E13F1E">
              <w:rPr>
                <w:rStyle w:val="Lienhypertexte"/>
                <w:noProof/>
                <w14:scene3d>
                  <w14:camera w14:prst="orthographicFront"/>
                  <w14:lightRig w14:rig="threePt" w14:dir="t">
                    <w14:rot w14:lat="0" w14:lon="0" w14:rev="0"/>
                  </w14:lightRig>
                </w14:scene3d>
              </w:rPr>
              <w:t>4.1</w:t>
            </w:r>
            <w:r>
              <w:rPr>
                <w:rFonts w:eastAsiaTheme="minorEastAsia"/>
                <w:noProof/>
                <w:lang w:eastAsia="fr-FR"/>
              </w:rPr>
              <w:tab/>
            </w:r>
            <w:r w:rsidRPr="00E13F1E">
              <w:rPr>
                <w:rStyle w:val="Lienhypertexte"/>
                <w:noProof/>
              </w:rPr>
              <w:t>Répartition des paiements</w:t>
            </w:r>
            <w:r>
              <w:rPr>
                <w:noProof/>
                <w:webHidden/>
              </w:rPr>
              <w:tab/>
            </w:r>
            <w:r>
              <w:rPr>
                <w:noProof/>
                <w:webHidden/>
              </w:rPr>
              <w:fldChar w:fldCharType="begin"/>
            </w:r>
            <w:r>
              <w:rPr>
                <w:noProof/>
                <w:webHidden/>
              </w:rPr>
              <w:instrText xml:space="preserve"> PAGEREF _Toc194653657 \h </w:instrText>
            </w:r>
            <w:r>
              <w:rPr>
                <w:noProof/>
                <w:webHidden/>
              </w:rPr>
            </w:r>
            <w:r>
              <w:rPr>
                <w:noProof/>
                <w:webHidden/>
              </w:rPr>
              <w:fldChar w:fldCharType="separate"/>
            </w:r>
            <w:r>
              <w:rPr>
                <w:noProof/>
                <w:webHidden/>
              </w:rPr>
              <w:t>9</w:t>
            </w:r>
            <w:r>
              <w:rPr>
                <w:noProof/>
                <w:webHidden/>
              </w:rPr>
              <w:fldChar w:fldCharType="end"/>
            </w:r>
          </w:hyperlink>
        </w:p>
        <w:p w14:paraId="155C5A62" w14:textId="0CBA9BAC" w:rsidR="00FB16EA" w:rsidRDefault="00FB16EA">
          <w:pPr>
            <w:pStyle w:val="TM2"/>
            <w:tabs>
              <w:tab w:val="left" w:pos="880"/>
              <w:tab w:val="right" w:leader="dot" w:pos="9062"/>
            </w:tabs>
            <w:rPr>
              <w:rFonts w:eastAsiaTheme="minorEastAsia"/>
              <w:noProof/>
              <w:lang w:eastAsia="fr-FR"/>
            </w:rPr>
          </w:pPr>
          <w:hyperlink w:anchor="_Toc194653658" w:history="1">
            <w:r w:rsidRPr="00E13F1E">
              <w:rPr>
                <w:rStyle w:val="Lienhypertexte"/>
                <w:noProof/>
                <w14:scene3d>
                  <w14:camera w14:prst="orthographicFront"/>
                  <w14:lightRig w14:rig="threePt" w14:dir="t">
                    <w14:rot w14:lat="0" w14:lon="0" w14:rev="0"/>
                  </w14:lightRig>
                </w14:scene3d>
              </w:rPr>
              <w:t>4.2</w:t>
            </w:r>
            <w:r>
              <w:rPr>
                <w:rFonts w:eastAsiaTheme="minorEastAsia"/>
                <w:noProof/>
                <w:lang w:eastAsia="fr-FR"/>
              </w:rPr>
              <w:tab/>
            </w:r>
            <w:r w:rsidRPr="00E13F1E">
              <w:rPr>
                <w:rStyle w:val="Lienhypertexte"/>
                <w:noProof/>
              </w:rPr>
              <w:t>Contenu des prix, mode d’évaluation des ouvrages et de règlement des comptes</w:t>
            </w:r>
            <w:r>
              <w:rPr>
                <w:noProof/>
                <w:webHidden/>
              </w:rPr>
              <w:tab/>
            </w:r>
            <w:r>
              <w:rPr>
                <w:noProof/>
                <w:webHidden/>
              </w:rPr>
              <w:fldChar w:fldCharType="begin"/>
            </w:r>
            <w:r>
              <w:rPr>
                <w:noProof/>
                <w:webHidden/>
              </w:rPr>
              <w:instrText xml:space="preserve"> PAGEREF _Toc194653658 \h </w:instrText>
            </w:r>
            <w:r>
              <w:rPr>
                <w:noProof/>
                <w:webHidden/>
              </w:rPr>
            </w:r>
            <w:r>
              <w:rPr>
                <w:noProof/>
                <w:webHidden/>
              </w:rPr>
              <w:fldChar w:fldCharType="separate"/>
            </w:r>
            <w:r>
              <w:rPr>
                <w:noProof/>
                <w:webHidden/>
              </w:rPr>
              <w:t>9</w:t>
            </w:r>
            <w:r>
              <w:rPr>
                <w:noProof/>
                <w:webHidden/>
              </w:rPr>
              <w:fldChar w:fldCharType="end"/>
            </w:r>
          </w:hyperlink>
        </w:p>
        <w:p w14:paraId="13040E30" w14:textId="14372C83" w:rsidR="00FB16EA" w:rsidRDefault="00FB16EA">
          <w:pPr>
            <w:pStyle w:val="TM3"/>
            <w:tabs>
              <w:tab w:val="left" w:pos="1320"/>
              <w:tab w:val="right" w:leader="dot" w:pos="9062"/>
            </w:tabs>
            <w:rPr>
              <w:rFonts w:eastAsiaTheme="minorEastAsia"/>
              <w:noProof/>
              <w:lang w:eastAsia="fr-FR"/>
            </w:rPr>
          </w:pPr>
          <w:hyperlink w:anchor="_Toc194653659" w:history="1">
            <w:r w:rsidRPr="00E13F1E">
              <w:rPr>
                <w:rStyle w:val="Lienhypertexte"/>
                <w:noProof/>
                <w14:scene3d>
                  <w14:camera w14:prst="orthographicFront"/>
                  <w14:lightRig w14:rig="threePt" w14:dir="t">
                    <w14:rot w14:lat="0" w14:lon="0" w14:rev="0"/>
                  </w14:lightRig>
                </w14:scene3d>
              </w:rPr>
              <w:t>4.2.1</w:t>
            </w:r>
            <w:r>
              <w:rPr>
                <w:rFonts w:eastAsiaTheme="minorEastAsia"/>
                <w:noProof/>
                <w:lang w:eastAsia="fr-FR"/>
              </w:rPr>
              <w:tab/>
            </w:r>
            <w:r w:rsidRPr="00E13F1E">
              <w:rPr>
                <w:rStyle w:val="Lienhypertexte"/>
                <w:noProof/>
              </w:rPr>
              <w:t>Contenu des prix</w:t>
            </w:r>
            <w:r>
              <w:rPr>
                <w:noProof/>
                <w:webHidden/>
              </w:rPr>
              <w:tab/>
            </w:r>
            <w:r>
              <w:rPr>
                <w:noProof/>
                <w:webHidden/>
              </w:rPr>
              <w:fldChar w:fldCharType="begin"/>
            </w:r>
            <w:r>
              <w:rPr>
                <w:noProof/>
                <w:webHidden/>
              </w:rPr>
              <w:instrText xml:space="preserve"> PAGEREF _Toc194653659 \h </w:instrText>
            </w:r>
            <w:r>
              <w:rPr>
                <w:noProof/>
                <w:webHidden/>
              </w:rPr>
            </w:r>
            <w:r>
              <w:rPr>
                <w:noProof/>
                <w:webHidden/>
              </w:rPr>
              <w:fldChar w:fldCharType="separate"/>
            </w:r>
            <w:r>
              <w:rPr>
                <w:noProof/>
                <w:webHidden/>
              </w:rPr>
              <w:t>9</w:t>
            </w:r>
            <w:r>
              <w:rPr>
                <w:noProof/>
                <w:webHidden/>
              </w:rPr>
              <w:fldChar w:fldCharType="end"/>
            </w:r>
          </w:hyperlink>
        </w:p>
        <w:p w14:paraId="1DA0FDD6" w14:textId="303156BF" w:rsidR="00FB16EA" w:rsidRDefault="00FB16EA">
          <w:pPr>
            <w:pStyle w:val="TM3"/>
            <w:tabs>
              <w:tab w:val="left" w:pos="1320"/>
              <w:tab w:val="right" w:leader="dot" w:pos="9062"/>
            </w:tabs>
            <w:rPr>
              <w:rFonts w:eastAsiaTheme="minorEastAsia"/>
              <w:noProof/>
              <w:lang w:eastAsia="fr-FR"/>
            </w:rPr>
          </w:pPr>
          <w:hyperlink w:anchor="_Toc194653660" w:history="1">
            <w:r w:rsidRPr="00E13F1E">
              <w:rPr>
                <w:rStyle w:val="Lienhypertexte"/>
                <w:noProof/>
                <w14:scene3d>
                  <w14:camera w14:prst="orthographicFront"/>
                  <w14:lightRig w14:rig="threePt" w14:dir="t">
                    <w14:rot w14:lat="0" w14:lon="0" w14:rev="0"/>
                  </w14:lightRig>
                </w14:scene3d>
              </w:rPr>
              <w:t>4.2.2</w:t>
            </w:r>
            <w:r>
              <w:rPr>
                <w:rFonts w:eastAsiaTheme="minorEastAsia"/>
                <w:noProof/>
                <w:lang w:eastAsia="fr-FR"/>
              </w:rPr>
              <w:tab/>
            </w:r>
            <w:r w:rsidRPr="00E13F1E">
              <w:rPr>
                <w:rStyle w:val="Lienhypertexte"/>
                <w:noProof/>
              </w:rPr>
              <w:t>Forme des prix</w:t>
            </w:r>
            <w:r>
              <w:rPr>
                <w:noProof/>
                <w:webHidden/>
              </w:rPr>
              <w:tab/>
            </w:r>
            <w:r>
              <w:rPr>
                <w:noProof/>
                <w:webHidden/>
              </w:rPr>
              <w:fldChar w:fldCharType="begin"/>
            </w:r>
            <w:r>
              <w:rPr>
                <w:noProof/>
                <w:webHidden/>
              </w:rPr>
              <w:instrText xml:space="preserve"> PAGEREF _Toc194653660 \h </w:instrText>
            </w:r>
            <w:r>
              <w:rPr>
                <w:noProof/>
                <w:webHidden/>
              </w:rPr>
            </w:r>
            <w:r>
              <w:rPr>
                <w:noProof/>
                <w:webHidden/>
              </w:rPr>
              <w:fldChar w:fldCharType="separate"/>
            </w:r>
            <w:r>
              <w:rPr>
                <w:noProof/>
                <w:webHidden/>
              </w:rPr>
              <w:t>9</w:t>
            </w:r>
            <w:r>
              <w:rPr>
                <w:noProof/>
                <w:webHidden/>
              </w:rPr>
              <w:fldChar w:fldCharType="end"/>
            </w:r>
          </w:hyperlink>
        </w:p>
        <w:p w14:paraId="4436CFA3" w14:textId="0D994648" w:rsidR="00FB16EA" w:rsidRDefault="00FB16EA">
          <w:pPr>
            <w:pStyle w:val="TM3"/>
            <w:tabs>
              <w:tab w:val="left" w:pos="1320"/>
              <w:tab w:val="right" w:leader="dot" w:pos="9062"/>
            </w:tabs>
            <w:rPr>
              <w:rFonts w:eastAsiaTheme="minorEastAsia"/>
              <w:noProof/>
              <w:lang w:eastAsia="fr-FR"/>
            </w:rPr>
          </w:pPr>
          <w:hyperlink w:anchor="_Toc194653661" w:history="1">
            <w:r w:rsidRPr="00E13F1E">
              <w:rPr>
                <w:rStyle w:val="Lienhypertexte"/>
                <w:noProof/>
                <w14:scene3d>
                  <w14:camera w14:prst="orthographicFront"/>
                  <w14:lightRig w14:rig="threePt" w14:dir="t">
                    <w14:rot w14:lat="0" w14:lon="0" w14:rev="0"/>
                  </w14:lightRig>
                </w14:scene3d>
              </w:rPr>
              <w:t>4.2.3</w:t>
            </w:r>
            <w:r>
              <w:rPr>
                <w:rFonts w:eastAsiaTheme="minorEastAsia"/>
                <w:noProof/>
                <w:lang w:eastAsia="fr-FR"/>
              </w:rPr>
              <w:tab/>
            </w:r>
            <w:r w:rsidRPr="00E13F1E">
              <w:rPr>
                <w:rStyle w:val="Lienhypertexte"/>
                <w:noProof/>
              </w:rPr>
              <w:t>Mode d’évaluation des ouvrages</w:t>
            </w:r>
            <w:r>
              <w:rPr>
                <w:noProof/>
                <w:webHidden/>
              </w:rPr>
              <w:tab/>
            </w:r>
            <w:r>
              <w:rPr>
                <w:noProof/>
                <w:webHidden/>
              </w:rPr>
              <w:fldChar w:fldCharType="begin"/>
            </w:r>
            <w:r>
              <w:rPr>
                <w:noProof/>
                <w:webHidden/>
              </w:rPr>
              <w:instrText xml:space="preserve"> PAGEREF _Toc194653661 \h </w:instrText>
            </w:r>
            <w:r>
              <w:rPr>
                <w:noProof/>
                <w:webHidden/>
              </w:rPr>
            </w:r>
            <w:r>
              <w:rPr>
                <w:noProof/>
                <w:webHidden/>
              </w:rPr>
              <w:fldChar w:fldCharType="separate"/>
            </w:r>
            <w:r>
              <w:rPr>
                <w:noProof/>
                <w:webHidden/>
              </w:rPr>
              <w:t>10</w:t>
            </w:r>
            <w:r>
              <w:rPr>
                <w:noProof/>
                <w:webHidden/>
              </w:rPr>
              <w:fldChar w:fldCharType="end"/>
            </w:r>
          </w:hyperlink>
        </w:p>
        <w:p w14:paraId="05C87257" w14:textId="7FB47259" w:rsidR="00FB16EA" w:rsidRDefault="00FB16EA">
          <w:pPr>
            <w:pStyle w:val="TM2"/>
            <w:tabs>
              <w:tab w:val="left" w:pos="880"/>
              <w:tab w:val="right" w:leader="dot" w:pos="9062"/>
            </w:tabs>
            <w:rPr>
              <w:rFonts w:eastAsiaTheme="minorEastAsia"/>
              <w:noProof/>
              <w:lang w:eastAsia="fr-FR"/>
            </w:rPr>
          </w:pPr>
          <w:hyperlink w:anchor="_Toc194653662" w:history="1">
            <w:r w:rsidRPr="00E13F1E">
              <w:rPr>
                <w:rStyle w:val="Lienhypertexte"/>
                <w:noProof/>
                <w14:scene3d>
                  <w14:camera w14:prst="orthographicFront"/>
                  <w14:lightRig w14:rig="threePt" w14:dir="t">
                    <w14:rot w14:lat="0" w14:lon="0" w14:rev="0"/>
                  </w14:lightRig>
                </w14:scene3d>
              </w:rPr>
              <w:t>4.3</w:t>
            </w:r>
            <w:r>
              <w:rPr>
                <w:rFonts w:eastAsiaTheme="minorEastAsia"/>
                <w:noProof/>
                <w:lang w:eastAsia="fr-FR"/>
              </w:rPr>
              <w:tab/>
            </w:r>
            <w:r w:rsidRPr="00E13F1E">
              <w:rPr>
                <w:rStyle w:val="Lienhypertexte"/>
                <w:noProof/>
              </w:rPr>
              <w:t>Variation dans les prix</w:t>
            </w:r>
            <w:r>
              <w:rPr>
                <w:noProof/>
                <w:webHidden/>
              </w:rPr>
              <w:tab/>
            </w:r>
            <w:r>
              <w:rPr>
                <w:noProof/>
                <w:webHidden/>
              </w:rPr>
              <w:fldChar w:fldCharType="begin"/>
            </w:r>
            <w:r>
              <w:rPr>
                <w:noProof/>
                <w:webHidden/>
              </w:rPr>
              <w:instrText xml:space="preserve"> PAGEREF _Toc194653662 \h </w:instrText>
            </w:r>
            <w:r>
              <w:rPr>
                <w:noProof/>
                <w:webHidden/>
              </w:rPr>
            </w:r>
            <w:r>
              <w:rPr>
                <w:noProof/>
                <w:webHidden/>
              </w:rPr>
              <w:fldChar w:fldCharType="separate"/>
            </w:r>
            <w:r>
              <w:rPr>
                <w:noProof/>
                <w:webHidden/>
              </w:rPr>
              <w:t>11</w:t>
            </w:r>
            <w:r>
              <w:rPr>
                <w:noProof/>
                <w:webHidden/>
              </w:rPr>
              <w:fldChar w:fldCharType="end"/>
            </w:r>
          </w:hyperlink>
        </w:p>
        <w:p w14:paraId="75D72A13" w14:textId="6587EDF3" w:rsidR="00FB16EA" w:rsidRDefault="00FB16EA">
          <w:pPr>
            <w:pStyle w:val="TM1"/>
            <w:tabs>
              <w:tab w:val="left" w:pos="440"/>
              <w:tab w:val="right" w:leader="dot" w:pos="9062"/>
            </w:tabs>
            <w:rPr>
              <w:rFonts w:eastAsiaTheme="minorEastAsia"/>
              <w:noProof/>
              <w:lang w:eastAsia="fr-FR"/>
            </w:rPr>
          </w:pPr>
          <w:hyperlink w:anchor="_Toc194653663" w:history="1">
            <w:r w:rsidRPr="00E13F1E">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E13F1E">
              <w:rPr>
                <w:rStyle w:val="Lienhypertexte"/>
                <w:noProof/>
              </w:rPr>
              <w:t>Modalités de règlement des comptes</w:t>
            </w:r>
            <w:r>
              <w:rPr>
                <w:noProof/>
                <w:webHidden/>
              </w:rPr>
              <w:tab/>
            </w:r>
            <w:r>
              <w:rPr>
                <w:noProof/>
                <w:webHidden/>
              </w:rPr>
              <w:fldChar w:fldCharType="begin"/>
            </w:r>
            <w:r>
              <w:rPr>
                <w:noProof/>
                <w:webHidden/>
              </w:rPr>
              <w:instrText xml:space="preserve"> PAGEREF _Toc194653663 \h </w:instrText>
            </w:r>
            <w:r>
              <w:rPr>
                <w:noProof/>
                <w:webHidden/>
              </w:rPr>
            </w:r>
            <w:r>
              <w:rPr>
                <w:noProof/>
                <w:webHidden/>
              </w:rPr>
              <w:fldChar w:fldCharType="separate"/>
            </w:r>
            <w:r>
              <w:rPr>
                <w:noProof/>
                <w:webHidden/>
              </w:rPr>
              <w:t>12</w:t>
            </w:r>
            <w:r>
              <w:rPr>
                <w:noProof/>
                <w:webHidden/>
              </w:rPr>
              <w:fldChar w:fldCharType="end"/>
            </w:r>
          </w:hyperlink>
        </w:p>
        <w:p w14:paraId="5A761D20" w14:textId="3192F021" w:rsidR="00FB16EA" w:rsidRDefault="00FB16EA">
          <w:pPr>
            <w:pStyle w:val="TM2"/>
            <w:tabs>
              <w:tab w:val="left" w:pos="880"/>
              <w:tab w:val="right" w:leader="dot" w:pos="9062"/>
            </w:tabs>
            <w:rPr>
              <w:rFonts w:eastAsiaTheme="minorEastAsia"/>
              <w:noProof/>
              <w:lang w:eastAsia="fr-FR"/>
            </w:rPr>
          </w:pPr>
          <w:hyperlink w:anchor="_Toc194653664" w:history="1">
            <w:r w:rsidRPr="00E13F1E">
              <w:rPr>
                <w:rStyle w:val="Lienhypertexte"/>
                <w:noProof/>
                <w14:scene3d>
                  <w14:camera w14:prst="orthographicFront"/>
                  <w14:lightRig w14:rig="threePt" w14:dir="t">
                    <w14:rot w14:lat="0" w14:lon="0" w14:rev="0"/>
                  </w14:lightRig>
                </w14:scene3d>
              </w:rPr>
              <w:t>5.1</w:t>
            </w:r>
            <w:r>
              <w:rPr>
                <w:rFonts w:eastAsiaTheme="minorEastAsia"/>
                <w:noProof/>
                <w:lang w:eastAsia="fr-FR"/>
              </w:rPr>
              <w:tab/>
            </w:r>
            <w:r w:rsidRPr="00E13F1E">
              <w:rPr>
                <w:rStyle w:val="Lienhypertexte"/>
                <w:noProof/>
              </w:rPr>
              <w:t>Avance</w:t>
            </w:r>
            <w:r>
              <w:rPr>
                <w:noProof/>
                <w:webHidden/>
              </w:rPr>
              <w:tab/>
            </w:r>
            <w:r>
              <w:rPr>
                <w:noProof/>
                <w:webHidden/>
              </w:rPr>
              <w:fldChar w:fldCharType="begin"/>
            </w:r>
            <w:r>
              <w:rPr>
                <w:noProof/>
                <w:webHidden/>
              </w:rPr>
              <w:instrText xml:space="preserve"> PAGEREF _Toc194653664 \h </w:instrText>
            </w:r>
            <w:r>
              <w:rPr>
                <w:noProof/>
                <w:webHidden/>
              </w:rPr>
            </w:r>
            <w:r>
              <w:rPr>
                <w:noProof/>
                <w:webHidden/>
              </w:rPr>
              <w:fldChar w:fldCharType="separate"/>
            </w:r>
            <w:r>
              <w:rPr>
                <w:noProof/>
                <w:webHidden/>
              </w:rPr>
              <w:t>12</w:t>
            </w:r>
            <w:r>
              <w:rPr>
                <w:noProof/>
                <w:webHidden/>
              </w:rPr>
              <w:fldChar w:fldCharType="end"/>
            </w:r>
          </w:hyperlink>
        </w:p>
        <w:p w14:paraId="00484925" w14:textId="0D2B5BFE" w:rsidR="00FB16EA" w:rsidRDefault="00FB16EA">
          <w:pPr>
            <w:pStyle w:val="TM3"/>
            <w:tabs>
              <w:tab w:val="left" w:pos="1320"/>
              <w:tab w:val="right" w:leader="dot" w:pos="9062"/>
            </w:tabs>
            <w:rPr>
              <w:rFonts w:eastAsiaTheme="minorEastAsia"/>
              <w:noProof/>
              <w:lang w:eastAsia="fr-FR"/>
            </w:rPr>
          </w:pPr>
          <w:hyperlink w:anchor="_Toc194653665" w:history="1">
            <w:r w:rsidRPr="00E13F1E">
              <w:rPr>
                <w:rStyle w:val="Lienhypertexte"/>
                <w:noProof/>
                <w14:scene3d>
                  <w14:camera w14:prst="orthographicFront"/>
                  <w14:lightRig w14:rig="threePt" w14:dir="t">
                    <w14:rot w14:lat="0" w14:lon="0" w14:rev="0"/>
                  </w14:lightRig>
                </w14:scene3d>
              </w:rPr>
              <w:t>5.1.1</w:t>
            </w:r>
            <w:r>
              <w:rPr>
                <w:rFonts w:eastAsiaTheme="minorEastAsia"/>
                <w:noProof/>
                <w:lang w:eastAsia="fr-FR"/>
              </w:rPr>
              <w:tab/>
            </w:r>
            <w:r w:rsidRPr="00E13F1E">
              <w:rPr>
                <w:rStyle w:val="Lienhypertexte"/>
                <w:noProof/>
              </w:rPr>
              <w:t>Dispositions générales</w:t>
            </w:r>
            <w:r>
              <w:rPr>
                <w:noProof/>
                <w:webHidden/>
              </w:rPr>
              <w:tab/>
            </w:r>
            <w:r>
              <w:rPr>
                <w:noProof/>
                <w:webHidden/>
              </w:rPr>
              <w:fldChar w:fldCharType="begin"/>
            </w:r>
            <w:r>
              <w:rPr>
                <w:noProof/>
                <w:webHidden/>
              </w:rPr>
              <w:instrText xml:space="preserve"> PAGEREF _Toc194653665 \h </w:instrText>
            </w:r>
            <w:r>
              <w:rPr>
                <w:noProof/>
                <w:webHidden/>
              </w:rPr>
            </w:r>
            <w:r>
              <w:rPr>
                <w:noProof/>
                <w:webHidden/>
              </w:rPr>
              <w:fldChar w:fldCharType="separate"/>
            </w:r>
            <w:r>
              <w:rPr>
                <w:noProof/>
                <w:webHidden/>
              </w:rPr>
              <w:t>12</w:t>
            </w:r>
            <w:r>
              <w:rPr>
                <w:noProof/>
                <w:webHidden/>
              </w:rPr>
              <w:fldChar w:fldCharType="end"/>
            </w:r>
          </w:hyperlink>
        </w:p>
        <w:p w14:paraId="702AAEDC" w14:textId="436425D2" w:rsidR="00FB16EA" w:rsidRDefault="00FB16EA">
          <w:pPr>
            <w:pStyle w:val="TM3"/>
            <w:tabs>
              <w:tab w:val="left" w:pos="1320"/>
              <w:tab w:val="right" w:leader="dot" w:pos="9062"/>
            </w:tabs>
            <w:rPr>
              <w:rFonts w:eastAsiaTheme="minorEastAsia"/>
              <w:noProof/>
              <w:lang w:eastAsia="fr-FR"/>
            </w:rPr>
          </w:pPr>
          <w:hyperlink w:anchor="_Toc194653666" w:history="1">
            <w:r w:rsidRPr="00E13F1E">
              <w:rPr>
                <w:rStyle w:val="Lienhypertexte"/>
                <w:noProof/>
                <w14:scene3d>
                  <w14:camera w14:prst="orthographicFront"/>
                  <w14:lightRig w14:rig="threePt" w14:dir="t">
                    <w14:rot w14:lat="0" w14:lon="0" w14:rev="0"/>
                  </w14:lightRig>
                </w14:scene3d>
              </w:rPr>
              <w:t>5.1.2</w:t>
            </w:r>
            <w:r>
              <w:rPr>
                <w:rFonts w:eastAsiaTheme="minorEastAsia"/>
                <w:noProof/>
                <w:lang w:eastAsia="fr-FR"/>
              </w:rPr>
              <w:tab/>
            </w:r>
            <w:r w:rsidRPr="00E13F1E">
              <w:rPr>
                <w:rStyle w:val="Lienhypertexte"/>
                <w:noProof/>
              </w:rPr>
              <w:t>Montant de l’avance</w:t>
            </w:r>
            <w:r>
              <w:rPr>
                <w:noProof/>
                <w:webHidden/>
              </w:rPr>
              <w:tab/>
            </w:r>
            <w:r>
              <w:rPr>
                <w:noProof/>
                <w:webHidden/>
              </w:rPr>
              <w:fldChar w:fldCharType="begin"/>
            </w:r>
            <w:r>
              <w:rPr>
                <w:noProof/>
                <w:webHidden/>
              </w:rPr>
              <w:instrText xml:space="preserve"> PAGEREF _Toc194653666 \h </w:instrText>
            </w:r>
            <w:r>
              <w:rPr>
                <w:noProof/>
                <w:webHidden/>
              </w:rPr>
            </w:r>
            <w:r>
              <w:rPr>
                <w:noProof/>
                <w:webHidden/>
              </w:rPr>
              <w:fldChar w:fldCharType="separate"/>
            </w:r>
            <w:r>
              <w:rPr>
                <w:noProof/>
                <w:webHidden/>
              </w:rPr>
              <w:t>12</w:t>
            </w:r>
            <w:r>
              <w:rPr>
                <w:noProof/>
                <w:webHidden/>
              </w:rPr>
              <w:fldChar w:fldCharType="end"/>
            </w:r>
          </w:hyperlink>
        </w:p>
        <w:p w14:paraId="30832463" w14:textId="0038B276" w:rsidR="00FB16EA" w:rsidRDefault="00FB16EA">
          <w:pPr>
            <w:pStyle w:val="TM2"/>
            <w:tabs>
              <w:tab w:val="left" w:pos="880"/>
              <w:tab w:val="right" w:leader="dot" w:pos="9062"/>
            </w:tabs>
            <w:rPr>
              <w:rFonts w:eastAsiaTheme="minorEastAsia"/>
              <w:noProof/>
              <w:lang w:eastAsia="fr-FR"/>
            </w:rPr>
          </w:pPr>
          <w:hyperlink w:anchor="_Toc194653667" w:history="1">
            <w:r w:rsidRPr="00E13F1E">
              <w:rPr>
                <w:rStyle w:val="Lienhypertexte"/>
                <w:noProof/>
                <w14:scene3d>
                  <w14:camera w14:prst="orthographicFront"/>
                  <w14:lightRig w14:rig="threePt" w14:dir="t">
                    <w14:rot w14:lat="0" w14:lon="0" w14:rev="0"/>
                  </w14:lightRig>
                </w14:scene3d>
              </w:rPr>
              <w:t>5.2</w:t>
            </w:r>
            <w:r>
              <w:rPr>
                <w:rFonts w:eastAsiaTheme="minorEastAsia"/>
                <w:noProof/>
                <w:lang w:eastAsia="fr-FR"/>
              </w:rPr>
              <w:tab/>
            </w:r>
            <w:r w:rsidRPr="00E13F1E">
              <w:rPr>
                <w:rStyle w:val="Lienhypertexte"/>
                <w:noProof/>
              </w:rPr>
              <w:t>Projets de décomptes mensuels, acomptes et décomptes finaux</w:t>
            </w:r>
            <w:r>
              <w:rPr>
                <w:noProof/>
                <w:webHidden/>
              </w:rPr>
              <w:tab/>
            </w:r>
            <w:r>
              <w:rPr>
                <w:noProof/>
                <w:webHidden/>
              </w:rPr>
              <w:fldChar w:fldCharType="begin"/>
            </w:r>
            <w:r>
              <w:rPr>
                <w:noProof/>
                <w:webHidden/>
              </w:rPr>
              <w:instrText xml:space="preserve"> PAGEREF _Toc194653667 \h </w:instrText>
            </w:r>
            <w:r>
              <w:rPr>
                <w:noProof/>
                <w:webHidden/>
              </w:rPr>
            </w:r>
            <w:r>
              <w:rPr>
                <w:noProof/>
                <w:webHidden/>
              </w:rPr>
              <w:fldChar w:fldCharType="separate"/>
            </w:r>
            <w:r>
              <w:rPr>
                <w:noProof/>
                <w:webHidden/>
              </w:rPr>
              <w:t>13</w:t>
            </w:r>
            <w:r>
              <w:rPr>
                <w:noProof/>
                <w:webHidden/>
              </w:rPr>
              <w:fldChar w:fldCharType="end"/>
            </w:r>
          </w:hyperlink>
        </w:p>
        <w:p w14:paraId="3217B292" w14:textId="4C38EDAE" w:rsidR="00FB16EA" w:rsidRDefault="00FB16EA">
          <w:pPr>
            <w:pStyle w:val="TM3"/>
            <w:tabs>
              <w:tab w:val="left" w:pos="1320"/>
              <w:tab w:val="right" w:leader="dot" w:pos="9062"/>
            </w:tabs>
            <w:rPr>
              <w:rFonts w:eastAsiaTheme="minorEastAsia"/>
              <w:noProof/>
              <w:lang w:eastAsia="fr-FR"/>
            </w:rPr>
          </w:pPr>
          <w:hyperlink w:anchor="_Toc194653668" w:history="1">
            <w:r w:rsidRPr="00E13F1E">
              <w:rPr>
                <w:rStyle w:val="Lienhypertexte"/>
                <w:noProof/>
                <w14:scene3d>
                  <w14:camera w14:prst="orthographicFront"/>
                  <w14:lightRig w14:rig="threePt" w14:dir="t">
                    <w14:rot w14:lat="0" w14:lon="0" w14:rev="0"/>
                  </w14:lightRig>
                </w14:scene3d>
              </w:rPr>
              <w:t>5.2.1</w:t>
            </w:r>
            <w:r>
              <w:rPr>
                <w:rFonts w:eastAsiaTheme="minorEastAsia"/>
                <w:noProof/>
                <w:lang w:eastAsia="fr-FR"/>
              </w:rPr>
              <w:tab/>
            </w:r>
            <w:r w:rsidRPr="00E13F1E">
              <w:rPr>
                <w:rStyle w:val="Lienhypertexte"/>
                <w:noProof/>
              </w:rPr>
              <w:t>Les projets de décomptes mensuels et acomptes mensuels</w:t>
            </w:r>
            <w:r>
              <w:rPr>
                <w:noProof/>
                <w:webHidden/>
              </w:rPr>
              <w:tab/>
            </w:r>
            <w:r>
              <w:rPr>
                <w:noProof/>
                <w:webHidden/>
              </w:rPr>
              <w:fldChar w:fldCharType="begin"/>
            </w:r>
            <w:r>
              <w:rPr>
                <w:noProof/>
                <w:webHidden/>
              </w:rPr>
              <w:instrText xml:space="preserve"> PAGEREF _Toc194653668 \h </w:instrText>
            </w:r>
            <w:r>
              <w:rPr>
                <w:noProof/>
                <w:webHidden/>
              </w:rPr>
            </w:r>
            <w:r>
              <w:rPr>
                <w:noProof/>
                <w:webHidden/>
              </w:rPr>
              <w:fldChar w:fldCharType="separate"/>
            </w:r>
            <w:r>
              <w:rPr>
                <w:noProof/>
                <w:webHidden/>
              </w:rPr>
              <w:t>13</w:t>
            </w:r>
            <w:r>
              <w:rPr>
                <w:noProof/>
                <w:webHidden/>
              </w:rPr>
              <w:fldChar w:fldCharType="end"/>
            </w:r>
          </w:hyperlink>
        </w:p>
        <w:p w14:paraId="522A6540" w14:textId="70398F65" w:rsidR="00FB16EA" w:rsidRDefault="00FB16EA">
          <w:pPr>
            <w:pStyle w:val="TM3"/>
            <w:tabs>
              <w:tab w:val="left" w:pos="1320"/>
              <w:tab w:val="right" w:leader="dot" w:pos="9062"/>
            </w:tabs>
            <w:rPr>
              <w:rFonts w:eastAsiaTheme="minorEastAsia"/>
              <w:noProof/>
              <w:lang w:eastAsia="fr-FR"/>
            </w:rPr>
          </w:pPr>
          <w:hyperlink w:anchor="_Toc194653669" w:history="1">
            <w:r w:rsidRPr="00E13F1E">
              <w:rPr>
                <w:rStyle w:val="Lienhypertexte"/>
                <w:noProof/>
                <w14:scene3d>
                  <w14:camera w14:prst="orthographicFront"/>
                  <w14:lightRig w14:rig="threePt" w14:dir="t">
                    <w14:rot w14:lat="0" w14:lon="0" w14:rev="0"/>
                  </w14:lightRig>
                </w14:scene3d>
              </w:rPr>
              <w:t>5.2.2</w:t>
            </w:r>
            <w:r>
              <w:rPr>
                <w:rFonts w:eastAsiaTheme="minorEastAsia"/>
                <w:noProof/>
                <w:lang w:eastAsia="fr-FR"/>
              </w:rPr>
              <w:tab/>
            </w:r>
            <w:r w:rsidRPr="00E13F1E">
              <w:rPr>
                <w:rStyle w:val="Lienhypertexte"/>
                <w:noProof/>
              </w:rPr>
              <w:t>Les décomptes finaux</w:t>
            </w:r>
            <w:r>
              <w:rPr>
                <w:noProof/>
                <w:webHidden/>
              </w:rPr>
              <w:tab/>
            </w:r>
            <w:r>
              <w:rPr>
                <w:noProof/>
                <w:webHidden/>
              </w:rPr>
              <w:fldChar w:fldCharType="begin"/>
            </w:r>
            <w:r>
              <w:rPr>
                <w:noProof/>
                <w:webHidden/>
              </w:rPr>
              <w:instrText xml:space="preserve"> PAGEREF _Toc194653669 \h </w:instrText>
            </w:r>
            <w:r>
              <w:rPr>
                <w:noProof/>
                <w:webHidden/>
              </w:rPr>
            </w:r>
            <w:r>
              <w:rPr>
                <w:noProof/>
                <w:webHidden/>
              </w:rPr>
              <w:fldChar w:fldCharType="separate"/>
            </w:r>
            <w:r>
              <w:rPr>
                <w:noProof/>
                <w:webHidden/>
              </w:rPr>
              <w:t>13</w:t>
            </w:r>
            <w:r>
              <w:rPr>
                <w:noProof/>
                <w:webHidden/>
              </w:rPr>
              <w:fldChar w:fldCharType="end"/>
            </w:r>
          </w:hyperlink>
        </w:p>
        <w:p w14:paraId="3F7B3CC4" w14:textId="6B21476D" w:rsidR="00FB16EA" w:rsidRDefault="00FB16EA">
          <w:pPr>
            <w:pStyle w:val="TM3"/>
            <w:tabs>
              <w:tab w:val="left" w:pos="1320"/>
              <w:tab w:val="right" w:leader="dot" w:pos="9062"/>
            </w:tabs>
            <w:rPr>
              <w:rFonts w:eastAsiaTheme="minorEastAsia"/>
              <w:noProof/>
              <w:lang w:eastAsia="fr-FR"/>
            </w:rPr>
          </w:pPr>
          <w:hyperlink w:anchor="_Toc194653670" w:history="1">
            <w:r w:rsidRPr="00E13F1E">
              <w:rPr>
                <w:rStyle w:val="Lienhypertexte"/>
                <w:noProof/>
                <w14:scene3d>
                  <w14:camera w14:prst="orthographicFront"/>
                  <w14:lightRig w14:rig="threePt" w14:dir="t">
                    <w14:rot w14:lat="0" w14:lon="0" w14:rev="0"/>
                  </w14:lightRig>
                </w14:scene3d>
              </w:rPr>
              <w:t>5.2.3</w:t>
            </w:r>
            <w:r>
              <w:rPr>
                <w:rFonts w:eastAsiaTheme="minorEastAsia"/>
                <w:noProof/>
                <w:lang w:eastAsia="fr-FR"/>
              </w:rPr>
              <w:tab/>
            </w:r>
            <w:r w:rsidRPr="00E13F1E">
              <w:rPr>
                <w:rStyle w:val="Lienhypertexte"/>
                <w:noProof/>
              </w:rPr>
              <w:t>Transmission des décomptes</w:t>
            </w:r>
            <w:r>
              <w:rPr>
                <w:noProof/>
                <w:webHidden/>
              </w:rPr>
              <w:tab/>
            </w:r>
            <w:r>
              <w:rPr>
                <w:noProof/>
                <w:webHidden/>
              </w:rPr>
              <w:fldChar w:fldCharType="begin"/>
            </w:r>
            <w:r>
              <w:rPr>
                <w:noProof/>
                <w:webHidden/>
              </w:rPr>
              <w:instrText xml:space="preserve"> PAGEREF _Toc194653670 \h </w:instrText>
            </w:r>
            <w:r>
              <w:rPr>
                <w:noProof/>
                <w:webHidden/>
              </w:rPr>
            </w:r>
            <w:r>
              <w:rPr>
                <w:noProof/>
                <w:webHidden/>
              </w:rPr>
              <w:fldChar w:fldCharType="separate"/>
            </w:r>
            <w:r>
              <w:rPr>
                <w:noProof/>
                <w:webHidden/>
              </w:rPr>
              <w:t>14</w:t>
            </w:r>
            <w:r>
              <w:rPr>
                <w:noProof/>
                <w:webHidden/>
              </w:rPr>
              <w:fldChar w:fldCharType="end"/>
            </w:r>
          </w:hyperlink>
        </w:p>
        <w:p w14:paraId="75D6EFFC" w14:textId="744B4941" w:rsidR="00FB16EA" w:rsidRDefault="00FB16EA">
          <w:pPr>
            <w:pStyle w:val="TM2"/>
            <w:tabs>
              <w:tab w:val="left" w:pos="880"/>
              <w:tab w:val="right" w:leader="dot" w:pos="9062"/>
            </w:tabs>
            <w:rPr>
              <w:rFonts w:eastAsiaTheme="minorEastAsia"/>
              <w:noProof/>
              <w:lang w:eastAsia="fr-FR"/>
            </w:rPr>
          </w:pPr>
          <w:hyperlink w:anchor="_Toc194653671" w:history="1">
            <w:r w:rsidRPr="00E13F1E">
              <w:rPr>
                <w:rStyle w:val="Lienhypertexte"/>
                <w:noProof/>
                <w14:scene3d>
                  <w14:camera w14:prst="orthographicFront"/>
                  <w14:lightRig w14:rig="threePt" w14:dir="t">
                    <w14:rot w14:lat="0" w14:lon="0" w14:rev="0"/>
                  </w14:lightRig>
                </w14:scene3d>
              </w:rPr>
              <w:t>5.3</w:t>
            </w:r>
            <w:r>
              <w:rPr>
                <w:rFonts w:eastAsiaTheme="minorEastAsia"/>
                <w:noProof/>
                <w:lang w:eastAsia="fr-FR"/>
              </w:rPr>
              <w:tab/>
            </w:r>
            <w:r w:rsidRPr="00E13F1E">
              <w:rPr>
                <w:rStyle w:val="Lienhypertexte"/>
                <w:noProof/>
              </w:rPr>
              <w:t>Délais de paiements</w:t>
            </w:r>
            <w:r>
              <w:rPr>
                <w:noProof/>
                <w:webHidden/>
              </w:rPr>
              <w:tab/>
            </w:r>
            <w:r>
              <w:rPr>
                <w:noProof/>
                <w:webHidden/>
              </w:rPr>
              <w:fldChar w:fldCharType="begin"/>
            </w:r>
            <w:r>
              <w:rPr>
                <w:noProof/>
                <w:webHidden/>
              </w:rPr>
              <w:instrText xml:space="preserve"> PAGEREF _Toc194653671 \h </w:instrText>
            </w:r>
            <w:r>
              <w:rPr>
                <w:noProof/>
                <w:webHidden/>
              </w:rPr>
            </w:r>
            <w:r>
              <w:rPr>
                <w:noProof/>
                <w:webHidden/>
              </w:rPr>
              <w:fldChar w:fldCharType="separate"/>
            </w:r>
            <w:r>
              <w:rPr>
                <w:noProof/>
                <w:webHidden/>
              </w:rPr>
              <w:t>14</w:t>
            </w:r>
            <w:r>
              <w:rPr>
                <w:noProof/>
                <w:webHidden/>
              </w:rPr>
              <w:fldChar w:fldCharType="end"/>
            </w:r>
          </w:hyperlink>
        </w:p>
        <w:p w14:paraId="51C18D02" w14:textId="2D3920C7" w:rsidR="00FB16EA" w:rsidRDefault="00FB16EA">
          <w:pPr>
            <w:pStyle w:val="TM2"/>
            <w:tabs>
              <w:tab w:val="left" w:pos="880"/>
              <w:tab w:val="right" w:leader="dot" w:pos="9062"/>
            </w:tabs>
            <w:rPr>
              <w:rFonts w:eastAsiaTheme="minorEastAsia"/>
              <w:noProof/>
              <w:lang w:eastAsia="fr-FR"/>
            </w:rPr>
          </w:pPr>
          <w:hyperlink w:anchor="_Toc194653672" w:history="1">
            <w:r w:rsidRPr="00E13F1E">
              <w:rPr>
                <w:rStyle w:val="Lienhypertexte"/>
                <w:noProof/>
                <w14:scene3d>
                  <w14:camera w14:prst="orthographicFront"/>
                  <w14:lightRig w14:rig="threePt" w14:dir="t">
                    <w14:rot w14:lat="0" w14:lon="0" w14:rev="0"/>
                  </w14:lightRig>
                </w14:scene3d>
              </w:rPr>
              <w:t>5.4</w:t>
            </w:r>
            <w:r>
              <w:rPr>
                <w:rFonts w:eastAsiaTheme="minorEastAsia"/>
                <w:noProof/>
                <w:lang w:eastAsia="fr-FR"/>
              </w:rPr>
              <w:tab/>
            </w:r>
            <w:r w:rsidRPr="00E13F1E">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_Toc194653672 \h </w:instrText>
            </w:r>
            <w:r>
              <w:rPr>
                <w:noProof/>
                <w:webHidden/>
              </w:rPr>
            </w:r>
            <w:r>
              <w:rPr>
                <w:noProof/>
                <w:webHidden/>
              </w:rPr>
              <w:fldChar w:fldCharType="separate"/>
            </w:r>
            <w:r>
              <w:rPr>
                <w:noProof/>
                <w:webHidden/>
              </w:rPr>
              <w:t>14</w:t>
            </w:r>
            <w:r>
              <w:rPr>
                <w:noProof/>
                <w:webHidden/>
              </w:rPr>
              <w:fldChar w:fldCharType="end"/>
            </w:r>
          </w:hyperlink>
        </w:p>
        <w:p w14:paraId="094B6650" w14:textId="5C21B6B4" w:rsidR="00FB16EA" w:rsidRDefault="00FB16EA">
          <w:pPr>
            <w:pStyle w:val="TM1"/>
            <w:tabs>
              <w:tab w:val="left" w:pos="440"/>
              <w:tab w:val="right" w:leader="dot" w:pos="9062"/>
            </w:tabs>
            <w:rPr>
              <w:rFonts w:eastAsiaTheme="minorEastAsia"/>
              <w:noProof/>
              <w:lang w:eastAsia="fr-FR"/>
            </w:rPr>
          </w:pPr>
          <w:hyperlink w:anchor="_Toc194653673" w:history="1">
            <w:r w:rsidRPr="00E13F1E">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E13F1E">
              <w:rPr>
                <w:rStyle w:val="Lienhypertexte"/>
                <w:noProof/>
              </w:rPr>
              <w:t>Clause de financement et de sûreté</w:t>
            </w:r>
            <w:r>
              <w:rPr>
                <w:noProof/>
                <w:webHidden/>
              </w:rPr>
              <w:tab/>
            </w:r>
            <w:r>
              <w:rPr>
                <w:noProof/>
                <w:webHidden/>
              </w:rPr>
              <w:fldChar w:fldCharType="begin"/>
            </w:r>
            <w:r>
              <w:rPr>
                <w:noProof/>
                <w:webHidden/>
              </w:rPr>
              <w:instrText xml:space="preserve"> PAGEREF _Toc194653673 \h </w:instrText>
            </w:r>
            <w:r>
              <w:rPr>
                <w:noProof/>
                <w:webHidden/>
              </w:rPr>
            </w:r>
            <w:r>
              <w:rPr>
                <w:noProof/>
                <w:webHidden/>
              </w:rPr>
              <w:fldChar w:fldCharType="separate"/>
            </w:r>
            <w:r>
              <w:rPr>
                <w:noProof/>
                <w:webHidden/>
              </w:rPr>
              <w:t>15</w:t>
            </w:r>
            <w:r>
              <w:rPr>
                <w:noProof/>
                <w:webHidden/>
              </w:rPr>
              <w:fldChar w:fldCharType="end"/>
            </w:r>
          </w:hyperlink>
        </w:p>
        <w:p w14:paraId="2CA0C3B6" w14:textId="6A91DE1B" w:rsidR="00FB16EA" w:rsidRDefault="00FB16EA">
          <w:pPr>
            <w:pStyle w:val="TM1"/>
            <w:tabs>
              <w:tab w:val="left" w:pos="440"/>
              <w:tab w:val="right" w:leader="dot" w:pos="9062"/>
            </w:tabs>
            <w:rPr>
              <w:rFonts w:eastAsiaTheme="minorEastAsia"/>
              <w:noProof/>
              <w:lang w:eastAsia="fr-FR"/>
            </w:rPr>
          </w:pPr>
          <w:hyperlink w:anchor="_Toc194653674" w:history="1">
            <w:r w:rsidRPr="00E13F1E">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E13F1E">
              <w:rPr>
                <w:rStyle w:val="Lienhypertexte"/>
                <w:noProof/>
              </w:rPr>
              <w:t>Délais d’exécution et pénalités</w:t>
            </w:r>
            <w:r>
              <w:rPr>
                <w:noProof/>
                <w:webHidden/>
              </w:rPr>
              <w:tab/>
            </w:r>
            <w:r>
              <w:rPr>
                <w:noProof/>
                <w:webHidden/>
              </w:rPr>
              <w:fldChar w:fldCharType="begin"/>
            </w:r>
            <w:r>
              <w:rPr>
                <w:noProof/>
                <w:webHidden/>
              </w:rPr>
              <w:instrText xml:space="preserve"> PAGEREF _Toc194653674 \h </w:instrText>
            </w:r>
            <w:r>
              <w:rPr>
                <w:noProof/>
                <w:webHidden/>
              </w:rPr>
            </w:r>
            <w:r>
              <w:rPr>
                <w:noProof/>
                <w:webHidden/>
              </w:rPr>
              <w:fldChar w:fldCharType="separate"/>
            </w:r>
            <w:r>
              <w:rPr>
                <w:noProof/>
                <w:webHidden/>
              </w:rPr>
              <w:t>15</w:t>
            </w:r>
            <w:r>
              <w:rPr>
                <w:noProof/>
                <w:webHidden/>
              </w:rPr>
              <w:fldChar w:fldCharType="end"/>
            </w:r>
          </w:hyperlink>
        </w:p>
        <w:p w14:paraId="2E80DCE2" w14:textId="746EB18C" w:rsidR="00FB16EA" w:rsidRDefault="00FB16EA">
          <w:pPr>
            <w:pStyle w:val="TM2"/>
            <w:tabs>
              <w:tab w:val="left" w:pos="880"/>
              <w:tab w:val="right" w:leader="dot" w:pos="9062"/>
            </w:tabs>
            <w:rPr>
              <w:rFonts w:eastAsiaTheme="minorEastAsia"/>
              <w:noProof/>
              <w:lang w:eastAsia="fr-FR"/>
            </w:rPr>
          </w:pPr>
          <w:hyperlink w:anchor="_Toc194653675" w:history="1">
            <w:r w:rsidRPr="00E13F1E">
              <w:rPr>
                <w:rStyle w:val="Lienhypertexte"/>
                <w:noProof/>
                <w14:scene3d>
                  <w14:camera w14:prst="orthographicFront"/>
                  <w14:lightRig w14:rig="threePt" w14:dir="t">
                    <w14:rot w14:lat="0" w14:lon="0" w14:rev="0"/>
                  </w14:lightRig>
                </w14:scene3d>
              </w:rPr>
              <w:t>7.1</w:t>
            </w:r>
            <w:r>
              <w:rPr>
                <w:rFonts w:eastAsiaTheme="minorEastAsia"/>
                <w:noProof/>
                <w:lang w:eastAsia="fr-FR"/>
              </w:rPr>
              <w:tab/>
            </w:r>
            <w:r w:rsidRPr="00E13F1E">
              <w:rPr>
                <w:rStyle w:val="Lienhypertexte"/>
                <w:noProof/>
              </w:rPr>
              <w:t>Délai(s) d’exécution des travaux</w:t>
            </w:r>
            <w:r>
              <w:rPr>
                <w:noProof/>
                <w:webHidden/>
              </w:rPr>
              <w:tab/>
            </w:r>
            <w:r>
              <w:rPr>
                <w:noProof/>
                <w:webHidden/>
              </w:rPr>
              <w:fldChar w:fldCharType="begin"/>
            </w:r>
            <w:r>
              <w:rPr>
                <w:noProof/>
                <w:webHidden/>
              </w:rPr>
              <w:instrText xml:space="preserve"> PAGEREF _Toc194653675 \h </w:instrText>
            </w:r>
            <w:r>
              <w:rPr>
                <w:noProof/>
                <w:webHidden/>
              </w:rPr>
            </w:r>
            <w:r>
              <w:rPr>
                <w:noProof/>
                <w:webHidden/>
              </w:rPr>
              <w:fldChar w:fldCharType="separate"/>
            </w:r>
            <w:r>
              <w:rPr>
                <w:noProof/>
                <w:webHidden/>
              </w:rPr>
              <w:t>15</w:t>
            </w:r>
            <w:r>
              <w:rPr>
                <w:noProof/>
                <w:webHidden/>
              </w:rPr>
              <w:fldChar w:fldCharType="end"/>
            </w:r>
          </w:hyperlink>
        </w:p>
        <w:p w14:paraId="20A693AF" w14:textId="3398A710" w:rsidR="00FB16EA" w:rsidRDefault="00FB16EA">
          <w:pPr>
            <w:pStyle w:val="TM2"/>
            <w:tabs>
              <w:tab w:val="left" w:pos="880"/>
              <w:tab w:val="right" w:leader="dot" w:pos="9062"/>
            </w:tabs>
            <w:rPr>
              <w:rFonts w:eastAsiaTheme="minorEastAsia"/>
              <w:noProof/>
              <w:lang w:eastAsia="fr-FR"/>
            </w:rPr>
          </w:pPr>
          <w:hyperlink w:anchor="_Toc194653676" w:history="1">
            <w:r w:rsidRPr="00E13F1E">
              <w:rPr>
                <w:rStyle w:val="Lienhypertexte"/>
                <w:noProof/>
                <w14:scene3d>
                  <w14:camera w14:prst="orthographicFront"/>
                  <w14:lightRig w14:rig="threePt" w14:dir="t">
                    <w14:rot w14:lat="0" w14:lon="0" w14:rev="0"/>
                  </w14:lightRig>
                </w14:scene3d>
              </w:rPr>
              <w:t>7.2</w:t>
            </w:r>
            <w:r>
              <w:rPr>
                <w:rFonts w:eastAsiaTheme="minorEastAsia"/>
                <w:noProof/>
                <w:lang w:eastAsia="fr-FR"/>
              </w:rPr>
              <w:tab/>
            </w:r>
            <w:r w:rsidRPr="00E13F1E">
              <w:rPr>
                <w:rStyle w:val="Lienhypertexte"/>
                <w:noProof/>
              </w:rPr>
              <w:t>Prolongation des délais d'exécution pour intempéries</w:t>
            </w:r>
            <w:r>
              <w:rPr>
                <w:noProof/>
                <w:webHidden/>
              </w:rPr>
              <w:tab/>
            </w:r>
            <w:r>
              <w:rPr>
                <w:noProof/>
                <w:webHidden/>
              </w:rPr>
              <w:fldChar w:fldCharType="begin"/>
            </w:r>
            <w:r>
              <w:rPr>
                <w:noProof/>
                <w:webHidden/>
              </w:rPr>
              <w:instrText xml:space="preserve"> PAGEREF _Toc194653676 \h </w:instrText>
            </w:r>
            <w:r>
              <w:rPr>
                <w:noProof/>
                <w:webHidden/>
              </w:rPr>
            </w:r>
            <w:r>
              <w:rPr>
                <w:noProof/>
                <w:webHidden/>
              </w:rPr>
              <w:fldChar w:fldCharType="separate"/>
            </w:r>
            <w:r>
              <w:rPr>
                <w:noProof/>
                <w:webHidden/>
              </w:rPr>
              <w:t>15</w:t>
            </w:r>
            <w:r>
              <w:rPr>
                <w:noProof/>
                <w:webHidden/>
              </w:rPr>
              <w:fldChar w:fldCharType="end"/>
            </w:r>
          </w:hyperlink>
        </w:p>
        <w:p w14:paraId="317C624A" w14:textId="7EBD620A" w:rsidR="00FB16EA" w:rsidRDefault="00FB16EA">
          <w:pPr>
            <w:pStyle w:val="TM2"/>
            <w:tabs>
              <w:tab w:val="left" w:pos="880"/>
              <w:tab w:val="right" w:leader="dot" w:pos="9062"/>
            </w:tabs>
            <w:rPr>
              <w:rFonts w:eastAsiaTheme="minorEastAsia"/>
              <w:noProof/>
              <w:lang w:eastAsia="fr-FR"/>
            </w:rPr>
          </w:pPr>
          <w:hyperlink w:anchor="_Toc194653677" w:history="1">
            <w:r w:rsidRPr="00E13F1E">
              <w:rPr>
                <w:rStyle w:val="Lienhypertexte"/>
                <w:noProof/>
                <w14:scene3d>
                  <w14:camera w14:prst="orthographicFront"/>
                  <w14:lightRig w14:rig="threePt" w14:dir="t">
                    <w14:rot w14:lat="0" w14:lon="0" w14:rev="0"/>
                  </w14:lightRig>
                </w14:scene3d>
              </w:rPr>
              <w:t>7.3</w:t>
            </w:r>
            <w:r>
              <w:rPr>
                <w:rFonts w:eastAsiaTheme="minorEastAsia"/>
                <w:noProof/>
                <w:lang w:eastAsia="fr-FR"/>
              </w:rPr>
              <w:tab/>
            </w:r>
            <w:r w:rsidRPr="00E13F1E">
              <w:rPr>
                <w:rStyle w:val="Lienhypertexte"/>
                <w:noProof/>
              </w:rPr>
              <w:t>Pénalités</w:t>
            </w:r>
            <w:r>
              <w:rPr>
                <w:noProof/>
                <w:webHidden/>
              </w:rPr>
              <w:tab/>
            </w:r>
            <w:r>
              <w:rPr>
                <w:noProof/>
                <w:webHidden/>
              </w:rPr>
              <w:fldChar w:fldCharType="begin"/>
            </w:r>
            <w:r>
              <w:rPr>
                <w:noProof/>
                <w:webHidden/>
              </w:rPr>
              <w:instrText xml:space="preserve"> PAGEREF _Toc194653677 \h </w:instrText>
            </w:r>
            <w:r>
              <w:rPr>
                <w:noProof/>
                <w:webHidden/>
              </w:rPr>
            </w:r>
            <w:r>
              <w:rPr>
                <w:noProof/>
                <w:webHidden/>
              </w:rPr>
              <w:fldChar w:fldCharType="separate"/>
            </w:r>
            <w:r>
              <w:rPr>
                <w:noProof/>
                <w:webHidden/>
              </w:rPr>
              <w:t>15</w:t>
            </w:r>
            <w:r>
              <w:rPr>
                <w:noProof/>
                <w:webHidden/>
              </w:rPr>
              <w:fldChar w:fldCharType="end"/>
            </w:r>
          </w:hyperlink>
        </w:p>
        <w:p w14:paraId="0BD36FD3" w14:textId="082631B2" w:rsidR="00FB16EA" w:rsidRDefault="00FB16EA">
          <w:pPr>
            <w:pStyle w:val="TM3"/>
            <w:tabs>
              <w:tab w:val="left" w:pos="1320"/>
              <w:tab w:val="right" w:leader="dot" w:pos="9062"/>
            </w:tabs>
            <w:rPr>
              <w:rFonts w:eastAsiaTheme="minorEastAsia"/>
              <w:noProof/>
              <w:lang w:eastAsia="fr-FR"/>
            </w:rPr>
          </w:pPr>
          <w:hyperlink w:anchor="_Toc194653678" w:history="1">
            <w:r w:rsidRPr="00E13F1E">
              <w:rPr>
                <w:rStyle w:val="Lienhypertexte"/>
                <w:noProof/>
                <w14:scene3d>
                  <w14:camera w14:prst="orthographicFront"/>
                  <w14:lightRig w14:rig="threePt" w14:dir="t">
                    <w14:rot w14:lat="0" w14:lon="0" w14:rev="0"/>
                  </w14:lightRig>
                </w14:scene3d>
              </w:rPr>
              <w:t>7.3.1</w:t>
            </w:r>
            <w:r>
              <w:rPr>
                <w:rFonts w:eastAsiaTheme="minorEastAsia"/>
                <w:noProof/>
                <w:lang w:eastAsia="fr-FR"/>
              </w:rPr>
              <w:tab/>
            </w:r>
            <w:r w:rsidRPr="00E13F1E">
              <w:rPr>
                <w:rStyle w:val="Lienhypertexte"/>
                <w:noProof/>
              </w:rPr>
              <w:t>Pénalités pour retard ou absence</w:t>
            </w:r>
            <w:r>
              <w:rPr>
                <w:noProof/>
                <w:webHidden/>
              </w:rPr>
              <w:tab/>
            </w:r>
            <w:r>
              <w:rPr>
                <w:noProof/>
                <w:webHidden/>
              </w:rPr>
              <w:fldChar w:fldCharType="begin"/>
            </w:r>
            <w:r>
              <w:rPr>
                <w:noProof/>
                <w:webHidden/>
              </w:rPr>
              <w:instrText xml:space="preserve"> PAGEREF _Toc194653678 \h </w:instrText>
            </w:r>
            <w:r>
              <w:rPr>
                <w:noProof/>
                <w:webHidden/>
              </w:rPr>
            </w:r>
            <w:r>
              <w:rPr>
                <w:noProof/>
                <w:webHidden/>
              </w:rPr>
              <w:fldChar w:fldCharType="separate"/>
            </w:r>
            <w:r>
              <w:rPr>
                <w:noProof/>
                <w:webHidden/>
              </w:rPr>
              <w:t>15</w:t>
            </w:r>
            <w:r>
              <w:rPr>
                <w:noProof/>
                <w:webHidden/>
              </w:rPr>
              <w:fldChar w:fldCharType="end"/>
            </w:r>
          </w:hyperlink>
        </w:p>
        <w:p w14:paraId="4975BB4E" w14:textId="7667FFA7" w:rsidR="00FB16EA" w:rsidRDefault="00FB16EA">
          <w:pPr>
            <w:pStyle w:val="TM3"/>
            <w:tabs>
              <w:tab w:val="left" w:pos="1320"/>
              <w:tab w:val="right" w:leader="dot" w:pos="9062"/>
            </w:tabs>
            <w:rPr>
              <w:rFonts w:eastAsiaTheme="minorEastAsia"/>
              <w:noProof/>
              <w:lang w:eastAsia="fr-FR"/>
            </w:rPr>
          </w:pPr>
          <w:hyperlink w:anchor="_Toc194653679" w:history="1">
            <w:r w:rsidRPr="00E13F1E">
              <w:rPr>
                <w:rStyle w:val="Lienhypertexte"/>
                <w:noProof/>
                <w14:scene3d>
                  <w14:camera w14:prst="orthographicFront"/>
                  <w14:lightRig w14:rig="threePt" w14:dir="t">
                    <w14:rot w14:lat="0" w14:lon="0" w14:rev="0"/>
                  </w14:lightRig>
                </w14:scene3d>
              </w:rPr>
              <w:t>7.3.2</w:t>
            </w:r>
            <w:r>
              <w:rPr>
                <w:rFonts w:eastAsiaTheme="minorEastAsia"/>
                <w:noProof/>
                <w:lang w:eastAsia="fr-FR"/>
              </w:rPr>
              <w:tab/>
            </w:r>
            <w:r w:rsidRPr="00E13F1E">
              <w:rPr>
                <w:rStyle w:val="Lienhypertexte"/>
                <w:noProof/>
              </w:rPr>
              <w:t>Pénalités pour infractions aux prescriptions de chantier</w:t>
            </w:r>
            <w:r>
              <w:rPr>
                <w:noProof/>
                <w:webHidden/>
              </w:rPr>
              <w:tab/>
            </w:r>
            <w:r>
              <w:rPr>
                <w:noProof/>
                <w:webHidden/>
              </w:rPr>
              <w:fldChar w:fldCharType="begin"/>
            </w:r>
            <w:r>
              <w:rPr>
                <w:noProof/>
                <w:webHidden/>
              </w:rPr>
              <w:instrText xml:space="preserve"> PAGEREF _Toc194653679 \h </w:instrText>
            </w:r>
            <w:r>
              <w:rPr>
                <w:noProof/>
                <w:webHidden/>
              </w:rPr>
            </w:r>
            <w:r>
              <w:rPr>
                <w:noProof/>
                <w:webHidden/>
              </w:rPr>
              <w:fldChar w:fldCharType="separate"/>
            </w:r>
            <w:r>
              <w:rPr>
                <w:noProof/>
                <w:webHidden/>
              </w:rPr>
              <w:t>16</w:t>
            </w:r>
            <w:r>
              <w:rPr>
                <w:noProof/>
                <w:webHidden/>
              </w:rPr>
              <w:fldChar w:fldCharType="end"/>
            </w:r>
          </w:hyperlink>
        </w:p>
        <w:p w14:paraId="449F8E61" w14:textId="1DF4B484" w:rsidR="00FB16EA" w:rsidRDefault="00FB16EA">
          <w:pPr>
            <w:pStyle w:val="TM3"/>
            <w:tabs>
              <w:tab w:val="left" w:pos="1320"/>
              <w:tab w:val="right" w:leader="dot" w:pos="9062"/>
            </w:tabs>
            <w:rPr>
              <w:rFonts w:eastAsiaTheme="minorEastAsia"/>
              <w:noProof/>
              <w:lang w:eastAsia="fr-FR"/>
            </w:rPr>
          </w:pPr>
          <w:hyperlink w:anchor="_Toc194653680" w:history="1">
            <w:r w:rsidRPr="00E13F1E">
              <w:rPr>
                <w:rStyle w:val="Lienhypertexte"/>
                <w:noProof/>
                <w14:scene3d>
                  <w14:camera w14:prst="orthographicFront"/>
                  <w14:lightRig w14:rig="threePt" w14:dir="t">
                    <w14:rot w14:lat="0" w14:lon="0" w14:rev="0"/>
                  </w14:lightRig>
                </w14:scene3d>
              </w:rPr>
              <w:t>7.3.3</w:t>
            </w:r>
            <w:r>
              <w:rPr>
                <w:rFonts w:eastAsiaTheme="minorEastAsia"/>
                <w:noProof/>
                <w:lang w:eastAsia="fr-FR"/>
              </w:rPr>
              <w:tab/>
            </w:r>
            <w:r w:rsidRPr="00E13F1E">
              <w:rPr>
                <w:rStyle w:val="Lienhypertexte"/>
                <w:noProof/>
              </w:rPr>
              <w:t>Pénalités particulières</w:t>
            </w:r>
            <w:r>
              <w:rPr>
                <w:noProof/>
                <w:webHidden/>
              </w:rPr>
              <w:tab/>
            </w:r>
            <w:r>
              <w:rPr>
                <w:noProof/>
                <w:webHidden/>
              </w:rPr>
              <w:fldChar w:fldCharType="begin"/>
            </w:r>
            <w:r>
              <w:rPr>
                <w:noProof/>
                <w:webHidden/>
              </w:rPr>
              <w:instrText xml:space="preserve"> PAGEREF _Toc194653680 \h </w:instrText>
            </w:r>
            <w:r>
              <w:rPr>
                <w:noProof/>
                <w:webHidden/>
              </w:rPr>
            </w:r>
            <w:r>
              <w:rPr>
                <w:noProof/>
                <w:webHidden/>
              </w:rPr>
              <w:fldChar w:fldCharType="separate"/>
            </w:r>
            <w:r>
              <w:rPr>
                <w:noProof/>
                <w:webHidden/>
              </w:rPr>
              <w:t>16</w:t>
            </w:r>
            <w:r>
              <w:rPr>
                <w:noProof/>
                <w:webHidden/>
              </w:rPr>
              <w:fldChar w:fldCharType="end"/>
            </w:r>
          </w:hyperlink>
        </w:p>
        <w:p w14:paraId="3826006C" w14:textId="43D7DD9F" w:rsidR="00FB16EA" w:rsidRDefault="00FB16EA">
          <w:pPr>
            <w:pStyle w:val="TM3"/>
            <w:tabs>
              <w:tab w:val="left" w:pos="1320"/>
              <w:tab w:val="right" w:leader="dot" w:pos="9062"/>
            </w:tabs>
            <w:rPr>
              <w:rFonts w:eastAsiaTheme="minorEastAsia"/>
              <w:noProof/>
              <w:lang w:eastAsia="fr-FR"/>
            </w:rPr>
          </w:pPr>
          <w:hyperlink w:anchor="_Toc194653681" w:history="1">
            <w:r w:rsidRPr="00E13F1E">
              <w:rPr>
                <w:rStyle w:val="Lienhypertexte"/>
                <w:noProof/>
                <w14:scene3d>
                  <w14:camera w14:prst="orthographicFront"/>
                  <w14:lightRig w14:rig="threePt" w14:dir="t">
                    <w14:rot w14:lat="0" w14:lon="0" w14:rev="0"/>
                  </w14:lightRig>
                </w14:scene3d>
              </w:rPr>
              <w:t>7.3.4</w:t>
            </w:r>
            <w:r>
              <w:rPr>
                <w:rFonts w:eastAsiaTheme="minorEastAsia"/>
                <w:noProof/>
                <w:lang w:eastAsia="fr-FR"/>
              </w:rPr>
              <w:tab/>
            </w:r>
            <w:r w:rsidRPr="00E13F1E">
              <w:rPr>
                <w:rStyle w:val="Lienhypertexte"/>
                <w:noProof/>
              </w:rPr>
              <w:t>Pénalités pour retard dans le repliement des installations de chantier et remise en état des lieux</w:t>
            </w:r>
            <w:r>
              <w:rPr>
                <w:noProof/>
                <w:webHidden/>
              </w:rPr>
              <w:tab/>
            </w:r>
            <w:r>
              <w:rPr>
                <w:noProof/>
                <w:webHidden/>
              </w:rPr>
              <w:fldChar w:fldCharType="begin"/>
            </w:r>
            <w:r>
              <w:rPr>
                <w:noProof/>
                <w:webHidden/>
              </w:rPr>
              <w:instrText xml:space="preserve"> PAGEREF _Toc194653681 \h </w:instrText>
            </w:r>
            <w:r>
              <w:rPr>
                <w:noProof/>
                <w:webHidden/>
              </w:rPr>
            </w:r>
            <w:r>
              <w:rPr>
                <w:noProof/>
                <w:webHidden/>
              </w:rPr>
              <w:fldChar w:fldCharType="separate"/>
            </w:r>
            <w:r>
              <w:rPr>
                <w:noProof/>
                <w:webHidden/>
              </w:rPr>
              <w:t>16</w:t>
            </w:r>
            <w:r>
              <w:rPr>
                <w:noProof/>
                <w:webHidden/>
              </w:rPr>
              <w:fldChar w:fldCharType="end"/>
            </w:r>
          </w:hyperlink>
        </w:p>
        <w:p w14:paraId="24EAF944" w14:textId="6FEC968D" w:rsidR="00FB16EA" w:rsidRDefault="00FB16EA">
          <w:pPr>
            <w:pStyle w:val="TM3"/>
            <w:tabs>
              <w:tab w:val="left" w:pos="1320"/>
              <w:tab w:val="right" w:leader="dot" w:pos="9062"/>
            </w:tabs>
            <w:rPr>
              <w:rFonts w:eastAsiaTheme="minorEastAsia"/>
              <w:noProof/>
              <w:lang w:eastAsia="fr-FR"/>
            </w:rPr>
          </w:pPr>
          <w:hyperlink w:anchor="_Toc194653682" w:history="1">
            <w:r w:rsidRPr="00E13F1E">
              <w:rPr>
                <w:rStyle w:val="Lienhypertexte"/>
                <w:noProof/>
                <w14:scene3d>
                  <w14:camera w14:prst="orthographicFront"/>
                  <w14:lightRig w14:rig="threePt" w14:dir="t">
                    <w14:rot w14:lat="0" w14:lon="0" w14:rev="0"/>
                  </w14:lightRig>
                </w14:scene3d>
              </w:rPr>
              <w:t>7.3.5</w:t>
            </w:r>
            <w:r>
              <w:rPr>
                <w:rFonts w:eastAsiaTheme="minorEastAsia"/>
                <w:noProof/>
                <w:lang w:eastAsia="fr-FR"/>
              </w:rPr>
              <w:tab/>
            </w:r>
            <w:r w:rsidRPr="00E13F1E">
              <w:rPr>
                <w:rStyle w:val="Lienhypertexte"/>
                <w:noProof/>
              </w:rPr>
              <w:t>Modalités d’application des pénalités</w:t>
            </w:r>
            <w:r>
              <w:rPr>
                <w:noProof/>
                <w:webHidden/>
              </w:rPr>
              <w:tab/>
            </w:r>
            <w:r>
              <w:rPr>
                <w:noProof/>
                <w:webHidden/>
              </w:rPr>
              <w:fldChar w:fldCharType="begin"/>
            </w:r>
            <w:r>
              <w:rPr>
                <w:noProof/>
                <w:webHidden/>
              </w:rPr>
              <w:instrText xml:space="preserve"> PAGEREF _Toc194653682 \h </w:instrText>
            </w:r>
            <w:r>
              <w:rPr>
                <w:noProof/>
                <w:webHidden/>
              </w:rPr>
            </w:r>
            <w:r>
              <w:rPr>
                <w:noProof/>
                <w:webHidden/>
              </w:rPr>
              <w:fldChar w:fldCharType="separate"/>
            </w:r>
            <w:r>
              <w:rPr>
                <w:noProof/>
                <w:webHidden/>
              </w:rPr>
              <w:t>16</w:t>
            </w:r>
            <w:r>
              <w:rPr>
                <w:noProof/>
                <w:webHidden/>
              </w:rPr>
              <w:fldChar w:fldCharType="end"/>
            </w:r>
          </w:hyperlink>
        </w:p>
        <w:p w14:paraId="65696ADC" w14:textId="7DB5013C" w:rsidR="00FB16EA" w:rsidRDefault="00FB16EA">
          <w:pPr>
            <w:pStyle w:val="TM1"/>
            <w:tabs>
              <w:tab w:val="left" w:pos="440"/>
              <w:tab w:val="right" w:leader="dot" w:pos="9062"/>
            </w:tabs>
            <w:rPr>
              <w:rFonts w:eastAsiaTheme="minorEastAsia"/>
              <w:noProof/>
              <w:lang w:eastAsia="fr-FR"/>
            </w:rPr>
          </w:pPr>
          <w:hyperlink w:anchor="_Toc194653683" w:history="1">
            <w:r w:rsidRPr="00E13F1E">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E13F1E">
              <w:rPr>
                <w:rStyle w:val="Lienhypertexte"/>
                <w:noProof/>
              </w:rPr>
              <w:t>Modalités générales d’exécution</w:t>
            </w:r>
            <w:r>
              <w:rPr>
                <w:noProof/>
                <w:webHidden/>
              </w:rPr>
              <w:tab/>
            </w:r>
            <w:r>
              <w:rPr>
                <w:noProof/>
                <w:webHidden/>
              </w:rPr>
              <w:fldChar w:fldCharType="begin"/>
            </w:r>
            <w:r>
              <w:rPr>
                <w:noProof/>
                <w:webHidden/>
              </w:rPr>
              <w:instrText xml:space="preserve"> PAGEREF _Toc194653683 \h </w:instrText>
            </w:r>
            <w:r>
              <w:rPr>
                <w:noProof/>
                <w:webHidden/>
              </w:rPr>
            </w:r>
            <w:r>
              <w:rPr>
                <w:noProof/>
                <w:webHidden/>
              </w:rPr>
              <w:fldChar w:fldCharType="separate"/>
            </w:r>
            <w:r>
              <w:rPr>
                <w:noProof/>
                <w:webHidden/>
              </w:rPr>
              <w:t>17</w:t>
            </w:r>
            <w:r>
              <w:rPr>
                <w:noProof/>
                <w:webHidden/>
              </w:rPr>
              <w:fldChar w:fldCharType="end"/>
            </w:r>
          </w:hyperlink>
        </w:p>
        <w:p w14:paraId="18356CDD" w14:textId="4803930E" w:rsidR="00FB16EA" w:rsidRDefault="00FB16EA">
          <w:pPr>
            <w:pStyle w:val="TM2"/>
            <w:tabs>
              <w:tab w:val="left" w:pos="880"/>
              <w:tab w:val="right" w:leader="dot" w:pos="9062"/>
            </w:tabs>
            <w:rPr>
              <w:rFonts w:eastAsiaTheme="minorEastAsia"/>
              <w:noProof/>
              <w:lang w:eastAsia="fr-FR"/>
            </w:rPr>
          </w:pPr>
          <w:hyperlink w:anchor="_Toc194653684" w:history="1">
            <w:r w:rsidRPr="00E13F1E">
              <w:rPr>
                <w:rStyle w:val="Lienhypertexte"/>
                <w:noProof/>
                <w14:scene3d>
                  <w14:camera w14:prst="orthographicFront"/>
                  <w14:lightRig w14:rig="threePt" w14:dir="t">
                    <w14:rot w14:lat="0" w14:lon="0" w14:rev="0"/>
                  </w14:lightRig>
                </w14:scene3d>
              </w:rPr>
              <w:t>8.1</w:t>
            </w:r>
            <w:r>
              <w:rPr>
                <w:rFonts w:eastAsiaTheme="minorEastAsia"/>
                <w:noProof/>
                <w:lang w:eastAsia="fr-FR"/>
              </w:rPr>
              <w:tab/>
            </w:r>
            <w:r w:rsidRPr="00E13F1E">
              <w:rPr>
                <w:rStyle w:val="Lienhypertexte"/>
                <w:noProof/>
              </w:rPr>
              <w:t>Réglementation en vigueur</w:t>
            </w:r>
            <w:r>
              <w:rPr>
                <w:noProof/>
                <w:webHidden/>
              </w:rPr>
              <w:tab/>
            </w:r>
            <w:r>
              <w:rPr>
                <w:noProof/>
                <w:webHidden/>
              </w:rPr>
              <w:fldChar w:fldCharType="begin"/>
            </w:r>
            <w:r>
              <w:rPr>
                <w:noProof/>
                <w:webHidden/>
              </w:rPr>
              <w:instrText xml:space="preserve"> PAGEREF _Toc194653684 \h </w:instrText>
            </w:r>
            <w:r>
              <w:rPr>
                <w:noProof/>
                <w:webHidden/>
              </w:rPr>
            </w:r>
            <w:r>
              <w:rPr>
                <w:noProof/>
                <w:webHidden/>
              </w:rPr>
              <w:fldChar w:fldCharType="separate"/>
            </w:r>
            <w:r>
              <w:rPr>
                <w:noProof/>
                <w:webHidden/>
              </w:rPr>
              <w:t>17</w:t>
            </w:r>
            <w:r>
              <w:rPr>
                <w:noProof/>
                <w:webHidden/>
              </w:rPr>
              <w:fldChar w:fldCharType="end"/>
            </w:r>
          </w:hyperlink>
        </w:p>
        <w:p w14:paraId="549E2630" w14:textId="05BCA9CC" w:rsidR="00FB16EA" w:rsidRDefault="00FB16EA">
          <w:pPr>
            <w:pStyle w:val="TM2"/>
            <w:tabs>
              <w:tab w:val="left" w:pos="880"/>
              <w:tab w:val="right" w:leader="dot" w:pos="9062"/>
            </w:tabs>
            <w:rPr>
              <w:rFonts w:eastAsiaTheme="minorEastAsia"/>
              <w:noProof/>
              <w:lang w:eastAsia="fr-FR"/>
            </w:rPr>
          </w:pPr>
          <w:hyperlink w:anchor="_Toc194653685" w:history="1">
            <w:r w:rsidRPr="00E13F1E">
              <w:rPr>
                <w:rStyle w:val="Lienhypertexte"/>
                <w:noProof/>
                <w14:scene3d>
                  <w14:camera w14:prst="orthographicFront"/>
                  <w14:lightRig w14:rig="threePt" w14:dir="t">
                    <w14:rot w14:lat="0" w14:lon="0" w14:rev="0"/>
                  </w14:lightRig>
                </w14:scene3d>
              </w:rPr>
              <w:t>8.2</w:t>
            </w:r>
            <w:r>
              <w:rPr>
                <w:rFonts w:eastAsiaTheme="minorEastAsia"/>
                <w:noProof/>
                <w:lang w:eastAsia="fr-FR"/>
              </w:rPr>
              <w:tab/>
            </w:r>
            <w:r w:rsidRPr="00E13F1E">
              <w:rPr>
                <w:rStyle w:val="Lienhypertexte"/>
                <w:noProof/>
              </w:rPr>
              <w:t>Etat et connaissance du site</w:t>
            </w:r>
            <w:r>
              <w:rPr>
                <w:noProof/>
                <w:webHidden/>
              </w:rPr>
              <w:tab/>
            </w:r>
            <w:r>
              <w:rPr>
                <w:noProof/>
                <w:webHidden/>
              </w:rPr>
              <w:fldChar w:fldCharType="begin"/>
            </w:r>
            <w:r>
              <w:rPr>
                <w:noProof/>
                <w:webHidden/>
              </w:rPr>
              <w:instrText xml:space="preserve"> PAGEREF _Toc194653685 \h </w:instrText>
            </w:r>
            <w:r>
              <w:rPr>
                <w:noProof/>
                <w:webHidden/>
              </w:rPr>
            </w:r>
            <w:r>
              <w:rPr>
                <w:noProof/>
                <w:webHidden/>
              </w:rPr>
              <w:fldChar w:fldCharType="separate"/>
            </w:r>
            <w:r>
              <w:rPr>
                <w:noProof/>
                <w:webHidden/>
              </w:rPr>
              <w:t>17</w:t>
            </w:r>
            <w:r>
              <w:rPr>
                <w:noProof/>
                <w:webHidden/>
              </w:rPr>
              <w:fldChar w:fldCharType="end"/>
            </w:r>
          </w:hyperlink>
        </w:p>
        <w:p w14:paraId="522BD95A" w14:textId="44AC08EF" w:rsidR="00FB16EA" w:rsidRDefault="00FB16EA">
          <w:pPr>
            <w:pStyle w:val="TM2"/>
            <w:tabs>
              <w:tab w:val="left" w:pos="880"/>
              <w:tab w:val="right" w:leader="dot" w:pos="9062"/>
            </w:tabs>
            <w:rPr>
              <w:rFonts w:eastAsiaTheme="minorEastAsia"/>
              <w:noProof/>
              <w:lang w:eastAsia="fr-FR"/>
            </w:rPr>
          </w:pPr>
          <w:hyperlink w:anchor="_Toc194653686" w:history="1">
            <w:r w:rsidRPr="00E13F1E">
              <w:rPr>
                <w:rStyle w:val="Lienhypertexte"/>
                <w:noProof/>
                <w14:scene3d>
                  <w14:camera w14:prst="orthographicFront"/>
                  <w14:lightRig w14:rig="threePt" w14:dir="t">
                    <w14:rot w14:lat="0" w14:lon="0" w14:rev="0"/>
                  </w14:lightRig>
                </w14:scene3d>
              </w:rPr>
              <w:t>8.3</w:t>
            </w:r>
            <w:r>
              <w:rPr>
                <w:rFonts w:eastAsiaTheme="minorEastAsia"/>
                <w:noProof/>
                <w:lang w:eastAsia="fr-FR"/>
              </w:rPr>
              <w:tab/>
            </w:r>
            <w:r w:rsidRPr="00E13F1E">
              <w:rPr>
                <w:rStyle w:val="Lienhypertexte"/>
                <w:noProof/>
              </w:rPr>
              <w:t>Ordres de service</w:t>
            </w:r>
            <w:r>
              <w:rPr>
                <w:noProof/>
                <w:webHidden/>
              </w:rPr>
              <w:tab/>
            </w:r>
            <w:r>
              <w:rPr>
                <w:noProof/>
                <w:webHidden/>
              </w:rPr>
              <w:fldChar w:fldCharType="begin"/>
            </w:r>
            <w:r>
              <w:rPr>
                <w:noProof/>
                <w:webHidden/>
              </w:rPr>
              <w:instrText xml:space="preserve"> PAGEREF _Toc194653686 \h </w:instrText>
            </w:r>
            <w:r>
              <w:rPr>
                <w:noProof/>
                <w:webHidden/>
              </w:rPr>
            </w:r>
            <w:r>
              <w:rPr>
                <w:noProof/>
                <w:webHidden/>
              </w:rPr>
              <w:fldChar w:fldCharType="separate"/>
            </w:r>
            <w:r>
              <w:rPr>
                <w:noProof/>
                <w:webHidden/>
              </w:rPr>
              <w:t>17</w:t>
            </w:r>
            <w:r>
              <w:rPr>
                <w:noProof/>
                <w:webHidden/>
              </w:rPr>
              <w:fldChar w:fldCharType="end"/>
            </w:r>
          </w:hyperlink>
        </w:p>
        <w:p w14:paraId="773E2A55" w14:textId="1B54E68F" w:rsidR="00FB16EA" w:rsidRDefault="00FB16EA">
          <w:pPr>
            <w:pStyle w:val="TM2"/>
            <w:tabs>
              <w:tab w:val="left" w:pos="880"/>
              <w:tab w:val="right" w:leader="dot" w:pos="9062"/>
            </w:tabs>
            <w:rPr>
              <w:rFonts w:eastAsiaTheme="minorEastAsia"/>
              <w:noProof/>
              <w:lang w:eastAsia="fr-FR"/>
            </w:rPr>
          </w:pPr>
          <w:hyperlink w:anchor="_Toc194653687" w:history="1">
            <w:r w:rsidRPr="00E13F1E">
              <w:rPr>
                <w:rStyle w:val="Lienhypertexte"/>
                <w:noProof/>
                <w14:scene3d>
                  <w14:camera w14:prst="orthographicFront"/>
                  <w14:lightRig w14:rig="threePt" w14:dir="t">
                    <w14:rot w14:lat="0" w14:lon="0" w14:rev="0"/>
                  </w14:lightRig>
                </w14:scene3d>
              </w:rPr>
              <w:t>8.4</w:t>
            </w:r>
            <w:r>
              <w:rPr>
                <w:rFonts w:eastAsiaTheme="minorEastAsia"/>
                <w:noProof/>
                <w:lang w:eastAsia="fr-FR"/>
              </w:rPr>
              <w:tab/>
            </w:r>
            <w:r w:rsidRPr="00E13F1E">
              <w:rPr>
                <w:rStyle w:val="Lienhypertexte"/>
                <w:noProof/>
              </w:rPr>
              <w:t>Convocation du Titulaire – Réunions de chantier</w:t>
            </w:r>
            <w:r>
              <w:rPr>
                <w:noProof/>
                <w:webHidden/>
              </w:rPr>
              <w:tab/>
            </w:r>
            <w:r>
              <w:rPr>
                <w:noProof/>
                <w:webHidden/>
              </w:rPr>
              <w:fldChar w:fldCharType="begin"/>
            </w:r>
            <w:r>
              <w:rPr>
                <w:noProof/>
                <w:webHidden/>
              </w:rPr>
              <w:instrText xml:space="preserve"> PAGEREF _Toc194653687 \h </w:instrText>
            </w:r>
            <w:r>
              <w:rPr>
                <w:noProof/>
                <w:webHidden/>
              </w:rPr>
            </w:r>
            <w:r>
              <w:rPr>
                <w:noProof/>
                <w:webHidden/>
              </w:rPr>
              <w:fldChar w:fldCharType="separate"/>
            </w:r>
            <w:r>
              <w:rPr>
                <w:noProof/>
                <w:webHidden/>
              </w:rPr>
              <w:t>17</w:t>
            </w:r>
            <w:r>
              <w:rPr>
                <w:noProof/>
                <w:webHidden/>
              </w:rPr>
              <w:fldChar w:fldCharType="end"/>
            </w:r>
          </w:hyperlink>
        </w:p>
        <w:p w14:paraId="26EAFA83" w14:textId="4885F03D" w:rsidR="00FB16EA" w:rsidRDefault="00FB16EA">
          <w:pPr>
            <w:pStyle w:val="TM2"/>
            <w:tabs>
              <w:tab w:val="left" w:pos="880"/>
              <w:tab w:val="right" w:leader="dot" w:pos="9062"/>
            </w:tabs>
            <w:rPr>
              <w:rFonts w:eastAsiaTheme="minorEastAsia"/>
              <w:noProof/>
              <w:lang w:eastAsia="fr-FR"/>
            </w:rPr>
          </w:pPr>
          <w:hyperlink w:anchor="_Toc194653688" w:history="1">
            <w:r w:rsidRPr="00E13F1E">
              <w:rPr>
                <w:rStyle w:val="Lienhypertexte"/>
                <w:noProof/>
                <w14:scene3d>
                  <w14:camera w14:prst="orthographicFront"/>
                  <w14:lightRig w14:rig="threePt" w14:dir="t">
                    <w14:rot w14:lat="0" w14:lon="0" w14:rev="0"/>
                  </w14:lightRig>
                </w14:scene3d>
              </w:rPr>
              <w:t>8.5</w:t>
            </w:r>
            <w:r>
              <w:rPr>
                <w:rFonts w:eastAsiaTheme="minorEastAsia"/>
                <w:noProof/>
                <w:lang w:eastAsia="fr-FR"/>
              </w:rPr>
              <w:tab/>
            </w:r>
            <w:r w:rsidRPr="00E13F1E">
              <w:rPr>
                <w:rStyle w:val="Lienhypertexte"/>
                <w:noProof/>
              </w:rPr>
              <w:t>Sous-traitance</w:t>
            </w:r>
            <w:r>
              <w:rPr>
                <w:noProof/>
                <w:webHidden/>
              </w:rPr>
              <w:tab/>
            </w:r>
            <w:r>
              <w:rPr>
                <w:noProof/>
                <w:webHidden/>
              </w:rPr>
              <w:fldChar w:fldCharType="begin"/>
            </w:r>
            <w:r>
              <w:rPr>
                <w:noProof/>
                <w:webHidden/>
              </w:rPr>
              <w:instrText xml:space="preserve"> PAGEREF _Toc194653688 \h </w:instrText>
            </w:r>
            <w:r>
              <w:rPr>
                <w:noProof/>
                <w:webHidden/>
              </w:rPr>
            </w:r>
            <w:r>
              <w:rPr>
                <w:noProof/>
                <w:webHidden/>
              </w:rPr>
              <w:fldChar w:fldCharType="separate"/>
            </w:r>
            <w:r>
              <w:rPr>
                <w:noProof/>
                <w:webHidden/>
              </w:rPr>
              <w:t>18</w:t>
            </w:r>
            <w:r>
              <w:rPr>
                <w:noProof/>
                <w:webHidden/>
              </w:rPr>
              <w:fldChar w:fldCharType="end"/>
            </w:r>
          </w:hyperlink>
        </w:p>
        <w:p w14:paraId="1F994257" w14:textId="1987A2A1" w:rsidR="00FB16EA" w:rsidRDefault="00FB16EA">
          <w:pPr>
            <w:pStyle w:val="TM2"/>
            <w:tabs>
              <w:tab w:val="left" w:pos="880"/>
              <w:tab w:val="right" w:leader="dot" w:pos="9062"/>
            </w:tabs>
            <w:rPr>
              <w:rFonts w:eastAsiaTheme="minorEastAsia"/>
              <w:noProof/>
              <w:lang w:eastAsia="fr-FR"/>
            </w:rPr>
          </w:pPr>
          <w:hyperlink w:anchor="_Toc194653689" w:history="1">
            <w:r w:rsidRPr="00E13F1E">
              <w:rPr>
                <w:rStyle w:val="Lienhypertexte"/>
                <w:noProof/>
                <w14:scene3d>
                  <w14:camera w14:prst="orthographicFront"/>
                  <w14:lightRig w14:rig="threePt" w14:dir="t">
                    <w14:rot w14:lat="0" w14:lon="0" w14:rev="0"/>
                  </w14:lightRig>
                </w14:scene3d>
              </w:rPr>
              <w:t>8.6</w:t>
            </w:r>
            <w:r>
              <w:rPr>
                <w:rFonts w:eastAsiaTheme="minorEastAsia"/>
                <w:noProof/>
                <w:lang w:eastAsia="fr-FR"/>
              </w:rPr>
              <w:tab/>
            </w:r>
            <w:r w:rsidRPr="00E13F1E">
              <w:rPr>
                <w:rStyle w:val="Lienhypertexte"/>
                <w:noProof/>
              </w:rPr>
              <w:t>Protection de la main d’œuvre et des conditions de travail</w:t>
            </w:r>
            <w:r>
              <w:rPr>
                <w:noProof/>
                <w:webHidden/>
              </w:rPr>
              <w:tab/>
            </w:r>
            <w:r>
              <w:rPr>
                <w:noProof/>
                <w:webHidden/>
              </w:rPr>
              <w:fldChar w:fldCharType="begin"/>
            </w:r>
            <w:r>
              <w:rPr>
                <w:noProof/>
                <w:webHidden/>
              </w:rPr>
              <w:instrText xml:space="preserve"> PAGEREF _Toc194653689 \h </w:instrText>
            </w:r>
            <w:r>
              <w:rPr>
                <w:noProof/>
                <w:webHidden/>
              </w:rPr>
            </w:r>
            <w:r>
              <w:rPr>
                <w:noProof/>
                <w:webHidden/>
              </w:rPr>
              <w:fldChar w:fldCharType="separate"/>
            </w:r>
            <w:r>
              <w:rPr>
                <w:noProof/>
                <w:webHidden/>
              </w:rPr>
              <w:t>18</w:t>
            </w:r>
            <w:r>
              <w:rPr>
                <w:noProof/>
                <w:webHidden/>
              </w:rPr>
              <w:fldChar w:fldCharType="end"/>
            </w:r>
          </w:hyperlink>
        </w:p>
        <w:p w14:paraId="5592D9C6" w14:textId="7F945981" w:rsidR="00FB16EA" w:rsidRDefault="00FB16EA">
          <w:pPr>
            <w:pStyle w:val="TM2"/>
            <w:tabs>
              <w:tab w:val="left" w:pos="880"/>
              <w:tab w:val="right" w:leader="dot" w:pos="9062"/>
            </w:tabs>
            <w:rPr>
              <w:rFonts w:eastAsiaTheme="minorEastAsia"/>
              <w:noProof/>
              <w:lang w:eastAsia="fr-FR"/>
            </w:rPr>
          </w:pPr>
          <w:hyperlink w:anchor="_Toc194653690" w:history="1">
            <w:r w:rsidRPr="00E13F1E">
              <w:rPr>
                <w:rStyle w:val="Lienhypertexte"/>
                <w:noProof/>
                <w14:scene3d>
                  <w14:camera w14:prst="orthographicFront"/>
                  <w14:lightRig w14:rig="threePt" w14:dir="t">
                    <w14:rot w14:lat="0" w14:lon="0" w14:rev="0"/>
                  </w14:lightRig>
                </w14:scene3d>
              </w:rPr>
              <w:t>8.7</w:t>
            </w:r>
            <w:r>
              <w:rPr>
                <w:rFonts w:eastAsiaTheme="minorEastAsia"/>
                <w:noProof/>
                <w:lang w:eastAsia="fr-FR"/>
              </w:rPr>
              <w:tab/>
            </w:r>
            <w:r w:rsidRPr="00E13F1E">
              <w:rPr>
                <w:rStyle w:val="Lienhypertexte"/>
                <w:noProof/>
              </w:rPr>
              <w:t>Protection de l’environnement</w:t>
            </w:r>
            <w:r>
              <w:rPr>
                <w:noProof/>
                <w:webHidden/>
              </w:rPr>
              <w:tab/>
            </w:r>
            <w:r>
              <w:rPr>
                <w:noProof/>
                <w:webHidden/>
              </w:rPr>
              <w:fldChar w:fldCharType="begin"/>
            </w:r>
            <w:r>
              <w:rPr>
                <w:noProof/>
                <w:webHidden/>
              </w:rPr>
              <w:instrText xml:space="preserve"> PAGEREF _Toc194653690 \h </w:instrText>
            </w:r>
            <w:r>
              <w:rPr>
                <w:noProof/>
                <w:webHidden/>
              </w:rPr>
            </w:r>
            <w:r>
              <w:rPr>
                <w:noProof/>
                <w:webHidden/>
              </w:rPr>
              <w:fldChar w:fldCharType="separate"/>
            </w:r>
            <w:r>
              <w:rPr>
                <w:noProof/>
                <w:webHidden/>
              </w:rPr>
              <w:t>19</w:t>
            </w:r>
            <w:r>
              <w:rPr>
                <w:noProof/>
                <w:webHidden/>
              </w:rPr>
              <w:fldChar w:fldCharType="end"/>
            </w:r>
          </w:hyperlink>
        </w:p>
        <w:p w14:paraId="7DB9566B" w14:textId="5AE8BC81" w:rsidR="00FB16EA" w:rsidRDefault="00FB16EA">
          <w:pPr>
            <w:pStyle w:val="TM2"/>
            <w:tabs>
              <w:tab w:val="left" w:pos="880"/>
              <w:tab w:val="right" w:leader="dot" w:pos="9062"/>
            </w:tabs>
            <w:rPr>
              <w:rFonts w:eastAsiaTheme="minorEastAsia"/>
              <w:noProof/>
              <w:lang w:eastAsia="fr-FR"/>
            </w:rPr>
          </w:pPr>
          <w:hyperlink w:anchor="_Toc194653691" w:history="1">
            <w:r w:rsidRPr="00E13F1E">
              <w:rPr>
                <w:rStyle w:val="Lienhypertexte"/>
                <w:noProof/>
                <w14:scene3d>
                  <w14:camera w14:prst="orthographicFront"/>
                  <w14:lightRig w14:rig="threePt" w14:dir="t">
                    <w14:rot w14:lat="0" w14:lon="0" w14:rev="0"/>
                  </w14:lightRig>
                </w14:scene3d>
              </w:rPr>
              <w:t>8.8</w:t>
            </w:r>
            <w:r>
              <w:rPr>
                <w:rFonts w:eastAsiaTheme="minorEastAsia"/>
                <w:noProof/>
                <w:lang w:eastAsia="fr-FR"/>
              </w:rPr>
              <w:tab/>
            </w:r>
            <w:r w:rsidRPr="00E13F1E">
              <w:rPr>
                <w:rStyle w:val="Lienhypertexte"/>
                <w:noProof/>
              </w:rPr>
              <w:t>Dispositions relatives à la lutte contre le travail illégal</w:t>
            </w:r>
            <w:r>
              <w:rPr>
                <w:noProof/>
                <w:webHidden/>
              </w:rPr>
              <w:tab/>
            </w:r>
            <w:r>
              <w:rPr>
                <w:noProof/>
                <w:webHidden/>
              </w:rPr>
              <w:fldChar w:fldCharType="begin"/>
            </w:r>
            <w:r>
              <w:rPr>
                <w:noProof/>
                <w:webHidden/>
              </w:rPr>
              <w:instrText xml:space="preserve"> PAGEREF _Toc194653691 \h </w:instrText>
            </w:r>
            <w:r>
              <w:rPr>
                <w:noProof/>
                <w:webHidden/>
              </w:rPr>
            </w:r>
            <w:r>
              <w:rPr>
                <w:noProof/>
                <w:webHidden/>
              </w:rPr>
              <w:fldChar w:fldCharType="separate"/>
            </w:r>
            <w:r>
              <w:rPr>
                <w:noProof/>
                <w:webHidden/>
              </w:rPr>
              <w:t>19</w:t>
            </w:r>
            <w:r>
              <w:rPr>
                <w:noProof/>
                <w:webHidden/>
              </w:rPr>
              <w:fldChar w:fldCharType="end"/>
            </w:r>
          </w:hyperlink>
        </w:p>
        <w:p w14:paraId="4A3550BD" w14:textId="36CEFF0F" w:rsidR="00FB16EA" w:rsidRDefault="00FB16EA">
          <w:pPr>
            <w:pStyle w:val="TM3"/>
            <w:tabs>
              <w:tab w:val="left" w:pos="1320"/>
              <w:tab w:val="right" w:leader="dot" w:pos="9062"/>
            </w:tabs>
            <w:rPr>
              <w:rFonts w:eastAsiaTheme="minorEastAsia"/>
              <w:noProof/>
              <w:lang w:eastAsia="fr-FR"/>
            </w:rPr>
          </w:pPr>
          <w:hyperlink w:anchor="_Toc194653692" w:history="1">
            <w:r w:rsidRPr="00E13F1E">
              <w:rPr>
                <w:rStyle w:val="Lienhypertexte"/>
                <w:noProof/>
                <w14:scene3d>
                  <w14:camera w14:prst="orthographicFront"/>
                  <w14:lightRig w14:rig="threePt" w14:dir="t">
                    <w14:rot w14:lat="0" w14:lon="0" w14:rev="0"/>
                  </w14:lightRig>
                </w14:scene3d>
              </w:rPr>
              <w:t>8.8.1</w:t>
            </w:r>
            <w:r>
              <w:rPr>
                <w:rFonts w:eastAsiaTheme="minorEastAsia"/>
                <w:noProof/>
                <w:lang w:eastAsia="fr-FR"/>
              </w:rPr>
              <w:tab/>
            </w:r>
            <w:r w:rsidRPr="00E13F1E">
              <w:rPr>
                <w:rStyle w:val="Lienhypertexte"/>
                <w:noProof/>
              </w:rPr>
              <w:t>Obligation d’identification des travailleurs</w:t>
            </w:r>
            <w:r>
              <w:rPr>
                <w:noProof/>
                <w:webHidden/>
              </w:rPr>
              <w:tab/>
            </w:r>
            <w:r>
              <w:rPr>
                <w:noProof/>
                <w:webHidden/>
              </w:rPr>
              <w:fldChar w:fldCharType="begin"/>
            </w:r>
            <w:r>
              <w:rPr>
                <w:noProof/>
                <w:webHidden/>
              </w:rPr>
              <w:instrText xml:space="preserve"> PAGEREF _Toc194653692 \h </w:instrText>
            </w:r>
            <w:r>
              <w:rPr>
                <w:noProof/>
                <w:webHidden/>
              </w:rPr>
            </w:r>
            <w:r>
              <w:rPr>
                <w:noProof/>
                <w:webHidden/>
              </w:rPr>
              <w:fldChar w:fldCharType="separate"/>
            </w:r>
            <w:r>
              <w:rPr>
                <w:noProof/>
                <w:webHidden/>
              </w:rPr>
              <w:t>19</w:t>
            </w:r>
            <w:r>
              <w:rPr>
                <w:noProof/>
                <w:webHidden/>
              </w:rPr>
              <w:fldChar w:fldCharType="end"/>
            </w:r>
          </w:hyperlink>
        </w:p>
        <w:p w14:paraId="7A6744E3" w14:textId="4974F028" w:rsidR="00FB16EA" w:rsidRDefault="00FB16EA">
          <w:pPr>
            <w:pStyle w:val="TM3"/>
            <w:tabs>
              <w:tab w:val="left" w:pos="1320"/>
              <w:tab w:val="right" w:leader="dot" w:pos="9062"/>
            </w:tabs>
            <w:rPr>
              <w:rFonts w:eastAsiaTheme="minorEastAsia"/>
              <w:noProof/>
              <w:lang w:eastAsia="fr-FR"/>
            </w:rPr>
          </w:pPr>
          <w:hyperlink w:anchor="_Toc194653693" w:history="1">
            <w:r w:rsidRPr="00E13F1E">
              <w:rPr>
                <w:rStyle w:val="Lienhypertexte"/>
                <w:noProof/>
                <w14:scene3d>
                  <w14:camera w14:prst="orthographicFront"/>
                  <w14:lightRig w14:rig="threePt" w14:dir="t">
                    <w14:rot w14:lat="0" w14:lon="0" w14:rev="0"/>
                  </w14:lightRig>
                </w14:scene3d>
              </w:rPr>
              <w:t>8.8.2</w:t>
            </w:r>
            <w:r>
              <w:rPr>
                <w:rFonts w:eastAsiaTheme="minorEastAsia"/>
                <w:noProof/>
                <w:lang w:eastAsia="fr-FR"/>
              </w:rPr>
              <w:tab/>
            </w:r>
            <w:r w:rsidRPr="00E13F1E">
              <w:rPr>
                <w:rStyle w:val="Lienhypertexte"/>
                <w:noProof/>
              </w:rPr>
              <w:t>Lutte contre le travail dissimulé</w:t>
            </w:r>
            <w:r>
              <w:rPr>
                <w:noProof/>
                <w:webHidden/>
              </w:rPr>
              <w:tab/>
            </w:r>
            <w:r>
              <w:rPr>
                <w:noProof/>
                <w:webHidden/>
              </w:rPr>
              <w:fldChar w:fldCharType="begin"/>
            </w:r>
            <w:r>
              <w:rPr>
                <w:noProof/>
                <w:webHidden/>
              </w:rPr>
              <w:instrText xml:space="preserve"> PAGEREF _Toc194653693 \h </w:instrText>
            </w:r>
            <w:r>
              <w:rPr>
                <w:noProof/>
                <w:webHidden/>
              </w:rPr>
            </w:r>
            <w:r>
              <w:rPr>
                <w:noProof/>
                <w:webHidden/>
              </w:rPr>
              <w:fldChar w:fldCharType="separate"/>
            </w:r>
            <w:r>
              <w:rPr>
                <w:noProof/>
                <w:webHidden/>
              </w:rPr>
              <w:t>19</w:t>
            </w:r>
            <w:r>
              <w:rPr>
                <w:noProof/>
                <w:webHidden/>
              </w:rPr>
              <w:fldChar w:fldCharType="end"/>
            </w:r>
          </w:hyperlink>
        </w:p>
        <w:p w14:paraId="66CABDAF" w14:textId="50F25FF0" w:rsidR="00FB16EA" w:rsidRDefault="00FB16EA">
          <w:pPr>
            <w:pStyle w:val="TM3"/>
            <w:tabs>
              <w:tab w:val="left" w:pos="1320"/>
              <w:tab w:val="right" w:leader="dot" w:pos="9062"/>
            </w:tabs>
            <w:rPr>
              <w:rFonts w:eastAsiaTheme="minorEastAsia"/>
              <w:noProof/>
              <w:lang w:eastAsia="fr-FR"/>
            </w:rPr>
          </w:pPr>
          <w:hyperlink w:anchor="_Toc194653694" w:history="1">
            <w:r w:rsidRPr="00E13F1E">
              <w:rPr>
                <w:rStyle w:val="Lienhypertexte"/>
                <w:noProof/>
                <w14:scene3d>
                  <w14:camera w14:prst="orthographicFront"/>
                  <w14:lightRig w14:rig="threePt" w14:dir="t">
                    <w14:rot w14:lat="0" w14:lon="0" w14:rev="0"/>
                  </w14:lightRig>
                </w14:scene3d>
              </w:rPr>
              <w:t>8.8.3</w:t>
            </w:r>
            <w:r>
              <w:rPr>
                <w:rFonts w:eastAsiaTheme="minorEastAsia"/>
                <w:noProof/>
                <w:lang w:eastAsia="fr-FR"/>
              </w:rPr>
              <w:tab/>
            </w:r>
            <w:r w:rsidRPr="00E13F1E">
              <w:rPr>
                <w:rStyle w:val="Lienhypertexte"/>
                <w:noProof/>
              </w:rPr>
              <w:t>Emploi de travailleurs étrangers ou détachés</w:t>
            </w:r>
            <w:r>
              <w:rPr>
                <w:noProof/>
                <w:webHidden/>
              </w:rPr>
              <w:tab/>
            </w:r>
            <w:r>
              <w:rPr>
                <w:noProof/>
                <w:webHidden/>
              </w:rPr>
              <w:fldChar w:fldCharType="begin"/>
            </w:r>
            <w:r>
              <w:rPr>
                <w:noProof/>
                <w:webHidden/>
              </w:rPr>
              <w:instrText xml:space="preserve"> PAGEREF _Toc194653694 \h </w:instrText>
            </w:r>
            <w:r>
              <w:rPr>
                <w:noProof/>
                <w:webHidden/>
              </w:rPr>
            </w:r>
            <w:r>
              <w:rPr>
                <w:noProof/>
                <w:webHidden/>
              </w:rPr>
              <w:fldChar w:fldCharType="separate"/>
            </w:r>
            <w:r>
              <w:rPr>
                <w:noProof/>
                <w:webHidden/>
              </w:rPr>
              <w:t>19</w:t>
            </w:r>
            <w:r>
              <w:rPr>
                <w:noProof/>
                <w:webHidden/>
              </w:rPr>
              <w:fldChar w:fldCharType="end"/>
            </w:r>
          </w:hyperlink>
        </w:p>
        <w:p w14:paraId="0ADBE148" w14:textId="1D308055" w:rsidR="00FB16EA" w:rsidRDefault="00FB16EA">
          <w:pPr>
            <w:pStyle w:val="TM1"/>
            <w:tabs>
              <w:tab w:val="left" w:pos="440"/>
              <w:tab w:val="right" w:leader="dot" w:pos="9062"/>
            </w:tabs>
            <w:rPr>
              <w:rFonts w:eastAsiaTheme="minorEastAsia"/>
              <w:noProof/>
              <w:lang w:eastAsia="fr-FR"/>
            </w:rPr>
          </w:pPr>
          <w:hyperlink w:anchor="_Toc194653695" w:history="1">
            <w:r w:rsidRPr="00E13F1E">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E13F1E">
              <w:rPr>
                <w:rStyle w:val="Lienhypertexte"/>
                <w:noProof/>
              </w:rPr>
              <w:t>Provenance, qualité, contrôle et prise en charge des matériaux et produits</w:t>
            </w:r>
            <w:r>
              <w:rPr>
                <w:noProof/>
                <w:webHidden/>
              </w:rPr>
              <w:tab/>
            </w:r>
            <w:r>
              <w:rPr>
                <w:noProof/>
                <w:webHidden/>
              </w:rPr>
              <w:fldChar w:fldCharType="begin"/>
            </w:r>
            <w:r>
              <w:rPr>
                <w:noProof/>
                <w:webHidden/>
              </w:rPr>
              <w:instrText xml:space="preserve"> PAGEREF _Toc194653695 \h </w:instrText>
            </w:r>
            <w:r>
              <w:rPr>
                <w:noProof/>
                <w:webHidden/>
              </w:rPr>
            </w:r>
            <w:r>
              <w:rPr>
                <w:noProof/>
                <w:webHidden/>
              </w:rPr>
              <w:fldChar w:fldCharType="separate"/>
            </w:r>
            <w:r>
              <w:rPr>
                <w:noProof/>
                <w:webHidden/>
              </w:rPr>
              <w:t>19</w:t>
            </w:r>
            <w:r>
              <w:rPr>
                <w:noProof/>
                <w:webHidden/>
              </w:rPr>
              <w:fldChar w:fldCharType="end"/>
            </w:r>
          </w:hyperlink>
        </w:p>
        <w:p w14:paraId="305E408D" w14:textId="78666CDC" w:rsidR="00FB16EA" w:rsidRDefault="00FB16EA">
          <w:pPr>
            <w:pStyle w:val="TM1"/>
            <w:tabs>
              <w:tab w:val="left" w:pos="660"/>
              <w:tab w:val="right" w:leader="dot" w:pos="9062"/>
            </w:tabs>
            <w:rPr>
              <w:rFonts w:eastAsiaTheme="minorEastAsia"/>
              <w:noProof/>
              <w:lang w:eastAsia="fr-FR"/>
            </w:rPr>
          </w:pPr>
          <w:hyperlink w:anchor="_Toc194653696" w:history="1">
            <w:r w:rsidRPr="00E13F1E">
              <w:rPr>
                <w:rStyle w:val="Lienhypertexte"/>
                <w:noProof/>
                <w14:scene3d>
                  <w14:camera w14:prst="orthographicFront"/>
                  <w14:lightRig w14:rig="threePt" w14:dir="t">
                    <w14:rot w14:lat="0" w14:lon="0" w14:rev="0"/>
                  </w14:lightRig>
                </w14:scene3d>
              </w:rPr>
              <w:t>10</w:t>
            </w:r>
            <w:r>
              <w:rPr>
                <w:rFonts w:eastAsiaTheme="minorEastAsia"/>
                <w:noProof/>
                <w:lang w:eastAsia="fr-FR"/>
              </w:rPr>
              <w:tab/>
            </w:r>
            <w:r w:rsidRPr="00E13F1E">
              <w:rPr>
                <w:rStyle w:val="Lienhypertexte"/>
                <w:noProof/>
              </w:rPr>
              <w:t>Préparation, coordination et exécution des travaux</w:t>
            </w:r>
            <w:r>
              <w:rPr>
                <w:noProof/>
                <w:webHidden/>
              </w:rPr>
              <w:tab/>
            </w:r>
            <w:r>
              <w:rPr>
                <w:noProof/>
                <w:webHidden/>
              </w:rPr>
              <w:fldChar w:fldCharType="begin"/>
            </w:r>
            <w:r>
              <w:rPr>
                <w:noProof/>
                <w:webHidden/>
              </w:rPr>
              <w:instrText xml:space="preserve"> PAGEREF _Toc194653696 \h </w:instrText>
            </w:r>
            <w:r>
              <w:rPr>
                <w:noProof/>
                <w:webHidden/>
              </w:rPr>
            </w:r>
            <w:r>
              <w:rPr>
                <w:noProof/>
                <w:webHidden/>
              </w:rPr>
              <w:fldChar w:fldCharType="separate"/>
            </w:r>
            <w:r>
              <w:rPr>
                <w:noProof/>
                <w:webHidden/>
              </w:rPr>
              <w:t>20</w:t>
            </w:r>
            <w:r>
              <w:rPr>
                <w:noProof/>
                <w:webHidden/>
              </w:rPr>
              <w:fldChar w:fldCharType="end"/>
            </w:r>
          </w:hyperlink>
        </w:p>
        <w:p w14:paraId="2ADF404F" w14:textId="05545D0D" w:rsidR="00FB16EA" w:rsidRDefault="00FB16EA">
          <w:pPr>
            <w:pStyle w:val="TM2"/>
            <w:tabs>
              <w:tab w:val="left" w:pos="880"/>
              <w:tab w:val="right" w:leader="dot" w:pos="9062"/>
            </w:tabs>
            <w:rPr>
              <w:rFonts w:eastAsiaTheme="minorEastAsia"/>
              <w:noProof/>
              <w:lang w:eastAsia="fr-FR"/>
            </w:rPr>
          </w:pPr>
          <w:hyperlink w:anchor="_Toc194653697" w:history="1">
            <w:r w:rsidRPr="00E13F1E">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E13F1E">
              <w:rPr>
                <w:rStyle w:val="Lienhypertexte"/>
                <w:noProof/>
              </w:rPr>
              <w:t>Période de préparation</w:t>
            </w:r>
            <w:r>
              <w:rPr>
                <w:noProof/>
                <w:webHidden/>
              </w:rPr>
              <w:tab/>
            </w:r>
            <w:r>
              <w:rPr>
                <w:noProof/>
                <w:webHidden/>
              </w:rPr>
              <w:fldChar w:fldCharType="begin"/>
            </w:r>
            <w:r>
              <w:rPr>
                <w:noProof/>
                <w:webHidden/>
              </w:rPr>
              <w:instrText xml:space="preserve"> PAGEREF _Toc194653697 \h </w:instrText>
            </w:r>
            <w:r>
              <w:rPr>
                <w:noProof/>
                <w:webHidden/>
              </w:rPr>
            </w:r>
            <w:r>
              <w:rPr>
                <w:noProof/>
                <w:webHidden/>
              </w:rPr>
              <w:fldChar w:fldCharType="separate"/>
            </w:r>
            <w:r>
              <w:rPr>
                <w:noProof/>
                <w:webHidden/>
              </w:rPr>
              <w:t>20</w:t>
            </w:r>
            <w:r>
              <w:rPr>
                <w:noProof/>
                <w:webHidden/>
              </w:rPr>
              <w:fldChar w:fldCharType="end"/>
            </w:r>
          </w:hyperlink>
        </w:p>
        <w:p w14:paraId="51B2DD6E" w14:textId="77D99EB9" w:rsidR="00FB16EA" w:rsidRDefault="00FB16EA">
          <w:pPr>
            <w:pStyle w:val="TM2"/>
            <w:tabs>
              <w:tab w:val="left" w:pos="880"/>
              <w:tab w:val="right" w:leader="dot" w:pos="9062"/>
            </w:tabs>
            <w:rPr>
              <w:rFonts w:eastAsiaTheme="minorEastAsia"/>
              <w:noProof/>
              <w:lang w:eastAsia="fr-FR"/>
            </w:rPr>
          </w:pPr>
          <w:hyperlink w:anchor="_Toc194653698" w:history="1">
            <w:r w:rsidRPr="00E13F1E">
              <w:rPr>
                <w:rStyle w:val="Lienhypertexte"/>
                <w:noProof/>
                <w14:scene3d>
                  <w14:camera w14:prst="orthographicFront"/>
                  <w14:lightRig w14:rig="threePt" w14:dir="t">
                    <w14:rot w14:lat="0" w14:lon="0" w14:rev="0"/>
                  </w14:lightRig>
                </w14:scene3d>
              </w:rPr>
              <w:t>10.2</w:t>
            </w:r>
            <w:r>
              <w:rPr>
                <w:rFonts w:eastAsiaTheme="minorEastAsia"/>
                <w:noProof/>
                <w:lang w:eastAsia="fr-FR"/>
              </w:rPr>
              <w:tab/>
            </w:r>
            <w:r w:rsidRPr="00E13F1E">
              <w:rPr>
                <w:rStyle w:val="Lienhypertexte"/>
                <w:noProof/>
              </w:rPr>
              <w:t>Plans d’exécution, notes de calculs, études de détail, de synthèse et autres</w:t>
            </w:r>
            <w:r>
              <w:rPr>
                <w:noProof/>
                <w:webHidden/>
              </w:rPr>
              <w:tab/>
            </w:r>
            <w:r>
              <w:rPr>
                <w:noProof/>
                <w:webHidden/>
              </w:rPr>
              <w:fldChar w:fldCharType="begin"/>
            </w:r>
            <w:r>
              <w:rPr>
                <w:noProof/>
                <w:webHidden/>
              </w:rPr>
              <w:instrText xml:space="preserve"> PAGEREF _Toc194653698 \h </w:instrText>
            </w:r>
            <w:r>
              <w:rPr>
                <w:noProof/>
                <w:webHidden/>
              </w:rPr>
            </w:r>
            <w:r>
              <w:rPr>
                <w:noProof/>
                <w:webHidden/>
              </w:rPr>
              <w:fldChar w:fldCharType="separate"/>
            </w:r>
            <w:r>
              <w:rPr>
                <w:noProof/>
                <w:webHidden/>
              </w:rPr>
              <w:t>20</w:t>
            </w:r>
            <w:r>
              <w:rPr>
                <w:noProof/>
                <w:webHidden/>
              </w:rPr>
              <w:fldChar w:fldCharType="end"/>
            </w:r>
          </w:hyperlink>
        </w:p>
        <w:p w14:paraId="55E5B0C8" w14:textId="25C7A02C" w:rsidR="00FB16EA" w:rsidRDefault="00FB16EA">
          <w:pPr>
            <w:pStyle w:val="TM2"/>
            <w:tabs>
              <w:tab w:val="left" w:pos="880"/>
              <w:tab w:val="right" w:leader="dot" w:pos="9062"/>
            </w:tabs>
            <w:rPr>
              <w:rFonts w:eastAsiaTheme="minorEastAsia"/>
              <w:noProof/>
              <w:lang w:eastAsia="fr-FR"/>
            </w:rPr>
          </w:pPr>
          <w:hyperlink w:anchor="_Toc194653699" w:history="1">
            <w:r w:rsidRPr="00E13F1E">
              <w:rPr>
                <w:rStyle w:val="Lienhypertexte"/>
                <w:noProof/>
                <w14:scene3d>
                  <w14:camera w14:prst="orthographicFront"/>
                  <w14:lightRig w14:rig="threePt" w14:dir="t">
                    <w14:rot w14:lat="0" w14:lon="0" w14:rev="0"/>
                  </w14:lightRig>
                </w14:scene3d>
              </w:rPr>
              <w:t>10.3</w:t>
            </w:r>
            <w:r>
              <w:rPr>
                <w:rFonts w:eastAsiaTheme="minorEastAsia"/>
                <w:noProof/>
                <w:lang w:eastAsia="fr-FR"/>
              </w:rPr>
              <w:tab/>
            </w:r>
            <w:r w:rsidRPr="00E13F1E">
              <w:rPr>
                <w:rStyle w:val="Lienhypertexte"/>
                <w:noProof/>
              </w:rPr>
              <w:t>Organisation - Hygiène et sécurité des chantiers</w:t>
            </w:r>
            <w:r>
              <w:rPr>
                <w:noProof/>
                <w:webHidden/>
              </w:rPr>
              <w:tab/>
            </w:r>
            <w:r>
              <w:rPr>
                <w:noProof/>
                <w:webHidden/>
              </w:rPr>
              <w:fldChar w:fldCharType="begin"/>
            </w:r>
            <w:r>
              <w:rPr>
                <w:noProof/>
                <w:webHidden/>
              </w:rPr>
              <w:instrText xml:space="preserve"> PAGEREF _Toc194653699 \h </w:instrText>
            </w:r>
            <w:r>
              <w:rPr>
                <w:noProof/>
                <w:webHidden/>
              </w:rPr>
            </w:r>
            <w:r>
              <w:rPr>
                <w:noProof/>
                <w:webHidden/>
              </w:rPr>
              <w:fldChar w:fldCharType="separate"/>
            </w:r>
            <w:r>
              <w:rPr>
                <w:noProof/>
                <w:webHidden/>
              </w:rPr>
              <w:t>21</w:t>
            </w:r>
            <w:r>
              <w:rPr>
                <w:noProof/>
                <w:webHidden/>
              </w:rPr>
              <w:fldChar w:fldCharType="end"/>
            </w:r>
          </w:hyperlink>
        </w:p>
        <w:p w14:paraId="67BBD11B" w14:textId="3C5B3A4B" w:rsidR="00FB16EA" w:rsidRDefault="00FB16EA">
          <w:pPr>
            <w:pStyle w:val="TM2"/>
            <w:tabs>
              <w:tab w:val="left" w:pos="880"/>
              <w:tab w:val="right" w:leader="dot" w:pos="9062"/>
            </w:tabs>
            <w:rPr>
              <w:rFonts w:eastAsiaTheme="minorEastAsia"/>
              <w:noProof/>
              <w:lang w:eastAsia="fr-FR"/>
            </w:rPr>
          </w:pPr>
          <w:hyperlink w:anchor="_Toc194653700" w:history="1">
            <w:r w:rsidRPr="00E13F1E">
              <w:rPr>
                <w:rStyle w:val="Lienhypertexte"/>
                <w:noProof/>
                <w14:scene3d>
                  <w14:camera w14:prst="orthographicFront"/>
                  <w14:lightRig w14:rig="threePt" w14:dir="t">
                    <w14:rot w14:lat="0" w14:lon="0" w14:rev="0"/>
                  </w14:lightRig>
                </w14:scene3d>
              </w:rPr>
              <w:t>10.4</w:t>
            </w:r>
            <w:r>
              <w:rPr>
                <w:rFonts w:eastAsiaTheme="minorEastAsia"/>
                <w:noProof/>
                <w:lang w:eastAsia="fr-FR"/>
              </w:rPr>
              <w:tab/>
            </w:r>
            <w:r w:rsidRPr="00E13F1E">
              <w:rPr>
                <w:rStyle w:val="Lienhypertexte"/>
                <w:noProof/>
              </w:rPr>
              <w:t>Risques particuliers</w:t>
            </w:r>
            <w:r>
              <w:rPr>
                <w:noProof/>
                <w:webHidden/>
              </w:rPr>
              <w:tab/>
            </w:r>
            <w:r>
              <w:rPr>
                <w:noProof/>
                <w:webHidden/>
              </w:rPr>
              <w:fldChar w:fldCharType="begin"/>
            </w:r>
            <w:r>
              <w:rPr>
                <w:noProof/>
                <w:webHidden/>
              </w:rPr>
              <w:instrText xml:space="preserve"> PAGEREF _Toc194653700 \h </w:instrText>
            </w:r>
            <w:r>
              <w:rPr>
                <w:noProof/>
                <w:webHidden/>
              </w:rPr>
            </w:r>
            <w:r>
              <w:rPr>
                <w:noProof/>
                <w:webHidden/>
              </w:rPr>
              <w:fldChar w:fldCharType="separate"/>
            </w:r>
            <w:r>
              <w:rPr>
                <w:noProof/>
                <w:webHidden/>
              </w:rPr>
              <w:t>21</w:t>
            </w:r>
            <w:r>
              <w:rPr>
                <w:noProof/>
                <w:webHidden/>
              </w:rPr>
              <w:fldChar w:fldCharType="end"/>
            </w:r>
          </w:hyperlink>
        </w:p>
        <w:p w14:paraId="2B51DA97" w14:textId="09FD7F0C" w:rsidR="00FB16EA" w:rsidRDefault="00FB16EA">
          <w:pPr>
            <w:pStyle w:val="TM2"/>
            <w:tabs>
              <w:tab w:val="left" w:pos="880"/>
              <w:tab w:val="right" w:leader="dot" w:pos="9062"/>
            </w:tabs>
            <w:rPr>
              <w:rFonts w:eastAsiaTheme="minorEastAsia"/>
              <w:noProof/>
              <w:lang w:eastAsia="fr-FR"/>
            </w:rPr>
          </w:pPr>
          <w:hyperlink w:anchor="_Toc194653701" w:history="1">
            <w:r w:rsidRPr="00E13F1E">
              <w:rPr>
                <w:rStyle w:val="Lienhypertexte"/>
                <w:noProof/>
                <w14:scene3d>
                  <w14:camera w14:prst="orthographicFront"/>
                  <w14:lightRig w14:rig="threePt" w14:dir="t">
                    <w14:rot w14:lat="0" w14:lon="0" w14:rev="0"/>
                  </w14:lightRig>
                </w14:scene3d>
              </w:rPr>
              <w:t>10.5</w:t>
            </w:r>
            <w:r>
              <w:rPr>
                <w:rFonts w:eastAsiaTheme="minorEastAsia"/>
                <w:noProof/>
                <w:lang w:eastAsia="fr-FR"/>
              </w:rPr>
              <w:tab/>
            </w:r>
            <w:r w:rsidRPr="00E13F1E">
              <w:rPr>
                <w:rStyle w:val="Lienhypertexte"/>
                <w:noProof/>
              </w:rPr>
              <w:t>Interventions en site occupé et en exploitation</w:t>
            </w:r>
            <w:r>
              <w:rPr>
                <w:noProof/>
                <w:webHidden/>
              </w:rPr>
              <w:tab/>
            </w:r>
            <w:r>
              <w:rPr>
                <w:noProof/>
                <w:webHidden/>
              </w:rPr>
              <w:fldChar w:fldCharType="begin"/>
            </w:r>
            <w:r>
              <w:rPr>
                <w:noProof/>
                <w:webHidden/>
              </w:rPr>
              <w:instrText xml:space="preserve"> PAGEREF _Toc194653701 \h </w:instrText>
            </w:r>
            <w:r>
              <w:rPr>
                <w:noProof/>
                <w:webHidden/>
              </w:rPr>
            </w:r>
            <w:r>
              <w:rPr>
                <w:noProof/>
                <w:webHidden/>
              </w:rPr>
              <w:fldChar w:fldCharType="separate"/>
            </w:r>
            <w:r>
              <w:rPr>
                <w:noProof/>
                <w:webHidden/>
              </w:rPr>
              <w:t>22</w:t>
            </w:r>
            <w:r>
              <w:rPr>
                <w:noProof/>
                <w:webHidden/>
              </w:rPr>
              <w:fldChar w:fldCharType="end"/>
            </w:r>
          </w:hyperlink>
        </w:p>
        <w:p w14:paraId="7E3BAE44" w14:textId="55F9FEB5" w:rsidR="00FB16EA" w:rsidRDefault="00FB16EA">
          <w:pPr>
            <w:pStyle w:val="TM3"/>
            <w:tabs>
              <w:tab w:val="left" w:pos="1320"/>
              <w:tab w:val="right" w:leader="dot" w:pos="9062"/>
            </w:tabs>
            <w:rPr>
              <w:rFonts w:eastAsiaTheme="minorEastAsia"/>
              <w:noProof/>
              <w:lang w:eastAsia="fr-FR"/>
            </w:rPr>
          </w:pPr>
          <w:hyperlink w:anchor="_Toc194653702" w:history="1">
            <w:r w:rsidRPr="00E13F1E">
              <w:rPr>
                <w:rStyle w:val="Lienhypertexte"/>
                <w:noProof/>
                <w14:scene3d>
                  <w14:camera w14:prst="orthographicFront"/>
                  <w14:lightRig w14:rig="threePt" w14:dir="t">
                    <w14:rot w14:lat="0" w14:lon="0" w14:rev="0"/>
                  </w14:lightRig>
                </w14:scene3d>
              </w:rPr>
              <w:t>10.5.1</w:t>
            </w:r>
            <w:r>
              <w:rPr>
                <w:rFonts w:eastAsiaTheme="minorEastAsia"/>
                <w:noProof/>
                <w:lang w:eastAsia="fr-FR"/>
              </w:rPr>
              <w:tab/>
            </w:r>
            <w:r w:rsidRPr="00E13F1E">
              <w:rPr>
                <w:rStyle w:val="Lienhypertexte"/>
                <w:noProof/>
              </w:rPr>
              <w:t>Demandes de coupures de réseaux</w:t>
            </w:r>
            <w:r>
              <w:rPr>
                <w:noProof/>
                <w:webHidden/>
              </w:rPr>
              <w:tab/>
            </w:r>
            <w:r>
              <w:rPr>
                <w:noProof/>
                <w:webHidden/>
              </w:rPr>
              <w:fldChar w:fldCharType="begin"/>
            </w:r>
            <w:r>
              <w:rPr>
                <w:noProof/>
                <w:webHidden/>
              </w:rPr>
              <w:instrText xml:space="preserve"> PAGEREF _Toc194653702 \h </w:instrText>
            </w:r>
            <w:r>
              <w:rPr>
                <w:noProof/>
                <w:webHidden/>
              </w:rPr>
            </w:r>
            <w:r>
              <w:rPr>
                <w:noProof/>
                <w:webHidden/>
              </w:rPr>
              <w:fldChar w:fldCharType="separate"/>
            </w:r>
            <w:r>
              <w:rPr>
                <w:noProof/>
                <w:webHidden/>
              </w:rPr>
              <w:t>22</w:t>
            </w:r>
            <w:r>
              <w:rPr>
                <w:noProof/>
                <w:webHidden/>
              </w:rPr>
              <w:fldChar w:fldCharType="end"/>
            </w:r>
          </w:hyperlink>
        </w:p>
        <w:p w14:paraId="5299579F" w14:textId="7BC977C0" w:rsidR="00FB16EA" w:rsidRDefault="00FB16EA">
          <w:pPr>
            <w:pStyle w:val="TM3"/>
            <w:tabs>
              <w:tab w:val="left" w:pos="1320"/>
              <w:tab w:val="right" w:leader="dot" w:pos="9062"/>
            </w:tabs>
            <w:rPr>
              <w:rFonts w:eastAsiaTheme="minorEastAsia"/>
              <w:noProof/>
              <w:lang w:eastAsia="fr-FR"/>
            </w:rPr>
          </w:pPr>
          <w:hyperlink w:anchor="_Toc194653703" w:history="1">
            <w:r w:rsidRPr="00E13F1E">
              <w:rPr>
                <w:rStyle w:val="Lienhypertexte"/>
                <w:noProof/>
                <w14:scene3d>
                  <w14:camera w14:prst="orthographicFront"/>
                  <w14:lightRig w14:rig="threePt" w14:dir="t">
                    <w14:rot w14:lat="0" w14:lon="0" w14:rev="0"/>
                  </w14:lightRig>
                </w14:scene3d>
              </w:rPr>
              <w:t>10.5.2</w:t>
            </w:r>
            <w:r>
              <w:rPr>
                <w:rFonts w:eastAsiaTheme="minorEastAsia"/>
                <w:noProof/>
                <w:lang w:eastAsia="fr-FR"/>
              </w:rPr>
              <w:tab/>
            </w:r>
            <w:r w:rsidRPr="00E13F1E">
              <w:rPr>
                <w:rStyle w:val="Lienhypertexte"/>
                <w:noProof/>
              </w:rPr>
              <w:t>Basculement des installations avec coupure sur le réseau électrique</w:t>
            </w:r>
            <w:r>
              <w:rPr>
                <w:noProof/>
                <w:webHidden/>
              </w:rPr>
              <w:tab/>
            </w:r>
            <w:r>
              <w:rPr>
                <w:noProof/>
                <w:webHidden/>
              </w:rPr>
              <w:fldChar w:fldCharType="begin"/>
            </w:r>
            <w:r>
              <w:rPr>
                <w:noProof/>
                <w:webHidden/>
              </w:rPr>
              <w:instrText xml:space="preserve"> PAGEREF _Toc194653703 \h </w:instrText>
            </w:r>
            <w:r>
              <w:rPr>
                <w:noProof/>
                <w:webHidden/>
              </w:rPr>
            </w:r>
            <w:r>
              <w:rPr>
                <w:noProof/>
                <w:webHidden/>
              </w:rPr>
              <w:fldChar w:fldCharType="separate"/>
            </w:r>
            <w:r>
              <w:rPr>
                <w:noProof/>
                <w:webHidden/>
              </w:rPr>
              <w:t>22</w:t>
            </w:r>
            <w:r>
              <w:rPr>
                <w:noProof/>
                <w:webHidden/>
              </w:rPr>
              <w:fldChar w:fldCharType="end"/>
            </w:r>
          </w:hyperlink>
        </w:p>
        <w:p w14:paraId="5FC33E69" w14:textId="6115FFDF" w:rsidR="00FB16EA" w:rsidRDefault="00FB16EA">
          <w:pPr>
            <w:pStyle w:val="TM3"/>
            <w:tabs>
              <w:tab w:val="left" w:pos="1320"/>
              <w:tab w:val="right" w:leader="dot" w:pos="9062"/>
            </w:tabs>
            <w:rPr>
              <w:rFonts w:eastAsiaTheme="minorEastAsia"/>
              <w:noProof/>
              <w:lang w:eastAsia="fr-FR"/>
            </w:rPr>
          </w:pPr>
          <w:hyperlink w:anchor="_Toc194653704" w:history="1">
            <w:r w:rsidRPr="00E13F1E">
              <w:rPr>
                <w:rStyle w:val="Lienhypertexte"/>
                <w:noProof/>
                <w14:scene3d>
                  <w14:camera w14:prst="orthographicFront"/>
                  <w14:lightRig w14:rig="threePt" w14:dir="t">
                    <w14:rot w14:lat="0" w14:lon="0" w14:rev="0"/>
                  </w14:lightRig>
                </w14:scene3d>
              </w:rPr>
              <w:t>10.5.3</w:t>
            </w:r>
            <w:r>
              <w:rPr>
                <w:rFonts w:eastAsiaTheme="minorEastAsia"/>
                <w:noProof/>
                <w:lang w:eastAsia="fr-FR"/>
              </w:rPr>
              <w:tab/>
            </w:r>
            <w:r w:rsidRPr="00E13F1E">
              <w:rPr>
                <w:rStyle w:val="Lienhypertexte"/>
                <w:noProof/>
              </w:rPr>
              <w:t>Réalisation d’essais impactant le fonctionnement hospitalier</w:t>
            </w:r>
            <w:r>
              <w:rPr>
                <w:noProof/>
                <w:webHidden/>
              </w:rPr>
              <w:tab/>
            </w:r>
            <w:r>
              <w:rPr>
                <w:noProof/>
                <w:webHidden/>
              </w:rPr>
              <w:fldChar w:fldCharType="begin"/>
            </w:r>
            <w:r>
              <w:rPr>
                <w:noProof/>
                <w:webHidden/>
              </w:rPr>
              <w:instrText xml:space="preserve"> PAGEREF _Toc194653704 \h </w:instrText>
            </w:r>
            <w:r>
              <w:rPr>
                <w:noProof/>
                <w:webHidden/>
              </w:rPr>
            </w:r>
            <w:r>
              <w:rPr>
                <w:noProof/>
                <w:webHidden/>
              </w:rPr>
              <w:fldChar w:fldCharType="separate"/>
            </w:r>
            <w:r>
              <w:rPr>
                <w:noProof/>
                <w:webHidden/>
              </w:rPr>
              <w:t>22</w:t>
            </w:r>
            <w:r>
              <w:rPr>
                <w:noProof/>
                <w:webHidden/>
              </w:rPr>
              <w:fldChar w:fldCharType="end"/>
            </w:r>
          </w:hyperlink>
        </w:p>
        <w:p w14:paraId="603E1F34" w14:textId="156DBBE6" w:rsidR="00FB16EA" w:rsidRDefault="00FB16EA">
          <w:pPr>
            <w:pStyle w:val="TM2"/>
            <w:tabs>
              <w:tab w:val="left" w:pos="880"/>
              <w:tab w:val="right" w:leader="dot" w:pos="9062"/>
            </w:tabs>
            <w:rPr>
              <w:rFonts w:eastAsiaTheme="minorEastAsia"/>
              <w:noProof/>
              <w:lang w:eastAsia="fr-FR"/>
            </w:rPr>
          </w:pPr>
          <w:hyperlink w:anchor="_Toc194653705" w:history="1">
            <w:r w:rsidRPr="00E13F1E">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E13F1E">
              <w:rPr>
                <w:rStyle w:val="Lienhypertexte"/>
                <w:noProof/>
              </w:rPr>
              <w:t>Clause sociale d’insertion obligatoire</w:t>
            </w:r>
            <w:r>
              <w:rPr>
                <w:noProof/>
                <w:webHidden/>
              </w:rPr>
              <w:tab/>
            </w:r>
            <w:r>
              <w:rPr>
                <w:noProof/>
                <w:webHidden/>
              </w:rPr>
              <w:fldChar w:fldCharType="begin"/>
            </w:r>
            <w:r>
              <w:rPr>
                <w:noProof/>
                <w:webHidden/>
              </w:rPr>
              <w:instrText xml:space="preserve"> PAGEREF _Toc194653705 \h </w:instrText>
            </w:r>
            <w:r>
              <w:rPr>
                <w:noProof/>
                <w:webHidden/>
              </w:rPr>
            </w:r>
            <w:r>
              <w:rPr>
                <w:noProof/>
                <w:webHidden/>
              </w:rPr>
              <w:fldChar w:fldCharType="separate"/>
            </w:r>
            <w:r>
              <w:rPr>
                <w:noProof/>
                <w:webHidden/>
              </w:rPr>
              <w:t>22</w:t>
            </w:r>
            <w:r>
              <w:rPr>
                <w:noProof/>
                <w:webHidden/>
              </w:rPr>
              <w:fldChar w:fldCharType="end"/>
            </w:r>
          </w:hyperlink>
        </w:p>
        <w:p w14:paraId="4A3FFEA8" w14:textId="597597CC" w:rsidR="00FB16EA" w:rsidRDefault="00FB16EA">
          <w:pPr>
            <w:pStyle w:val="TM1"/>
            <w:tabs>
              <w:tab w:val="left" w:pos="660"/>
              <w:tab w:val="right" w:leader="dot" w:pos="9062"/>
            </w:tabs>
            <w:rPr>
              <w:rFonts w:eastAsiaTheme="minorEastAsia"/>
              <w:noProof/>
              <w:lang w:eastAsia="fr-FR"/>
            </w:rPr>
          </w:pPr>
          <w:hyperlink w:anchor="_Toc194653706" w:history="1">
            <w:r w:rsidRPr="00E13F1E">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E13F1E">
              <w:rPr>
                <w:rStyle w:val="Lienhypertexte"/>
                <w:noProof/>
              </w:rPr>
              <w:t>Autres obligations du Titulaire</w:t>
            </w:r>
            <w:r>
              <w:rPr>
                <w:noProof/>
                <w:webHidden/>
              </w:rPr>
              <w:tab/>
            </w:r>
            <w:r>
              <w:rPr>
                <w:noProof/>
                <w:webHidden/>
              </w:rPr>
              <w:fldChar w:fldCharType="begin"/>
            </w:r>
            <w:r>
              <w:rPr>
                <w:noProof/>
                <w:webHidden/>
              </w:rPr>
              <w:instrText xml:space="preserve"> PAGEREF _Toc194653706 \h </w:instrText>
            </w:r>
            <w:r>
              <w:rPr>
                <w:noProof/>
                <w:webHidden/>
              </w:rPr>
            </w:r>
            <w:r>
              <w:rPr>
                <w:noProof/>
                <w:webHidden/>
              </w:rPr>
              <w:fldChar w:fldCharType="separate"/>
            </w:r>
            <w:r>
              <w:rPr>
                <w:noProof/>
                <w:webHidden/>
              </w:rPr>
              <w:t>22</w:t>
            </w:r>
            <w:r>
              <w:rPr>
                <w:noProof/>
                <w:webHidden/>
              </w:rPr>
              <w:fldChar w:fldCharType="end"/>
            </w:r>
          </w:hyperlink>
        </w:p>
        <w:p w14:paraId="14195B09" w14:textId="25148E04" w:rsidR="00FB16EA" w:rsidRDefault="00FB16EA">
          <w:pPr>
            <w:pStyle w:val="TM2"/>
            <w:tabs>
              <w:tab w:val="left" w:pos="880"/>
              <w:tab w:val="right" w:leader="dot" w:pos="9062"/>
            </w:tabs>
            <w:rPr>
              <w:rFonts w:eastAsiaTheme="minorEastAsia"/>
              <w:noProof/>
              <w:lang w:eastAsia="fr-FR"/>
            </w:rPr>
          </w:pPr>
          <w:hyperlink w:anchor="_Toc194653707" w:history="1">
            <w:r w:rsidRPr="00E13F1E">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E13F1E">
              <w:rPr>
                <w:rStyle w:val="Lienhypertexte"/>
                <w:noProof/>
              </w:rPr>
              <w:t>Changements affectant le Titulaire</w:t>
            </w:r>
            <w:r>
              <w:rPr>
                <w:noProof/>
                <w:webHidden/>
              </w:rPr>
              <w:tab/>
            </w:r>
            <w:r>
              <w:rPr>
                <w:noProof/>
                <w:webHidden/>
              </w:rPr>
              <w:fldChar w:fldCharType="begin"/>
            </w:r>
            <w:r>
              <w:rPr>
                <w:noProof/>
                <w:webHidden/>
              </w:rPr>
              <w:instrText xml:space="preserve"> PAGEREF _Toc194653707 \h </w:instrText>
            </w:r>
            <w:r>
              <w:rPr>
                <w:noProof/>
                <w:webHidden/>
              </w:rPr>
            </w:r>
            <w:r>
              <w:rPr>
                <w:noProof/>
                <w:webHidden/>
              </w:rPr>
              <w:fldChar w:fldCharType="separate"/>
            </w:r>
            <w:r>
              <w:rPr>
                <w:noProof/>
                <w:webHidden/>
              </w:rPr>
              <w:t>22</w:t>
            </w:r>
            <w:r>
              <w:rPr>
                <w:noProof/>
                <w:webHidden/>
              </w:rPr>
              <w:fldChar w:fldCharType="end"/>
            </w:r>
          </w:hyperlink>
        </w:p>
        <w:p w14:paraId="2BC6203E" w14:textId="28CA2225" w:rsidR="00FB16EA" w:rsidRDefault="00FB16EA">
          <w:pPr>
            <w:pStyle w:val="TM2"/>
            <w:tabs>
              <w:tab w:val="left" w:pos="880"/>
              <w:tab w:val="right" w:leader="dot" w:pos="9062"/>
            </w:tabs>
            <w:rPr>
              <w:rFonts w:eastAsiaTheme="minorEastAsia"/>
              <w:noProof/>
              <w:lang w:eastAsia="fr-FR"/>
            </w:rPr>
          </w:pPr>
          <w:hyperlink w:anchor="_Toc194653708" w:history="1">
            <w:r w:rsidRPr="00E13F1E">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E13F1E">
              <w:rPr>
                <w:rStyle w:val="Lienhypertexte"/>
                <w:noProof/>
              </w:rPr>
              <w:t>Discrétion et confidentialité</w:t>
            </w:r>
            <w:r>
              <w:rPr>
                <w:noProof/>
                <w:webHidden/>
              </w:rPr>
              <w:tab/>
            </w:r>
            <w:r>
              <w:rPr>
                <w:noProof/>
                <w:webHidden/>
              </w:rPr>
              <w:fldChar w:fldCharType="begin"/>
            </w:r>
            <w:r>
              <w:rPr>
                <w:noProof/>
                <w:webHidden/>
              </w:rPr>
              <w:instrText xml:space="preserve"> PAGEREF _Toc194653708 \h </w:instrText>
            </w:r>
            <w:r>
              <w:rPr>
                <w:noProof/>
                <w:webHidden/>
              </w:rPr>
            </w:r>
            <w:r>
              <w:rPr>
                <w:noProof/>
                <w:webHidden/>
              </w:rPr>
              <w:fldChar w:fldCharType="separate"/>
            </w:r>
            <w:r>
              <w:rPr>
                <w:noProof/>
                <w:webHidden/>
              </w:rPr>
              <w:t>23</w:t>
            </w:r>
            <w:r>
              <w:rPr>
                <w:noProof/>
                <w:webHidden/>
              </w:rPr>
              <w:fldChar w:fldCharType="end"/>
            </w:r>
          </w:hyperlink>
        </w:p>
        <w:p w14:paraId="6ACFB84C" w14:textId="4A738BC3" w:rsidR="00FB16EA" w:rsidRDefault="00FB16EA">
          <w:pPr>
            <w:pStyle w:val="TM2"/>
            <w:tabs>
              <w:tab w:val="left" w:pos="880"/>
              <w:tab w:val="right" w:leader="dot" w:pos="9062"/>
            </w:tabs>
            <w:rPr>
              <w:rFonts w:eastAsiaTheme="minorEastAsia"/>
              <w:noProof/>
              <w:lang w:eastAsia="fr-FR"/>
            </w:rPr>
          </w:pPr>
          <w:hyperlink w:anchor="_Toc194653709" w:history="1">
            <w:r w:rsidRPr="00E13F1E">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E13F1E">
              <w:rPr>
                <w:rStyle w:val="Lienhypertexte"/>
                <w:noProof/>
              </w:rPr>
              <w:t>Obligation de sécurité</w:t>
            </w:r>
            <w:r>
              <w:rPr>
                <w:noProof/>
                <w:webHidden/>
              </w:rPr>
              <w:tab/>
            </w:r>
            <w:r>
              <w:rPr>
                <w:noProof/>
                <w:webHidden/>
              </w:rPr>
              <w:fldChar w:fldCharType="begin"/>
            </w:r>
            <w:r>
              <w:rPr>
                <w:noProof/>
                <w:webHidden/>
              </w:rPr>
              <w:instrText xml:space="preserve"> PAGEREF _Toc194653709 \h </w:instrText>
            </w:r>
            <w:r>
              <w:rPr>
                <w:noProof/>
                <w:webHidden/>
              </w:rPr>
            </w:r>
            <w:r>
              <w:rPr>
                <w:noProof/>
                <w:webHidden/>
              </w:rPr>
              <w:fldChar w:fldCharType="separate"/>
            </w:r>
            <w:r>
              <w:rPr>
                <w:noProof/>
                <w:webHidden/>
              </w:rPr>
              <w:t>23</w:t>
            </w:r>
            <w:r>
              <w:rPr>
                <w:noProof/>
                <w:webHidden/>
              </w:rPr>
              <w:fldChar w:fldCharType="end"/>
            </w:r>
          </w:hyperlink>
        </w:p>
        <w:p w14:paraId="3DDE2A47" w14:textId="2DEBA379" w:rsidR="00FB16EA" w:rsidRDefault="00FB16EA">
          <w:pPr>
            <w:pStyle w:val="TM2"/>
            <w:tabs>
              <w:tab w:val="left" w:pos="880"/>
              <w:tab w:val="right" w:leader="dot" w:pos="9062"/>
            </w:tabs>
            <w:rPr>
              <w:rFonts w:eastAsiaTheme="minorEastAsia"/>
              <w:noProof/>
              <w:lang w:eastAsia="fr-FR"/>
            </w:rPr>
          </w:pPr>
          <w:hyperlink w:anchor="_Toc194653710" w:history="1">
            <w:r w:rsidRPr="00E13F1E">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E13F1E">
              <w:rPr>
                <w:rStyle w:val="Lienhypertexte"/>
                <w:noProof/>
              </w:rPr>
              <w:t>Obligation de conseil</w:t>
            </w:r>
            <w:r>
              <w:rPr>
                <w:noProof/>
                <w:webHidden/>
              </w:rPr>
              <w:tab/>
            </w:r>
            <w:r>
              <w:rPr>
                <w:noProof/>
                <w:webHidden/>
              </w:rPr>
              <w:fldChar w:fldCharType="begin"/>
            </w:r>
            <w:r>
              <w:rPr>
                <w:noProof/>
                <w:webHidden/>
              </w:rPr>
              <w:instrText xml:space="preserve"> PAGEREF _Toc194653710 \h </w:instrText>
            </w:r>
            <w:r>
              <w:rPr>
                <w:noProof/>
                <w:webHidden/>
              </w:rPr>
            </w:r>
            <w:r>
              <w:rPr>
                <w:noProof/>
                <w:webHidden/>
              </w:rPr>
              <w:fldChar w:fldCharType="separate"/>
            </w:r>
            <w:r>
              <w:rPr>
                <w:noProof/>
                <w:webHidden/>
              </w:rPr>
              <w:t>23</w:t>
            </w:r>
            <w:r>
              <w:rPr>
                <w:noProof/>
                <w:webHidden/>
              </w:rPr>
              <w:fldChar w:fldCharType="end"/>
            </w:r>
          </w:hyperlink>
        </w:p>
        <w:p w14:paraId="0F08CA93" w14:textId="2EB8686C" w:rsidR="00FB16EA" w:rsidRDefault="00FB16EA">
          <w:pPr>
            <w:pStyle w:val="TM1"/>
            <w:tabs>
              <w:tab w:val="left" w:pos="660"/>
              <w:tab w:val="right" w:leader="dot" w:pos="9062"/>
            </w:tabs>
            <w:rPr>
              <w:rFonts w:eastAsiaTheme="minorEastAsia"/>
              <w:noProof/>
              <w:lang w:eastAsia="fr-FR"/>
            </w:rPr>
          </w:pPr>
          <w:hyperlink w:anchor="_Toc194653711" w:history="1">
            <w:r w:rsidRPr="00E13F1E">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E13F1E">
              <w:rPr>
                <w:rStyle w:val="Lienhypertexte"/>
                <w:noProof/>
              </w:rPr>
              <w:t>Contrôle et réception des travaux</w:t>
            </w:r>
            <w:r>
              <w:rPr>
                <w:noProof/>
                <w:webHidden/>
              </w:rPr>
              <w:tab/>
            </w:r>
            <w:r>
              <w:rPr>
                <w:noProof/>
                <w:webHidden/>
              </w:rPr>
              <w:fldChar w:fldCharType="begin"/>
            </w:r>
            <w:r>
              <w:rPr>
                <w:noProof/>
                <w:webHidden/>
              </w:rPr>
              <w:instrText xml:space="preserve"> PAGEREF _Toc194653711 \h </w:instrText>
            </w:r>
            <w:r>
              <w:rPr>
                <w:noProof/>
                <w:webHidden/>
              </w:rPr>
            </w:r>
            <w:r>
              <w:rPr>
                <w:noProof/>
                <w:webHidden/>
              </w:rPr>
              <w:fldChar w:fldCharType="separate"/>
            </w:r>
            <w:r>
              <w:rPr>
                <w:noProof/>
                <w:webHidden/>
              </w:rPr>
              <w:t>23</w:t>
            </w:r>
            <w:r>
              <w:rPr>
                <w:noProof/>
                <w:webHidden/>
              </w:rPr>
              <w:fldChar w:fldCharType="end"/>
            </w:r>
          </w:hyperlink>
        </w:p>
        <w:p w14:paraId="5F5028A4" w14:textId="30300FD1" w:rsidR="00FB16EA" w:rsidRDefault="00FB16EA">
          <w:pPr>
            <w:pStyle w:val="TM2"/>
            <w:tabs>
              <w:tab w:val="left" w:pos="880"/>
              <w:tab w:val="right" w:leader="dot" w:pos="9062"/>
            </w:tabs>
            <w:rPr>
              <w:rFonts w:eastAsiaTheme="minorEastAsia"/>
              <w:noProof/>
              <w:lang w:eastAsia="fr-FR"/>
            </w:rPr>
          </w:pPr>
          <w:hyperlink w:anchor="_Toc194653712" w:history="1">
            <w:r w:rsidRPr="00E13F1E">
              <w:rPr>
                <w:rStyle w:val="Lienhypertexte"/>
                <w:noProof/>
                <w14:scene3d>
                  <w14:camera w14:prst="orthographicFront"/>
                  <w14:lightRig w14:rig="threePt" w14:dir="t">
                    <w14:rot w14:lat="0" w14:lon="0" w14:rev="0"/>
                  </w14:lightRig>
                </w14:scene3d>
              </w:rPr>
              <w:t>12.1</w:t>
            </w:r>
            <w:r>
              <w:rPr>
                <w:rFonts w:eastAsiaTheme="minorEastAsia"/>
                <w:noProof/>
                <w:lang w:eastAsia="fr-FR"/>
              </w:rPr>
              <w:tab/>
            </w:r>
            <w:r w:rsidRPr="00E13F1E">
              <w:rPr>
                <w:rStyle w:val="Lienhypertexte"/>
                <w:noProof/>
              </w:rPr>
              <w:t>Essais et contrôles des ouvrages en cours de travaux</w:t>
            </w:r>
            <w:r>
              <w:rPr>
                <w:noProof/>
                <w:webHidden/>
              </w:rPr>
              <w:tab/>
            </w:r>
            <w:r>
              <w:rPr>
                <w:noProof/>
                <w:webHidden/>
              </w:rPr>
              <w:fldChar w:fldCharType="begin"/>
            </w:r>
            <w:r>
              <w:rPr>
                <w:noProof/>
                <w:webHidden/>
              </w:rPr>
              <w:instrText xml:space="preserve"> PAGEREF _Toc194653712 \h </w:instrText>
            </w:r>
            <w:r>
              <w:rPr>
                <w:noProof/>
                <w:webHidden/>
              </w:rPr>
            </w:r>
            <w:r>
              <w:rPr>
                <w:noProof/>
                <w:webHidden/>
              </w:rPr>
              <w:fldChar w:fldCharType="separate"/>
            </w:r>
            <w:r>
              <w:rPr>
                <w:noProof/>
                <w:webHidden/>
              </w:rPr>
              <w:t>23</w:t>
            </w:r>
            <w:r>
              <w:rPr>
                <w:noProof/>
                <w:webHidden/>
              </w:rPr>
              <w:fldChar w:fldCharType="end"/>
            </w:r>
          </w:hyperlink>
        </w:p>
        <w:p w14:paraId="2134011C" w14:textId="07CBB4E2" w:rsidR="00FB16EA" w:rsidRDefault="00FB16EA">
          <w:pPr>
            <w:pStyle w:val="TM2"/>
            <w:tabs>
              <w:tab w:val="left" w:pos="880"/>
              <w:tab w:val="right" w:leader="dot" w:pos="9062"/>
            </w:tabs>
            <w:rPr>
              <w:rFonts w:eastAsiaTheme="minorEastAsia"/>
              <w:noProof/>
              <w:lang w:eastAsia="fr-FR"/>
            </w:rPr>
          </w:pPr>
          <w:hyperlink w:anchor="_Toc194653713" w:history="1">
            <w:r w:rsidRPr="00E13F1E">
              <w:rPr>
                <w:rStyle w:val="Lienhypertexte"/>
                <w:noProof/>
                <w14:scene3d>
                  <w14:camera w14:prst="orthographicFront"/>
                  <w14:lightRig w14:rig="threePt" w14:dir="t">
                    <w14:rot w14:lat="0" w14:lon="0" w14:rev="0"/>
                  </w14:lightRig>
                </w14:scene3d>
              </w:rPr>
              <w:t>12.2</w:t>
            </w:r>
            <w:r>
              <w:rPr>
                <w:rFonts w:eastAsiaTheme="minorEastAsia"/>
                <w:noProof/>
                <w:lang w:eastAsia="fr-FR"/>
              </w:rPr>
              <w:tab/>
            </w:r>
            <w:r w:rsidRPr="00E13F1E">
              <w:rPr>
                <w:rStyle w:val="Lienhypertexte"/>
                <w:noProof/>
              </w:rPr>
              <w:t>Réception</w:t>
            </w:r>
            <w:r>
              <w:rPr>
                <w:noProof/>
                <w:webHidden/>
              </w:rPr>
              <w:tab/>
            </w:r>
            <w:r>
              <w:rPr>
                <w:noProof/>
                <w:webHidden/>
              </w:rPr>
              <w:fldChar w:fldCharType="begin"/>
            </w:r>
            <w:r>
              <w:rPr>
                <w:noProof/>
                <w:webHidden/>
              </w:rPr>
              <w:instrText xml:space="preserve"> PAGEREF _Toc194653713 \h </w:instrText>
            </w:r>
            <w:r>
              <w:rPr>
                <w:noProof/>
                <w:webHidden/>
              </w:rPr>
            </w:r>
            <w:r>
              <w:rPr>
                <w:noProof/>
                <w:webHidden/>
              </w:rPr>
              <w:fldChar w:fldCharType="separate"/>
            </w:r>
            <w:r>
              <w:rPr>
                <w:noProof/>
                <w:webHidden/>
              </w:rPr>
              <w:t>23</w:t>
            </w:r>
            <w:r>
              <w:rPr>
                <w:noProof/>
                <w:webHidden/>
              </w:rPr>
              <w:fldChar w:fldCharType="end"/>
            </w:r>
          </w:hyperlink>
        </w:p>
        <w:p w14:paraId="631B475E" w14:textId="32E3C663" w:rsidR="00FB16EA" w:rsidRDefault="00FB16EA">
          <w:pPr>
            <w:pStyle w:val="TM2"/>
            <w:tabs>
              <w:tab w:val="left" w:pos="880"/>
              <w:tab w:val="right" w:leader="dot" w:pos="9062"/>
            </w:tabs>
            <w:rPr>
              <w:rFonts w:eastAsiaTheme="minorEastAsia"/>
              <w:noProof/>
              <w:lang w:eastAsia="fr-FR"/>
            </w:rPr>
          </w:pPr>
          <w:hyperlink w:anchor="_Toc194653714" w:history="1">
            <w:r w:rsidRPr="00E13F1E">
              <w:rPr>
                <w:rStyle w:val="Lienhypertexte"/>
                <w:noProof/>
                <w14:scene3d>
                  <w14:camera w14:prst="orthographicFront"/>
                  <w14:lightRig w14:rig="threePt" w14:dir="t">
                    <w14:rot w14:lat="0" w14:lon="0" w14:rev="0"/>
                  </w14:lightRig>
                </w14:scene3d>
              </w:rPr>
              <w:t>12.3</w:t>
            </w:r>
            <w:r>
              <w:rPr>
                <w:rFonts w:eastAsiaTheme="minorEastAsia"/>
                <w:noProof/>
                <w:lang w:eastAsia="fr-FR"/>
              </w:rPr>
              <w:tab/>
            </w:r>
            <w:r w:rsidRPr="00E13F1E">
              <w:rPr>
                <w:rStyle w:val="Lienhypertexte"/>
                <w:noProof/>
              </w:rPr>
              <w:t>Délai de levée des réserves</w:t>
            </w:r>
            <w:r>
              <w:rPr>
                <w:noProof/>
                <w:webHidden/>
              </w:rPr>
              <w:tab/>
            </w:r>
            <w:r>
              <w:rPr>
                <w:noProof/>
                <w:webHidden/>
              </w:rPr>
              <w:fldChar w:fldCharType="begin"/>
            </w:r>
            <w:r>
              <w:rPr>
                <w:noProof/>
                <w:webHidden/>
              </w:rPr>
              <w:instrText xml:space="preserve"> PAGEREF _Toc194653714 \h </w:instrText>
            </w:r>
            <w:r>
              <w:rPr>
                <w:noProof/>
                <w:webHidden/>
              </w:rPr>
            </w:r>
            <w:r>
              <w:rPr>
                <w:noProof/>
                <w:webHidden/>
              </w:rPr>
              <w:fldChar w:fldCharType="separate"/>
            </w:r>
            <w:r>
              <w:rPr>
                <w:noProof/>
                <w:webHidden/>
              </w:rPr>
              <w:t>24</w:t>
            </w:r>
            <w:r>
              <w:rPr>
                <w:noProof/>
                <w:webHidden/>
              </w:rPr>
              <w:fldChar w:fldCharType="end"/>
            </w:r>
          </w:hyperlink>
        </w:p>
        <w:p w14:paraId="288DC3D5" w14:textId="67D13E29" w:rsidR="00FB16EA" w:rsidRDefault="00FB16EA">
          <w:pPr>
            <w:pStyle w:val="TM2"/>
            <w:tabs>
              <w:tab w:val="left" w:pos="880"/>
              <w:tab w:val="right" w:leader="dot" w:pos="9062"/>
            </w:tabs>
            <w:rPr>
              <w:rFonts w:eastAsiaTheme="minorEastAsia"/>
              <w:noProof/>
              <w:lang w:eastAsia="fr-FR"/>
            </w:rPr>
          </w:pPr>
          <w:hyperlink w:anchor="_Toc194653715" w:history="1">
            <w:r w:rsidRPr="00E13F1E">
              <w:rPr>
                <w:rStyle w:val="Lienhypertexte"/>
                <w:noProof/>
                <w14:scene3d>
                  <w14:camera w14:prst="orthographicFront"/>
                  <w14:lightRig w14:rig="threePt" w14:dir="t">
                    <w14:rot w14:lat="0" w14:lon="0" w14:rev="0"/>
                  </w14:lightRig>
                </w14:scene3d>
              </w:rPr>
              <w:t>12.4</w:t>
            </w:r>
            <w:r>
              <w:rPr>
                <w:rFonts w:eastAsiaTheme="minorEastAsia"/>
                <w:noProof/>
                <w:lang w:eastAsia="fr-FR"/>
              </w:rPr>
              <w:tab/>
            </w:r>
            <w:r w:rsidRPr="00E13F1E">
              <w:rPr>
                <w:rStyle w:val="Lienhypertexte"/>
                <w:noProof/>
              </w:rPr>
              <w:t>Mise à disposition</w:t>
            </w:r>
            <w:r>
              <w:rPr>
                <w:noProof/>
                <w:webHidden/>
              </w:rPr>
              <w:tab/>
            </w:r>
            <w:r>
              <w:rPr>
                <w:noProof/>
                <w:webHidden/>
              </w:rPr>
              <w:fldChar w:fldCharType="begin"/>
            </w:r>
            <w:r>
              <w:rPr>
                <w:noProof/>
                <w:webHidden/>
              </w:rPr>
              <w:instrText xml:space="preserve"> PAGEREF _Toc194653715 \h </w:instrText>
            </w:r>
            <w:r>
              <w:rPr>
                <w:noProof/>
                <w:webHidden/>
              </w:rPr>
            </w:r>
            <w:r>
              <w:rPr>
                <w:noProof/>
                <w:webHidden/>
              </w:rPr>
              <w:fldChar w:fldCharType="separate"/>
            </w:r>
            <w:r>
              <w:rPr>
                <w:noProof/>
                <w:webHidden/>
              </w:rPr>
              <w:t>24</w:t>
            </w:r>
            <w:r>
              <w:rPr>
                <w:noProof/>
                <w:webHidden/>
              </w:rPr>
              <w:fldChar w:fldCharType="end"/>
            </w:r>
          </w:hyperlink>
        </w:p>
        <w:p w14:paraId="619E7E52" w14:textId="07BDF954" w:rsidR="00FB16EA" w:rsidRDefault="00FB16EA">
          <w:pPr>
            <w:pStyle w:val="TM2"/>
            <w:tabs>
              <w:tab w:val="left" w:pos="880"/>
              <w:tab w:val="right" w:leader="dot" w:pos="9062"/>
            </w:tabs>
            <w:rPr>
              <w:rFonts w:eastAsiaTheme="minorEastAsia"/>
              <w:noProof/>
              <w:lang w:eastAsia="fr-FR"/>
            </w:rPr>
          </w:pPr>
          <w:hyperlink w:anchor="_Toc194653716" w:history="1">
            <w:r w:rsidRPr="00E13F1E">
              <w:rPr>
                <w:rStyle w:val="Lienhypertexte"/>
                <w:noProof/>
                <w14:scene3d>
                  <w14:camera w14:prst="orthographicFront"/>
                  <w14:lightRig w14:rig="threePt" w14:dir="t">
                    <w14:rot w14:lat="0" w14:lon="0" w14:rev="0"/>
                  </w14:lightRig>
                </w14:scene3d>
              </w:rPr>
              <w:t>12.5</w:t>
            </w:r>
            <w:r>
              <w:rPr>
                <w:rFonts w:eastAsiaTheme="minorEastAsia"/>
                <w:noProof/>
                <w:lang w:eastAsia="fr-FR"/>
              </w:rPr>
              <w:tab/>
            </w:r>
            <w:r w:rsidRPr="00E13F1E">
              <w:rPr>
                <w:rStyle w:val="Lienhypertexte"/>
                <w:noProof/>
              </w:rPr>
              <w:t>Documents fournis après exécution</w:t>
            </w:r>
            <w:r>
              <w:rPr>
                <w:noProof/>
                <w:webHidden/>
              </w:rPr>
              <w:tab/>
            </w:r>
            <w:r>
              <w:rPr>
                <w:noProof/>
                <w:webHidden/>
              </w:rPr>
              <w:fldChar w:fldCharType="begin"/>
            </w:r>
            <w:r>
              <w:rPr>
                <w:noProof/>
                <w:webHidden/>
              </w:rPr>
              <w:instrText xml:space="preserve"> PAGEREF _Toc194653716 \h </w:instrText>
            </w:r>
            <w:r>
              <w:rPr>
                <w:noProof/>
                <w:webHidden/>
              </w:rPr>
            </w:r>
            <w:r>
              <w:rPr>
                <w:noProof/>
                <w:webHidden/>
              </w:rPr>
              <w:fldChar w:fldCharType="separate"/>
            </w:r>
            <w:r>
              <w:rPr>
                <w:noProof/>
                <w:webHidden/>
              </w:rPr>
              <w:t>24</w:t>
            </w:r>
            <w:r>
              <w:rPr>
                <w:noProof/>
                <w:webHidden/>
              </w:rPr>
              <w:fldChar w:fldCharType="end"/>
            </w:r>
          </w:hyperlink>
        </w:p>
        <w:p w14:paraId="1860F59F" w14:textId="4FD9EC15" w:rsidR="00FB16EA" w:rsidRDefault="00FB16EA">
          <w:pPr>
            <w:pStyle w:val="TM2"/>
            <w:tabs>
              <w:tab w:val="left" w:pos="880"/>
              <w:tab w:val="right" w:leader="dot" w:pos="9062"/>
            </w:tabs>
            <w:rPr>
              <w:rFonts w:eastAsiaTheme="minorEastAsia"/>
              <w:noProof/>
              <w:lang w:eastAsia="fr-FR"/>
            </w:rPr>
          </w:pPr>
          <w:hyperlink w:anchor="_Toc194653717" w:history="1">
            <w:r w:rsidRPr="00E13F1E">
              <w:rPr>
                <w:rStyle w:val="Lienhypertexte"/>
                <w:noProof/>
                <w14:scene3d>
                  <w14:camera w14:prst="orthographicFront"/>
                  <w14:lightRig w14:rig="threePt" w14:dir="t">
                    <w14:rot w14:lat="0" w14:lon="0" w14:rev="0"/>
                  </w14:lightRig>
                </w14:scene3d>
              </w:rPr>
              <w:t>12.6</w:t>
            </w:r>
            <w:r>
              <w:rPr>
                <w:rFonts w:eastAsiaTheme="minorEastAsia"/>
                <w:noProof/>
                <w:lang w:eastAsia="fr-FR"/>
              </w:rPr>
              <w:tab/>
            </w:r>
            <w:r w:rsidRPr="00E13F1E">
              <w:rPr>
                <w:rStyle w:val="Lienhypertexte"/>
                <w:noProof/>
              </w:rPr>
              <w:t>Délais de garantie</w:t>
            </w:r>
            <w:r>
              <w:rPr>
                <w:noProof/>
                <w:webHidden/>
              </w:rPr>
              <w:tab/>
            </w:r>
            <w:r>
              <w:rPr>
                <w:noProof/>
                <w:webHidden/>
              </w:rPr>
              <w:fldChar w:fldCharType="begin"/>
            </w:r>
            <w:r>
              <w:rPr>
                <w:noProof/>
                <w:webHidden/>
              </w:rPr>
              <w:instrText xml:space="preserve"> PAGEREF _Toc194653717 \h </w:instrText>
            </w:r>
            <w:r>
              <w:rPr>
                <w:noProof/>
                <w:webHidden/>
              </w:rPr>
            </w:r>
            <w:r>
              <w:rPr>
                <w:noProof/>
                <w:webHidden/>
              </w:rPr>
              <w:fldChar w:fldCharType="separate"/>
            </w:r>
            <w:r>
              <w:rPr>
                <w:noProof/>
                <w:webHidden/>
              </w:rPr>
              <w:t>24</w:t>
            </w:r>
            <w:r>
              <w:rPr>
                <w:noProof/>
                <w:webHidden/>
              </w:rPr>
              <w:fldChar w:fldCharType="end"/>
            </w:r>
          </w:hyperlink>
        </w:p>
        <w:p w14:paraId="5ABB8277" w14:textId="7B916012" w:rsidR="00FB16EA" w:rsidRDefault="00FB16EA">
          <w:pPr>
            <w:pStyle w:val="TM2"/>
            <w:tabs>
              <w:tab w:val="left" w:pos="880"/>
              <w:tab w:val="right" w:leader="dot" w:pos="9062"/>
            </w:tabs>
            <w:rPr>
              <w:rFonts w:eastAsiaTheme="minorEastAsia"/>
              <w:noProof/>
              <w:lang w:eastAsia="fr-FR"/>
            </w:rPr>
          </w:pPr>
          <w:hyperlink w:anchor="_Toc194653718" w:history="1">
            <w:r w:rsidRPr="00E13F1E">
              <w:rPr>
                <w:rStyle w:val="Lienhypertexte"/>
                <w:noProof/>
                <w14:scene3d>
                  <w14:camera w14:prst="orthographicFront"/>
                  <w14:lightRig w14:rig="threePt" w14:dir="t">
                    <w14:rot w14:lat="0" w14:lon="0" w14:rev="0"/>
                  </w14:lightRig>
                </w14:scene3d>
              </w:rPr>
              <w:t>12.7</w:t>
            </w:r>
            <w:r>
              <w:rPr>
                <w:rFonts w:eastAsiaTheme="minorEastAsia"/>
                <w:noProof/>
                <w:lang w:eastAsia="fr-FR"/>
              </w:rPr>
              <w:tab/>
            </w:r>
            <w:r w:rsidRPr="00E13F1E">
              <w:rPr>
                <w:rStyle w:val="Lienhypertexte"/>
                <w:noProof/>
              </w:rPr>
              <w:t>Assurances</w:t>
            </w:r>
            <w:r>
              <w:rPr>
                <w:noProof/>
                <w:webHidden/>
              </w:rPr>
              <w:tab/>
            </w:r>
            <w:r>
              <w:rPr>
                <w:noProof/>
                <w:webHidden/>
              </w:rPr>
              <w:fldChar w:fldCharType="begin"/>
            </w:r>
            <w:r>
              <w:rPr>
                <w:noProof/>
                <w:webHidden/>
              </w:rPr>
              <w:instrText xml:space="preserve"> PAGEREF _Toc194653718 \h </w:instrText>
            </w:r>
            <w:r>
              <w:rPr>
                <w:noProof/>
                <w:webHidden/>
              </w:rPr>
            </w:r>
            <w:r>
              <w:rPr>
                <w:noProof/>
                <w:webHidden/>
              </w:rPr>
              <w:fldChar w:fldCharType="separate"/>
            </w:r>
            <w:r>
              <w:rPr>
                <w:noProof/>
                <w:webHidden/>
              </w:rPr>
              <w:t>24</w:t>
            </w:r>
            <w:r>
              <w:rPr>
                <w:noProof/>
                <w:webHidden/>
              </w:rPr>
              <w:fldChar w:fldCharType="end"/>
            </w:r>
          </w:hyperlink>
        </w:p>
        <w:p w14:paraId="668907CA" w14:textId="3AD4F139" w:rsidR="00FB16EA" w:rsidRDefault="00FB16EA">
          <w:pPr>
            <w:pStyle w:val="TM1"/>
            <w:tabs>
              <w:tab w:val="left" w:pos="660"/>
              <w:tab w:val="right" w:leader="dot" w:pos="9062"/>
            </w:tabs>
            <w:rPr>
              <w:rFonts w:eastAsiaTheme="minorEastAsia"/>
              <w:noProof/>
              <w:lang w:eastAsia="fr-FR"/>
            </w:rPr>
          </w:pPr>
          <w:hyperlink w:anchor="_Toc194653719" w:history="1">
            <w:r w:rsidRPr="00E13F1E">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E13F1E">
              <w:rPr>
                <w:rStyle w:val="Lienhypertexte"/>
                <w:noProof/>
              </w:rPr>
              <w:t>Résiliation du marché</w:t>
            </w:r>
            <w:r>
              <w:rPr>
                <w:noProof/>
                <w:webHidden/>
              </w:rPr>
              <w:tab/>
            </w:r>
            <w:r>
              <w:rPr>
                <w:noProof/>
                <w:webHidden/>
              </w:rPr>
              <w:fldChar w:fldCharType="begin"/>
            </w:r>
            <w:r>
              <w:rPr>
                <w:noProof/>
                <w:webHidden/>
              </w:rPr>
              <w:instrText xml:space="preserve"> PAGEREF _Toc194653719 \h </w:instrText>
            </w:r>
            <w:r>
              <w:rPr>
                <w:noProof/>
                <w:webHidden/>
              </w:rPr>
            </w:r>
            <w:r>
              <w:rPr>
                <w:noProof/>
                <w:webHidden/>
              </w:rPr>
              <w:fldChar w:fldCharType="separate"/>
            </w:r>
            <w:r>
              <w:rPr>
                <w:noProof/>
                <w:webHidden/>
              </w:rPr>
              <w:t>25</w:t>
            </w:r>
            <w:r>
              <w:rPr>
                <w:noProof/>
                <w:webHidden/>
              </w:rPr>
              <w:fldChar w:fldCharType="end"/>
            </w:r>
          </w:hyperlink>
        </w:p>
        <w:p w14:paraId="31FCB430" w14:textId="53BB0698" w:rsidR="00FB16EA" w:rsidRDefault="00FB16EA">
          <w:pPr>
            <w:pStyle w:val="TM2"/>
            <w:tabs>
              <w:tab w:val="left" w:pos="880"/>
              <w:tab w:val="right" w:leader="dot" w:pos="9062"/>
            </w:tabs>
            <w:rPr>
              <w:rFonts w:eastAsiaTheme="minorEastAsia"/>
              <w:noProof/>
              <w:lang w:eastAsia="fr-FR"/>
            </w:rPr>
          </w:pPr>
          <w:hyperlink w:anchor="_Toc194653720" w:history="1">
            <w:r w:rsidRPr="00E13F1E">
              <w:rPr>
                <w:rStyle w:val="Lienhypertexte"/>
                <w:noProof/>
                <w14:scene3d>
                  <w14:camera w14:prst="orthographicFront"/>
                  <w14:lightRig w14:rig="threePt" w14:dir="t">
                    <w14:rot w14:lat="0" w14:lon="0" w14:rev="0"/>
                  </w14:lightRig>
                </w14:scene3d>
              </w:rPr>
              <w:t>13.1</w:t>
            </w:r>
            <w:r>
              <w:rPr>
                <w:rFonts w:eastAsiaTheme="minorEastAsia"/>
                <w:noProof/>
                <w:lang w:eastAsia="fr-FR"/>
              </w:rPr>
              <w:tab/>
            </w:r>
            <w:r w:rsidRPr="00E13F1E">
              <w:rPr>
                <w:rStyle w:val="Lienhypertexte"/>
                <w:noProof/>
              </w:rPr>
              <w:t>Résiliation du marché aux torts du Titulaire</w:t>
            </w:r>
            <w:r>
              <w:rPr>
                <w:noProof/>
                <w:webHidden/>
              </w:rPr>
              <w:tab/>
            </w:r>
            <w:r>
              <w:rPr>
                <w:noProof/>
                <w:webHidden/>
              </w:rPr>
              <w:fldChar w:fldCharType="begin"/>
            </w:r>
            <w:r>
              <w:rPr>
                <w:noProof/>
                <w:webHidden/>
              </w:rPr>
              <w:instrText xml:space="preserve"> PAGEREF _Toc194653720 \h </w:instrText>
            </w:r>
            <w:r>
              <w:rPr>
                <w:noProof/>
                <w:webHidden/>
              </w:rPr>
            </w:r>
            <w:r>
              <w:rPr>
                <w:noProof/>
                <w:webHidden/>
              </w:rPr>
              <w:fldChar w:fldCharType="separate"/>
            </w:r>
            <w:r>
              <w:rPr>
                <w:noProof/>
                <w:webHidden/>
              </w:rPr>
              <w:t>25</w:t>
            </w:r>
            <w:r>
              <w:rPr>
                <w:noProof/>
                <w:webHidden/>
              </w:rPr>
              <w:fldChar w:fldCharType="end"/>
            </w:r>
          </w:hyperlink>
        </w:p>
        <w:p w14:paraId="46996D2E" w14:textId="0B3DAEDC" w:rsidR="00FB16EA" w:rsidRDefault="00FB16EA">
          <w:pPr>
            <w:pStyle w:val="TM2"/>
            <w:tabs>
              <w:tab w:val="left" w:pos="880"/>
              <w:tab w:val="right" w:leader="dot" w:pos="9062"/>
            </w:tabs>
            <w:rPr>
              <w:rFonts w:eastAsiaTheme="minorEastAsia"/>
              <w:noProof/>
              <w:lang w:eastAsia="fr-FR"/>
            </w:rPr>
          </w:pPr>
          <w:hyperlink w:anchor="_Toc194653721" w:history="1">
            <w:r w:rsidRPr="00E13F1E">
              <w:rPr>
                <w:rStyle w:val="Lienhypertexte"/>
                <w:noProof/>
                <w14:scene3d>
                  <w14:camera w14:prst="orthographicFront"/>
                  <w14:lightRig w14:rig="threePt" w14:dir="t">
                    <w14:rot w14:lat="0" w14:lon="0" w14:rev="0"/>
                  </w14:lightRig>
                </w14:scene3d>
              </w:rPr>
              <w:t>13.2</w:t>
            </w:r>
            <w:r>
              <w:rPr>
                <w:rFonts w:eastAsiaTheme="minorEastAsia"/>
                <w:noProof/>
                <w:lang w:eastAsia="fr-FR"/>
              </w:rPr>
              <w:tab/>
            </w:r>
            <w:r w:rsidRPr="00E13F1E">
              <w:rPr>
                <w:rStyle w:val="Lienhypertexte"/>
                <w:noProof/>
              </w:rPr>
              <w:t>Résiliation du marché pour motif d’intérêt général</w:t>
            </w:r>
            <w:r>
              <w:rPr>
                <w:noProof/>
                <w:webHidden/>
              </w:rPr>
              <w:tab/>
            </w:r>
            <w:r>
              <w:rPr>
                <w:noProof/>
                <w:webHidden/>
              </w:rPr>
              <w:fldChar w:fldCharType="begin"/>
            </w:r>
            <w:r>
              <w:rPr>
                <w:noProof/>
                <w:webHidden/>
              </w:rPr>
              <w:instrText xml:space="preserve"> PAGEREF _Toc194653721 \h </w:instrText>
            </w:r>
            <w:r>
              <w:rPr>
                <w:noProof/>
                <w:webHidden/>
              </w:rPr>
            </w:r>
            <w:r>
              <w:rPr>
                <w:noProof/>
                <w:webHidden/>
              </w:rPr>
              <w:fldChar w:fldCharType="separate"/>
            </w:r>
            <w:r>
              <w:rPr>
                <w:noProof/>
                <w:webHidden/>
              </w:rPr>
              <w:t>25</w:t>
            </w:r>
            <w:r>
              <w:rPr>
                <w:noProof/>
                <w:webHidden/>
              </w:rPr>
              <w:fldChar w:fldCharType="end"/>
            </w:r>
          </w:hyperlink>
        </w:p>
        <w:p w14:paraId="06FE4C17" w14:textId="706BFE10" w:rsidR="00FB16EA" w:rsidRDefault="00FB16EA">
          <w:pPr>
            <w:pStyle w:val="TM2"/>
            <w:tabs>
              <w:tab w:val="left" w:pos="880"/>
              <w:tab w:val="right" w:leader="dot" w:pos="9062"/>
            </w:tabs>
            <w:rPr>
              <w:rFonts w:eastAsiaTheme="minorEastAsia"/>
              <w:noProof/>
              <w:lang w:eastAsia="fr-FR"/>
            </w:rPr>
          </w:pPr>
          <w:hyperlink w:anchor="_Toc194653722" w:history="1">
            <w:r w:rsidRPr="00E13F1E">
              <w:rPr>
                <w:rStyle w:val="Lienhypertexte"/>
                <w:noProof/>
                <w14:scene3d>
                  <w14:camera w14:prst="orthographicFront"/>
                  <w14:lightRig w14:rig="threePt" w14:dir="t">
                    <w14:rot w14:lat="0" w14:lon="0" w14:rev="0"/>
                  </w14:lightRig>
                </w14:scene3d>
              </w:rPr>
              <w:t>13.3</w:t>
            </w:r>
            <w:r>
              <w:rPr>
                <w:rFonts w:eastAsiaTheme="minorEastAsia"/>
                <w:noProof/>
                <w:lang w:eastAsia="fr-FR"/>
              </w:rPr>
              <w:tab/>
            </w:r>
            <w:r w:rsidRPr="00E13F1E">
              <w:rPr>
                <w:rStyle w:val="Lienhypertexte"/>
                <w:noProof/>
              </w:rPr>
              <w:t>Exécution aux frais et risques du Titulaire</w:t>
            </w:r>
            <w:r>
              <w:rPr>
                <w:noProof/>
                <w:webHidden/>
              </w:rPr>
              <w:tab/>
            </w:r>
            <w:r>
              <w:rPr>
                <w:noProof/>
                <w:webHidden/>
              </w:rPr>
              <w:fldChar w:fldCharType="begin"/>
            </w:r>
            <w:r>
              <w:rPr>
                <w:noProof/>
                <w:webHidden/>
              </w:rPr>
              <w:instrText xml:space="preserve"> PAGEREF _Toc194653722 \h </w:instrText>
            </w:r>
            <w:r>
              <w:rPr>
                <w:noProof/>
                <w:webHidden/>
              </w:rPr>
            </w:r>
            <w:r>
              <w:rPr>
                <w:noProof/>
                <w:webHidden/>
              </w:rPr>
              <w:fldChar w:fldCharType="separate"/>
            </w:r>
            <w:r>
              <w:rPr>
                <w:noProof/>
                <w:webHidden/>
              </w:rPr>
              <w:t>25</w:t>
            </w:r>
            <w:r>
              <w:rPr>
                <w:noProof/>
                <w:webHidden/>
              </w:rPr>
              <w:fldChar w:fldCharType="end"/>
            </w:r>
          </w:hyperlink>
        </w:p>
        <w:p w14:paraId="64B9C1AE" w14:textId="35CCF8A8" w:rsidR="00FB16EA" w:rsidRDefault="00FB16EA">
          <w:pPr>
            <w:pStyle w:val="TM3"/>
            <w:tabs>
              <w:tab w:val="left" w:pos="1320"/>
              <w:tab w:val="right" w:leader="dot" w:pos="9062"/>
            </w:tabs>
            <w:rPr>
              <w:rFonts w:eastAsiaTheme="minorEastAsia"/>
              <w:noProof/>
              <w:lang w:eastAsia="fr-FR"/>
            </w:rPr>
          </w:pPr>
          <w:hyperlink w:anchor="_Toc194653723" w:history="1">
            <w:r w:rsidRPr="00E13F1E">
              <w:rPr>
                <w:rStyle w:val="Lienhypertexte"/>
                <w:noProof/>
                <w14:scene3d>
                  <w14:camera w14:prst="orthographicFront"/>
                  <w14:lightRig w14:rig="threePt" w14:dir="t">
                    <w14:rot w14:lat="0" w14:lon="0" w14:rev="0"/>
                  </w14:lightRig>
                </w14:scene3d>
              </w:rPr>
              <w:t>13.3.1</w:t>
            </w:r>
            <w:r>
              <w:rPr>
                <w:rFonts w:eastAsiaTheme="minorEastAsia"/>
                <w:noProof/>
                <w:lang w:eastAsia="fr-FR"/>
              </w:rPr>
              <w:tab/>
            </w:r>
            <w:r w:rsidRPr="00E13F1E">
              <w:rPr>
                <w:rStyle w:val="Lienhypertexte"/>
                <w:noProof/>
              </w:rPr>
              <w:t>En cours d’exécution du marché</w:t>
            </w:r>
            <w:r>
              <w:rPr>
                <w:noProof/>
                <w:webHidden/>
              </w:rPr>
              <w:tab/>
            </w:r>
            <w:r>
              <w:rPr>
                <w:noProof/>
                <w:webHidden/>
              </w:rPr>
              <w:fldChar w:fldCharType="begin"/>
            </w:r>
            <w:r>
              <w:rPr>
                <w:noProof/>
                <w:webHidden/>
              </w:rPr>
              <w:instrText xml:space="preserve"> PAGEREF _Toc194653723 \h </w:instrText>
            </w:r>
            <w:r>
              <w:rPr>
                <w:noProof/>
                <w:webHidden/>
              </w:rPr>
            </w:r>
            <w:r>
              <w:rPr>
                <w:noProof/>
                <w:webHidden/>
              </w:rPr>
              <w:fldChar w:fldCharType="separate"/>
            </w:r>
            <w:r>
              <w:rPr>
                <w:noProof/>
                <w:webHidden/>
              </w:rPr>
              <w:t>25</w:t>
            </w:r>
            <w:r>
              <w:rPr>
                <w:noProof/>
                <w:webHidden/>
              </w:rPr>
              <w:fldChar w:fldCharType="end"/>
            </w:r>
          </w:hyperlink>
        </w:p>
        <w:p w14:paraId="45481A4F" w14:textId="36AC99E4" w:rsidR="00FB16EA" w:rsidRDefault="00FB16EA">
          <w:pPr>
            <w:pStyle w:val="TM3"/>
            <w:tabs>
              <w:tab w:val="left" w:pos="1320"/>
              <w:tab w:val="right" w:leader="dot" w:pos="9062"/>
            </w:tabs>
            <w:rPr>
              <w:rFonts w:eastAsiaTheme="minorEastAsia"/>
              <w:noProof/>
              <w:lang w:eastAsia="fr-FR"/>
            </w:rPr>
          </w:pPr>
          <w:hyperlink w:anchor="_Toc194653724" w:history="1">
            <w:r w:rsidRPr="00E13F1E">
              <w:rPr>
                <w:rStyle w:val="Lienhypertexte"/>
                <w:noProof/>
                <w14:scene3d>
                  <w14:camera w14:prst="orthographicFront"/>
                  <w14:lightRig w14:rig="threePt" w14:dir="t">
                    <w14:rot w14:lat="0" w14:lon="0" w14:rev="0"/>
                  </w14:lightRig>
                </w14:scene3d>
              </w:rPr>
              <w:t>13.3.2</w:t>
            </w:r>
            <w:r>
              <w:rPr>
                <w:rFonts w:eastAsiaTheme="minorEastAsia"/>
                <w:noProof/>
                <w:lang w:eastAsia="fr-FR"/>
              </w:rPr>
              <w:tab/>
            </w:r>
            <w:r w:rsidRPr="00E13F1E">
              <w:rPr>
                <w:rStyle w:val="Lienhypertexte"/>
                <w:noProof/>
              </w:rPr>
              <w:t>Après résiliation prononcée aux torts du Titulaire</w:t>
            </w:r>
            <w:r>
              <w:rPr>
                <w:noProof/>
                <w:webHidden/>
              </w:rPr>
              <w:tab/>
            </w:r>
            <w:r>
              <w:rPr>
                <w:noProof/>
                <w:webHidden/>
              </w:rPr>
              <w:fldChar w:fldCharType="begin"/>
            </w:r>
            <w:r>
              <w:rPr>
                <w:noProof/>
                <w:webHidden/>
              </w:rPr>
              <w:instrText xml:space="preserve"> PAGEREF _Toc194653724 \h </w:instrText>
            </w:r>
            <w:r>
              <w:rPr>
                <w:noProof/>
                <w:webHidden/>
              </w:rPr>
            </w:r>
            <w:r>
              <w:rPr>
                <w:noProof/>
                <w:webHidden/>
              </w:rPr>
              <w:fldChar w:fldCharType="separate"/>
            </w:r>
            <w:r>
              <w:rPr>
                <w:noProof/>
                <w:webHidden/>
              </w:rPr>
              <w:t>25</w:t>
            </w:r>
            <w:r>
              <w:rPr>
                <w:noProof/>
                <w:webHidden/>
              </w:rPr>
              <w:fldChar w:fldCharType="end"/>
            </w:r>
          </w:hyperlink>
        </w:p>
        <w:p w14:paraId="7A262A54" w14:textId="757A5BBE" w:rsidR="00FB16EA" w:rsidRDefault="00FB16EA">
          <w:pPr>
            <w:pStyle w:val="TM1"/>
            <w:tabs>
              <w:tab w:val="left" w:pos="660"/>
              <w:tab w:val="right" w:leader="dot" w:pos="9062"/>
            </w:tabs>
            <w:rPr>
              <w:rFonts w:eastAsiaTheme="minorEastAsia"/>
              <w:noProof/>
              <w:lang w:eastAsia="fr-FR"/>
            </w:rPr>
          </w:pPr>
          <w:hyperlink w:anchor="_Toc194653725" w:history="1">
            <w:r w:rsidRPr="00E13F1E">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E13F1E">
              <w:rPr>
                <w:rStyle w:val="Lienhypertexte"/>
                <w:noProof/>
              </w:rPr>
              <w:t>Règlement des litiges</w:t>
            </w:r>
            <w:r>
              <w:rPr>
                <w:noProof/>
                <w:webHidden/>
              </w:rPr>
              <w:tab/>
            </w:r>
            <w:r>
              <w:rPr>
                <w:noProof/>
                <w:webHidden/>
              </w:rPr>
              <w:fldChar w:fldCharType="begin"/>
            </w:r>
            <w:r>
              <w:rPr>
                <w:noProof/>
                <w:webHidden/>
              </w:rPr>
              <w:instrText xml:space="preserve"> PAGEREF _Toc194653725 \h </w:instrText>
            </w:r>
            <w:r>
              <w:rPr>
                <w:noProof/>
                <w:webHidden/>
              </w:rPr>
            </w:r>
            <w:r>
              <w:rPr>
                <w:noProof/>
                <w:webHidden/>
              </w:rPr>
              <w:fldChar w:fldCharType="separate"/>
            </w:r>
            <w:r>
              <w:rPr>
                <w:noProof/>
                <w:webHidden/>
              </w:rPr>
              <w:t>25</w:t>
            </w:r>
            <w:r>
              <w:rPr>
                <w:noProof/>
                <w:webHidden/>
              </w:rPr>
              <w:fldChar w:fldCharType="end"/>
            </w:r>
          </w:hyperlink>
        </w:p>
        <w:p w14:paraId="2532CC5B" w14:textId="14DC132B" w:rsidR="00FB16EA" w:rsidRDefault="00FB16EA">
          <w:pPr>
            <w:pStyle w:val="TM1"/>
            <w:tabs>
              <w:tab w:val="left" w:pos="660"/>
              <w:tab w:val="right" w:leader="dot" w:pos="9062"/>
            </w:tabs>
            <w:rPr>
              <w:rFonts w:eastAsiaTheme="minorEastAsia"/>
              <w:noProof/>
              <w:lang w:eastAsia="fr-FR"/>
            </w:rPr>
          </w:pPr>
          <w:hyperlink w:anchor="_Toc194653726" w:history="1">
            <w:r w:rsidRPr="00E13F1E">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E13F1E">
              <w:rPr>
                <w:rStyle w:val="Lienhypertexte"/>
                <w:noProof/>
              </w:rPr>
              <w:t>Dérogations au CCAG/Travaux</w:t>
            </w:r>
            <w:r>
              <w:rPr>
                <w:noProof/>
                <w:webHidden/>
              </w:rPr>
              <w:tab/>
            </w:r>
            <w:r>
              <w:rPr>
                <w:noProof/>
                <w:webHidden/>
              </w:rPr>
              <w:fldChar w:fldCharType="begin"/>
            </w:r>
            <w:r>
              <w:rPr>
                <w:noProof/>
                <w:webHidden/>
              </w:rPr>
              <w:instrText xml:space="preserve"> PAGEREF _Toc194653726 \h </w:instrText>
            </w:r>
            <w:r>
              <w:rPr>
                <w:noProof/>
                <w:webHidden/>
              </w:rPr>
            </w:r>
            <w:r>
              <w:rPr>
                <w:noProof/>
                <w:webHidden/>
              </w:rPr>
              <w:fldChar w:fldCharType="separate"/>
            </w:r>
            <w:r>
              <w:rPr>
                <w:noProof/>
                <w:webHidden/>
              </w:rPr>
              <w:t>26</w:t>
            </w:r>
            <w:r>
              <w:rPr>
                <w:noProof/>
                <w:webHidden/>
              </w:rPr>
              <w:fldChar w:fldCharType="end"/>
            </w:r>
          </w:hyperlink>
        </w:p>
        <w:p w14:paraId="2679B3C4" w14:textId="28D69202"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94653638"/>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94653639"/>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4653640"/>
      <w:r w:rsidRPr="00FF0F28">
        <w:rPr>
          <w:rFonts w:eastAsiaTheme="minorHAnsi"/>
        </w:rPr>
        <w:t>Objet du marché</w:t>
      </w:r>
      <w:bookmarkEnd w:id="3"/>
      <w:bookmarkEnd w:id="4"/>
    </w:p>
    <w:p w14:paraId="515E4E52" w14:textId="705FA4A7" w:rsidR="00810FD4" w:rsidRPr="00810FD4"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FF0F28">
        <w:rPr>
          <w:rFonts w:ascii="Arial" w:hAnsi="Arial" w:cs="Arial"/>
          <w:sz w:val="20"/>
          <w:szCs w:val="20"/>
        </w:rPr>
        <w:t xml:space="preserve">Les dispositions du présent Cahier des Clauses Administratives Particulières (ci-après « le CCAP ») concernent </w:t>
      </w:r>
      <w:r w:rsidR="00A069F0" w:rsidRPr="00A069F0">
        <w:rPr>
          <w:rFonts w:ascii="Arial" w:hAnsi="Arial" w:cs="Arial"/>
          <w:sz w:val="20"/>
          <w:szCs w:val="20"/>
          <w:shd w:val="clear" w:color="auto" w:fill="FFFFFF" w:themeFill="background1"/>
        </w:rPr>
        <w:t xml:space="preserve">La présente consultation a pour objet les travaux </w:t>
      </w:r>
      <w:r w:rsidR="00810FD4" w:rsidRPr="00810FD4">
        <w:rPr>
          <w:rFonts w:ascii="Arial" w:hAnsi="Arial" w:cs="Arial"/>
          <w:sz w:val="20"/>
          <w:szCs w:val="20"/>
          <w:shd w:val="clear" w:color="auto" w:fill="FFFFFF" w:themeFill="background1"/>
        </w:rPr>
        <w:t>de relocalisation provisoire de la REA CCV du Bâtiment H1 de l’hôpital Rangueil</w:t>
      </w:r>
      <w:r w:rsidR="00A734DE">
        <w:rPr>
          <w:rFonts w:ascii="Arial" w:hAnsi="Arial" w:cs="Arial"/>
          <w:sz w:val="20"/>
          <w:szCs w:val="20"/>
          <w:shd w:val="clear" w:color="auto" w:fill="FFFFFF" w:themeFill="background1"/>
        </w:rPr>
        <w:t xml:space="preserve"> </w:t>
      </w:r>
      <w:r w:rsidR="00A734DE" w:rsidRPr="00A734DE">
        <w:rPr>
          <w:rFonts w:ascii="Arial" w:hAnsi="Arial" w:cs="Arial"/>
          <w:b/>
          <w:bCs/>
          <w:color w:val="FF0000"/>
          <w:sz w:val="20"/>
          <w:szCs w:val="20"/>
          <w:shd w:val="clear" w:color="auto" w:fill="FFFFFF" w:themeFill="background1"/>
        </w:rPr>
        <w:t>LOT 6 CVC - PLOMBERIE</w:t>
      </w:r>
    </w:p>
    <w:p w14:paraId="29EF8BD6" w14:textId="77777777" w:rsidR="00810FD4" w:rsidRPr="00810FD4" w:rsidRDefault="00810FD4"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810FD4">
        <w:rPr>
          <w:rFonts w:ascii="Arial" w:hAnsi="Arial" w:cs="Arial"/>
          <w:sz w:val="20"/>
          <w:szCs w:val="20"/>
          <w:shd w:val="clear" w:color="auto" w:fill="FFFFFF" w:themeFill="background1"/>
        </w:rPr>
        <w:t>Objectifs de l’opération :</w:t>
      </w:r>
    </w:p>
    <w:p w14:paraId="5478DFFE" w14:textId="31F82978" w:rsidR="005A1289" w:rsidRPr="005B0D29" w:rsidRDefault="00810FD4"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B0D29">
        <w:rPr>
          <w:rFonts w:ascii="Arial" w:hAnsi="Arial" w:cs="Arial"/>
          <w:sz w:val="20"/>
          <w:szCs w:val="20"/>
          <w:shd w:val="clear" w:color="auto" w:fill="FFFFFF" w:themeFill="background1"/>
        </w:rPr>
        <w:t xml:space="preserve">Rafraîchissement (remplacements des faux-plafonds, des sols, </w:t>
      </w:r>
      <w:r w:rsidR="005A1289" w:rsidRPr="005A1289">
        <w:rPr>
          <w:rFonts w:ascii="Arial" w:hAnsi="Arial" w:cs="Arial"/>
          <w:sz w:val="20"/>
          <w:szCs w:val="20"/>
          <w:shd w:val="clear" w:color="auto" w:fill="FFFFFF" w:themeFill="background1"/>
        </w:rPr>
        <w:t>peinture,</w:t>
      </w:r>
      <w:r w:rsidRPr="005B0D29">
        <w:rPr>
          <w:rFonts w:ascii="Arial" w:hAnsi="Arial" w:cs="Arial"/>
          <w:sz w:val="20"/>
          <w:szCs w:val="20"/>
          <w:shd w:val="clear" w:color="auto" w:fill="FFFFFF" w:themeFill="background1"/>
        </w:rPr>
        <w:t>).</w:t>
      </w:r>
    </w:p>
    <w:p w14:paraId="405AFF99" w14:textId="185BAFDF" w:rsidR="005A1289" w:rsidRPr="005B0D29" w:rsidRDefault="00810FD4"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B0D29">
        <w:rPr>
          <w:rFonts w:ascii="Arial" w:hAnsi="Arial" w:cs="Arial"/>
          <w:sz w:val="20"/>
          <w:szCs w:val="20"/>
          <w:shd w:val="clear" w:color="auto" w:fill="FFFFFF" w:themeFill="background1"/>
        </w:rPr>
        <w:t>Pose de mains courantes et de protections murales.</w:t>
      </w:r>
    </w:p>
    <w:p w14:paraId="5D96B1E8" w14:textId="1076B83C" w:rsidR="005A1289" w:rsidRPr="005B0D29" w:rsidRDefault="00810FD4"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B0D29">
        <w:rPr>
          <w:rFonts w:ascii="Arial" w:hAnsi="Arial" w:cs="Arial"/>
          <w:sz w:val="20"/>
          <w:szCs w:val="20"/>
          <w:shd w:val="clear" w:color="auto" w:fill="FFFFFF" w:themeFill="background1"/>
        </w:rPr>
        <w:t>Remplacement du mobilier.</w:t>
      </w:r>
    </w:p>
    <w:p w14:paraId="7CA0C876" w14:textId="06136B2F" w:rsidR="005A1289" w:rsidRDefault="00810FD4" w:rsidP="00187CA5">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B0D29">
        <w:rPr>
          <w:rFonts w:ascii="Arial" w:hAnsi="Arial" w:cs="Arial"/>
          <w:sz w:val="20"/>
          <w:szCs w:val="20"/>
          <w:shd w:val="clear" w:color="auto" w:fill="FFFFFF" w:themeFill="background1"/>
        </w:rPr>
        <w:t>Remplacement des</w:t>
      </w:r>
      <w:r w:rsidR="005A1289" w:rsidRPr="005A1289">
        <w:rPr>
          <w:rFonts w:ascii="Arial" w:hAnsi="Arial" w:cs="Arial"/>
          <w:sz w:val="20"/>
          <w:szCs w:val="20"/>
          <w:shd w:val="clear" w:color="auto" w:fill="FFFFFF" w:themeFill="background1"/>
        </w:rPr>
        <w:t xml:space="preserve"> gaines</w:t>
      </w:r>
      <w:r w:rsidRPr="005B0D29">
        <w:rPr>
          <w:rFonts w:ascii="Arial" w:hAnsi="Arial" w:cs="Arial"/>
          <w:sz w:val="20"/>
          <w:szCs w:val="20"/>
          <w:shd w:val="clear" w:color="auto" w:fill="FFFFFF" w:themeFill="background1"/>
        </w:rPr>
        <w:t xml:space="preserve"> têtes de lit et des appels malades</w:t>
      </w:r>
      <w:r w:rsidR="005A1289">
        <w:rPr>
          <w:rFonts w:ascii="Arial" w:hAnsi="Arial" w:cs="Arial"/>
          <w:sz w:val="20"/>
          <w:szCs w:val="20"/>
          <w:shd w:val="clear" w:color="auto" w:fill="FFFFFF" w:themeFill="background1"/>
        </w:rPr>
        <w:t>,</w:t>
      </w:r>
    </w:p>
    <w:p w14:paraId="17EB39E3" w14:textId="32038D4B" w:rsidR="005A1289" w:rsidRPr="005A1289" w:rsidRDefault="00810FD4"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A1289">
        <w:rPr>
          <w:rFonts w:ascii="Arial" w:hAnsi="Arial" w:cs="Arial"/>
          <w:sz w:val="20"/>
          <w:szCs w:val="20"/>
          <w:shd w:val="clear" w:color="auto" w:fill="FFFFFF" w:themeFill="background1"/>
        </w:rPr>
        <w:t xml:space="preserve">Rénovation des salles de bains avec une douche et un WC. </w:t>
      </w:r>
    </w:p>
    <w:p w14:paraId="6E9FF83F" w14:textId="4D5037F5" w:rsidR="005A1289" w:rsidRPr="005B0D29" w:rsidRDefault="00810FD4"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B0D29">
        <w:rPr>
          <w:rFonts w:ascii="Arial" w:hAnsi="Arial" w:cs="Arial"/>
          <w:sz w:val="20"/>
          <w:szCs w:val="20"/>
          <w:shd w:val="clear" w:color="auto" w:fill="FFFFFF" w:themeFill="background1"/>
        </w:rPr>
        <w:t>Remplacement de l’éclairage.</w:t>
      </w:r>
    </w:p>
    <w:p w14:paraId="51466504" w14:textId="4EDC7B5A" w:rsidR="005A1289" w:rsidRDefault="005A1289" w:rsidP="00810FD4">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A1289">
        <w:rPr>
          <w:rFonts w:ascii="Arial" w:hAnsi="Arial" w:cs="Arial"/>
          <w:sz w:val="20"/>
          <w:szCs w:val="20"/>
          <w:shd w:val="clear" w:color="auto" w:fill="FFFFFF" w:themeFill="background1"/>
        </w:rPr>
        <w:lastRenderedPageBreak/>
        <w:t>Désamiantage</w:t>
      </w:r>
    </w:p>
    <w:p w14:paraId="2D9267D1" w14:textId="568FA5D7" w:rsidR="00810FD4" w:rsidRPr="005B0D29" w:rsidRDefault="005A1289" w:rsidP="005B0D29">
      <w:pPr>
        <w:pStyle w:val="Paragraphedeliste"/>
        <w:numPr>
          <w:ilvl w:val="0"/>
          <w:numId w:val="35"/>
        </w:num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A1289">
        <w:rPr>
          <w:rFonts w:ascii="Arial" w:hAnsi="Arial" w:cs="Arial"/>
          <w:sz w:val="20"/>
          <w:szCs w:val="20"/>
          <w:shd w:val="clear" w:color="auto" w:fill="FFFFFF" w:themeFill="background1"/>
        </w:rPr>
        <w:t>Remplacement</w:t>
      </w:r>
      <w:r w:rsidR="00810FD4" w:rsidRPr="005B0D29">
        <w:rPr>
          <w:rFonts w:ascii="Arial" w:hAnsi="Arial" w:cs="Arial"/>
          <w:sz w:val="20"/>
          <w:szCs w:val="20"/>
          <w:shd w:val="clear" w:color="auto" w:fill="FFFFFF" w:themeFill="background1"/>
        </w:rPr>
        <w:t xml:space="preserve"> équipement électrique </w:t>
      </w:r>
    </w:p>
    <w:p w14:paraId="64A57D5D" w14:textId="77777777" w:rsidR="00810FD4" w:rsidRPr="00810FD4" w:rsidRDefault="00810FD4"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810FD4">
        <w:rPr>
          <w:rFonts w:ascii="Arial" w:hAnsi="Arial" w:cs="Arial"/>
          <w:sz w:val="20"/>
          <w:szCs w:val="20"/>
          <w:shd w:val="clear" w:color="auto" w:fill="FFFFFF" w:themeFill="background1"/>
        </w:rPr>
        <w:t>Phasage : 1 seule phase</w:t>
      </w:r>
    </w:p>
    <w:p w14:paraId="3BC73AB8" w14:textId="77777777" w:rsidR="00810FD4" w:rsidRPr="00810FD4" w:rsidRDefault="00810FD4"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810FD4">
        <w:rPr>
          <w:rFonts w:ascii="Arial" w:hAnsi="Arial" w:cs="Arial"/>
          <w:sz w:val="20"/>
          <w:szCs w:val="20"/>
          <w:shd w:val="clear" w:color="auto" w:fill="FFFFFF" w:themeFill="background1"/>
        </w:rPr>
        <w:t>Superficie : 1240 m²</w:t>
      </w: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5" w:name="_Ref151467612"/>
      <w:bookmarkStart w:id="6" w:name="_Toc194653641"/>
      <w:r>
        <w:rPr>
          <w:rFonts w:eastAsiaTheme="minorHAnsi"/>
        </w:rPr>
        <w:t>Allotissement</w:t>
      </w:r>
      <w:bookmarkEnd w:id="5"/>
      <w:bookmarkEnd w:id="6"/>
    </w:p>
    <w:p w14:paraId="40759038" w14:textId="065FBC23" w:rsidR="003D542B"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187CA5">
        <w:rPr>
          <w:rFonts w:ascii="Arial" w:hAnsi="Arial" w:cs="Arial"/>
          <w:sz w:val="20"/>
          <w:szCs w:val="20"/>
        </w:rPr>
        <w:t>7</w:t>
      </w:r>
      <w:r w:rsidR="000A4ED9">
        <w:rPr>
          <w:rFonts w:ascii="Arial" w:hAnsi="Arial" w:cs="Arial"/>
          <w:sz w:val="20"/>
          <w:szCs w:val="20"/>
        </w:rPr>
        <w:t xml:space="preserve"> lots séparés.</w:t>
      </w:r>
    </w:p>
    <w:p w14:paraId="21C14C6E" w14:textId="60D51BF9" w:rsidR="00E571F3" w:rsidRPr="005614F0" w:rsidRDefault="00E571F3" w:rsidP="005614F0">
      <w:pPr>
        <w:spacing w:after="120"/>
        <w:jc w:val="both"/>
        <w:rPr>
          <w:rFonts w:cs="Arial"/>
          <w:sz w:val="20"/>
        </w:rPr>
      </w:pPr>
      <w:r>
        <w:rPr>
          <w:rFonts w:cs="Arial"/>
          <w:b/>
          <w:bCs/>
          <w:color w:val="FF0000"/>
          <w:sz w:val="20"/>
        </w:rPr>
        <w:t>Le lot 6 CVC de l</w:t>
      </w:r>
      <w:r w:rsidRPr="005640FF">
        <w:rPr>
          <w:rFonts w:cs="Arial"/>
          <w:b/>
          <w:bCs/>
          <w:color w:val="FF0000"/>
          <w:sz w:val="20"/>
        </w:rPr>
        <w:t xml:space="preserve">a précédente consultation </w:t>
      </w:r>
      <w:r>
        <w:rPr>
          <w:rFonts w:cs="Arial"/>
          <w:b/>
          <w:bCs/>
          <w:color w:val="FF0000"/>
          <w:sz w:val="20"/>
        </w:rPr>
        <w:t xml:space="preserve">a été </w:t>
      </w:r>
      <w:r w:rsidRPr="005640FF">
        <w:rPr>
          <w:rFonts w:cs="Arial"/>
          <w:b/>
          <w:bCs/>
          <w:color w:val="FF0000"/>
          <w:sz w:val="20"/>
        </w:rPr>
        <w:t>déclar</w:t>
      </w:r>
      <w:r>
        <w:rPr>
          <w:rFonts w:cs="Arial"/>
          <w:b/>
          <w:bCs/>
          <w:color w:val="FF0000"/>
          <w:sz w:val="20"/>
        </w:rPr>
        <w:t>er</w:t>
      </w:r>
      <w:r w:rsidRPr="005640FF">
        <w:rPr>
          <w:rFonts w:cs="Arial"/>
          <w:b/>
          <w:bCs/>
          <w:color w:val="FF0000"/>
          <w:sz w:val="20"/>
        </w:rPr>
        <w:t xml:space="preserve"> </w:t>
      </w:r>
      <w:r>
        <w:rPr>
          <w:rFonts w:cs="Arial"/>
          <w:b/>
          <w:bCs/>
          <w:color w:val="FF0000"/>
          <w:sz w:val="20"/>
        </w:rPr>
        <w:t xml:space="preserve">sans suite </w:t>
      </w:r>
      <w:r w:rsidR="005614F0">
        <w:rPr>
          <w:rFonts w:cs="Arial"/>
          <w:b/>
          <w:bCs/>
          <w:color w:val="FF0000"/>
          <w:sz w:val="20"/>
        </w:rPr>
        <w:t>pour raison d’intérêt général (redéfinition du besoin)</w:t>
      </w:r>
      <w:r w:rsidR="005614F0">
        <w:rPr>
          <w:rFonts w:cs="Arial"/>
          <w:sz w:val="20"/>
        </w:rPr>
        <w:t xml:space="preserve">. </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3595" w:type="pct"/>
        <w:tblLook w:val="04A0" w:firstRow="1" w:lastRow="0" w:firstColumn="1" w:lastColumn="0" w:noHBand="0" w:noVBand="1"/>
      </w:tblPr>
      <w:tblGrid>
        <w:gridCol w:w="1556"/>
        <w:gridCol w:w="4960"/>
      </w:tblGrid>
      <w:tr w:rsidR="00810FD4" w:rsidRPr="00810FD4" w14:paraId="6E70C734" w14:textId="77777777" w:rsidTr="00187CA5">
        <w:tc>
          <w:tcPr>
            <w:tcW w:w="1194" w:type="pct"/>
            <w:shd w:val="clear" w:color="auto" w:fill="DAEEF3" w:themeFill="accent5" w:themeFillTint="33"/>
            <w:vAlign w:val="center"/>
          </w:tcPr>
          <w:p w14:paraId="14956802" w14:textId="77777777" w:rsidR="00810FD4" w:rsidRPr="00810FD4" w:rsidRDefault="00810FD4" w:rsidP="00187CA5">
            <w:pPr>
              <w:spacing w:line="360" w:lineRule="auto"/>
              <w:jc w:val="center"/>
              <w:rPr>
                <w:rFonts w:ascii="Arial" w:hAnsi="Arial" w:cs="Arial"/>
                <w:sz w:val="20"/>
                <w:szCs w:val="18"/>
              </w:rPr>
            </w:pPr>
            <w:bookmarkStart w:id="7" w:name="_Hlk179987804"/>
            <w:r w:rsidRPr="00810FD4">
              <w:rPr>
                <w:rFonts w:ascii="Arial" w:hAnsi="Arial" w:cs="Arial"/>
                <w:sz w:val="20"/>
                <w:szCs w:val="18"/>
              </w:rPr>
              <w:t>N° du lot</w:t>
            </w:r>
          </w:p>
        </w:tc>
        <w:tc>
          <w:tcPr>
            <w:tcW w:w="3806" w:type="pct"/>
            <w:shd w:val="clear" w:color="auto" w:fill="DAEEF3" w:themeFill="accent5" w:themeFillTint="33"/>
            <w:vAlign w:val="center"/>
          </w:tcPr>
          <w:p w14:paraId="42C3D936" w14:textId="77777777" w:rsidR="00810FD4" w:rsidRPr="00810FD4" w:rsidRDefault="00810FD4" w:rsidP="00187CA5">
            <w:pPr>
              <w:spacing w:line="360" w:lineRule="auto"/>
              <w:jc w:val="center"/>
              <w:rPr>
                <w:rFonts w:ascii="Arial" w:hAnsi="Arial" w:cs="Arial"/>
                <w:sz w:val="20"/>
                <w:szCs w:val="18"/>
              </w:rPr>
            </w:pPr>
            <w:r w:rsidRPr="00810FD4">
              <w:rPr>
                <w:rFonts w:ascii="Arial" w:hAnsi="Arial" w:cs="Arial"/>
                <w:sz w:val="20"/>
                <w:szCs w:val="18"/>
              </w:rPr>
              <w:t>Intitulé du lot</w:t>
            </w:r>
          </w:p>
        </w:tc>
      </w:tr>
      <w:tr w:rsidR="00810FD4" w:rsidRPr="00810FD4" w14:paraId="48D6A5FD" w14:textId="77777777" w:rsidTr="00187CA5">
        <w:tc>
          <w:tcPr>
            <w:tcW w:w="1194" w:type="pct"/>
          </w:tcPr>
          <w:p w14:paraId="779706E1" w14:textId="77777777" w:rsidR="00810FD4" w:rsidRPr="00E571F3" w:rsidRDefault="00810FD4" w:rsidP="00187CA5">
            <w:pPr>
              <w:spacing w:line="360" w:lineRule="auto"/>
              <w:rPr>
                <w:rFonts w:ascii="Arial" w:hAnsi="Arial" w:cs="Arial"/>
                <w:strike/>
                <w:sz w:val="20"/>
                <w:szCs w:val="18"/>
              </w:rPr>
            </w:pPr>
            <w:bookmarkStart w:id="8" w:name="_Hlk179988799"/>
            <w:r w:rsidRPr="00E571F3">
              <w:rPr>
                <w:rFonts w:ascii="Arial" w:hAnsi="Arial" w:cs="Arial"/>
                <w:strike/>
                <w:sz w:val="20"/>
                <w:szCs w:val="18"/>
              </w:rPr>
              <w:t>01</w:t>
            </w:r>
          </w:p>
        </w:tc>
        <w:tc>
          <w:tcPr>
            <w:tcW w:w="3806" w:type="pct"/>
          </w:tcPr>
          <w:p w14:paraId="77EFE2A4"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Désamiantage / Démolition / Plâtrerie</w:t>
            </w:r>
          </w:p>
        </w:tc>
      </w:tr>
      <w:tr w:rsidR="00810FD4" w:rsidRPr="00810FD4" w14:paraId="2D40B576" w14:textId="77777777" w:rsidTr="00187CA5">
        <w:tc>
          <w:tcPr>
            <w:tcW w:w="1194" w:type="pct"/>
          </w:tcPr>
          <w:p w14:paraId="6DAAB0DA"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02</w:t>
            </w:r>
          </w:p>
        </w:tc>
        <w:tc>
          <w:tcPr>
            <w:tcW w:w="3806" w:type="pct"/>
          </w:tcPr>
          <w:p w14:paraId="484F8226"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20"/>
              </w:rPr>
              <w:t>Menuiserie Intérieures</w:t>
            </w:r>
          </w:p>
        </w:tc>
      </w:tr>
      <w:tr w:rsidR="00810FD4" w:rsidRPr="00810FD4" w14:paraId="2D755407" w14:textId="77777777" w:rsidTr="00187CA5">
        <w:tc>
          <w:tcPr>
            <w:tcW w:w="1194" w:type="pct"/>
          </w:tcPr>
          <w:p w14:paraId="267E388D"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03</w:t>
            </w:r>
          </w:p>
        </w:tc>
        <w:tc>
          <w:tcPr>
            <w:tcW w:w="3806" w:type="pct"/>
          </w:tcPr>
          <w:p w14:paraId="534C340A"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Menuiserie Extérieure ALU</w:t>
            </w:r>
          </w:p>
        </w:tc>
      </w:tr>
      <w:tr w:rsidR="00810FD4" w:rsidRPr="00810FD4" w14:paraId="08F34400" w14:textId="77777777" w:rsidTr="00187CA5">
        <w:tc>
          <w:tcPr>
            <w:tcW w:w="1194" w:type="pct"/>
          </w:tcPr>
          <w:p w14:paraId="092555B5"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04</w:t>
            </w:r>
          </w:p>
        </w:tc>
        <w:tc>
          <w:tcPr>
            <w:tcW w:w="3806" w:type="pct"/>
          </w:tcPr>
          <w:p w14:paraId="7855A6F7"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Peinture – Sol – Protection murale</w:t>
            </w:r>
          </w:p>
        </w:tc>
      </w:tr>
      <w:tr w:rsidR="00810FD4" w:rsidRPr="00810FD4" w14:paraId="5FC1B171" w14:textId="77777777" w:rsidTr="00187CA5">
        <w:tc>
          <w:tcPr>
            <w:tcW w:w="1194" w:type="pct"/>
          </w:tcPr>
          <w:p w14:paraId="7784679F"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05</w:t>
            </w:r>
          </w:p>
        </w:tc>
        <w:tc>
          <w:tcPr>
            <w:tcW w:w="3806" w:type="pct"/>
          </w:tcPr>
          <w:p w14:paraId="2D8844BC" w14:textId="4D13E887" w:rsidR="00810FD4" w:rsidRPr="00E571F3" w:rsidRDefault="00187CA5" w:rsidP="00187CA5">
            <w:pPr>
              <w:spacing w:line="360" w:lineRule="auto"/>
              <w:rPr>
                <w:rFonts w:ascii="Arial" w:hAnsi="Arial" w:cs="Arial"/>
                <w:strike/>
                <w:sz w:val="20"/>
                <w:szCs w:val="18"/>
              </w:rPr>
            </w:pPr>
            <w:r w:rsidRPr="00E571F3">
              <w:rPr>
                <w:rFonts w:ascii="Arial" w:hAnsi="Arial" w:cs="Arial"/>
                <w:strike/>
                <w:sz w:val="20"/>
                <w:szCs w:val="18"/>
              </w:rPr>
              <w:t>Electricité</w:t>
            </w:r>
          </w:p>
        </w:tc>
      </w:tr>
      <w:tr w:rsidR="00810FD4" w:rsidRPr="00810FD4" w14:paraId="1EA5DEC4" w14:textId="77777777" w:rsidTr="00187CA5">
        <w:tc>
          <w:tcPr>
            <w:tcW w:w="1194" w:type="pct"/>
          </w:tcPr>
          <w:p w14:paraId="24C13164" w14:textId="77777777" w:rsidR="00810FD4" w:rsidRPr="00E571F3" w:rsidRDefault="00810FD4" w:rsidP="00187CA5">
            <w:pPr>
              <w:spacing w:line="360" w:lineRule="auto"/>
              <w:rPr>
                <w:rFonts w:ascii="Arial" w:hAnsi="Arial" w:cs="Arial"/>
                <w:b/>
                <w:bCs/>
                <w:color w:val="FF0000"/>
                <w:sz w:val="20"/>
                <w:szCs w:val="18"/>
              </w:rPr>
            </w:pPr>
            <w:r w:rsidRPr="00E571F3">
              <w:rPr>
                <w:rFonts w:ascii="Arial" w:hAnsi="Arial" w:cs="Arial"/>
                <w:b/>
                <w:bCs/>
                <w:color w:val="FF0000"/>
                <w:sz w:val="20"/>
                <w:szCs w:val="18"/>
              </w:rPr>
              <w:t>06</w:t>
            </w:r>
          </w:p>
        </w:tc>
        <w:tc>
          <w:tcPr>
            <w:tcW w:w="3806" w:type="pct"/>
          </w:tcPr>
          <w:p w14:paraId="22908E0A" w14:textId="77777777" w:rsidR="00810FD4" w:rsidRPr="00E571F3" w:rsidRDefault="00810FD4" w:rsidP="00187CA5">
            <w:pPr>
              <w:spacing w:line="360" w:lineRule="auto"/>
              <w:rPr>
                <w:rFonts w:ascii="Arial" w:hAnsi="Arial" w:cs="Arial"/>
                <w:b/>
                <w:bCs/>
                <w:color w:val="FF0000"/>
                <w:sz w:val="20"/>
                <w:szCs w:val="18"/>
              </w:rPr>
            </w:pPr>
            <w:r w:rsidRPr="00E571F3">
              <w:rPr>
                <w:rFonts w:ascii="Arial" w:hAnsi="Arial" w:cs="Arial"/>
                <w:b/>
                <w:bCs/>
                <w:color w:val="FF0000"/>
                <w:sz w:val="20"/>
                <w:szCs w:val="18"/>
              </w:rPr>
              <w:t>CVC – Plomberie</w:t>
            </w:r>
          </w:p>
        </w:tc>
      </w:tr>
      <w:tr w:rsidR="00810FD4" w:rsidRPr="00810FD4" w14:paraId="3FC293BF" w14:textId="77777777" w:rsidTr="00187CA5">
        <w:tc>
          <w:tcPr>
            <w:tcW w:w="1194" w:type="pct"/>
          </w:tcPr>
          <w:p w14:paraId="5C5FC378"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07</w:t>
            </w:r>
          </w:p>
        </w:tc>
        <w:tc>
          <w:tcPr>
            <w:tcW w:w="3806" w:type="pct"/>
          </w:tcPr>
          <w:p w14:paraId="60DAAA42" w14:textId="77777777" w:rsidR="00810FD4" w:rsidRPr="00E571F3" w:rsidRDefault="00810FD4" w:rsidP="00187CA5">
            <w:pPr>
              <w:spacing w:line="360" w:lineRule="auto"/>
              <w:rPr>
                <w:rFonts w:ascii="Arial" w:hAnsi="Arial" w:cs="Arial"/>
                <w:strike/>
                <w:sz w:val="20"/>
                <w:szCs w:val="18"/>
              </w:rPr>
            </w:pPr>
            <w:r w:rsidRPr="00E571F3">
              <w:rPr>
                <w:rFonts w:ascii="Arial" w:hAnsi="Arial" w:cs="Arial"/>
                <w:strike/>
                <w:sz w:val="20"/>
                <w:szCs w:val="18"/>
              </w:rPr>
              <w:t>Gaz médicaux</w:t>
            </w:r>
          </w:p>
        </w:tc>
      </w:tr>
      <w:bookmarkEnd w:id="7"/>
      <w:bookmarkEnd w:id="8"/>
    </w:tbl>
    <w:p w14:paraId="446EFA4A" w14:textId="77777777" w:rsidR="008E15FA" w:rsidRDefault="008E15FA" w:rsidP="001C0A08">
      <w:pPr>
        <w:spacing w:after="120" w:line="240" w:lineRule="auto"/>
        <w:jc w:val="both"/>
        <w:rPr>
          <w:rFonts w:ascii="Arial" w:hAnsi="Arial" w:cs="Arial"/>
          <w:sz w:val="20"/>
          <w:szCs w:val="20"/>
        </w:rPr>
      </w:pP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9" w:name="_Toc490591513"/>
      <w:bookmarkStart w:id="10" w:name="_Toc194653642"/>
      <w:r w:rsidRPr="00FF0F28">
        <w:rPr>
          <w:rFonts w:eastAsiaTheme="minorHAnsi"/>
        </w:rPr>
        <w:t>Marchés de prestations similaires</w:t>
      </w:r>
      <w:bookmarkEnd w:id="9"/>
      <w:bookmarkEnd w:id="10"/>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1" w:name="__RefHeading___Toc450724295"/>
      <w:bookmarkStart w:id="12" w:name="_Toc490591514"/>
      <w:bookmarkStart w:id="13" w:name="_Toc194653643"/>
      <w:r w:rsidRPr="00FF0F28">
        <w:rPr>
          <w:rFonts w:eastAsiaTheme="minorHAnsi"/>
        </w:rPr>
        <w:t>Définition des parties au contrat</w:t>
      </w:r>
      <w:bookmarkEnd w:id="11"/>
      <w:bookmarkEnd w:id="12"/>
      <w:bookmarkEnd w:id="13"/>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4" w:name="_Toc194653644"/>
      <w:r>
        <w:t>Pouvoir Adjudicateur</w:t>
      </w:r>
      <w:bookmarkEnd w:id="14"/>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5" w:name="_Ref4505652"/>
      <w:bookmarkStart w:id="16" w:name="_Toc194653645"/>
      <w:r>
        <w:t>Titulaire</w:t>
      </w:r>
      <w:bookmarkEnd w:id="15"/>
      <w:bookmarkEnd w:id="16"/>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lastRenderedPageBreak/>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7"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8" w:name="_Ref485990747"/>
      <w:bookmarkStart w:id="19" w:name="_Toc194653646"/>
      <w:r w:rsidRPr="00301E55">
        <w:t>Forme des notifications</w:t>
      </w:r>
      <w:bookmarkEnd w:id="18"/>
      <w:bookmarkEnd w:id="19"/>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20" w:name="_Toc194653647"/>
      <w:r>
        <w:t>Notifications destinées au Titulaire</w:t>
      </w:r>
      <w:bookmarkEnd w:id="20"/>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1" w:name="_Toc194653648"/>
      <w:r w:rsidRPr="003B4C9E">
        <w:rPr>
          <w:lang w:eastAsia="fr-FR"/>
        </w:rPr>
        <w:t xml:space="preserve">Notifications destinées au </w:t>
      </w:r>
      <w:r w:rsidR="003B4C9E">
        <w:rPr>
          <w:lang w:eastAsia="fr-FR"/>
        </w:rPr>
        <w:t>Maitre d’Ouvrage</w:t>
      </w:r>
      <w:bookmarkEnd w:id="21"/>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2" w:name="_Toc194653649"/>
      <w:bookmarkEnd w:id="17"/>
      <w:r>
        <w:t>Acteurs du projet</w:t>
      </w:r>
      <w:bookmarkEnd w:id="22"/>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3" w:name="_Toc490591516"/>
      <w:bookmarkStart w:id="24" w:name="_Ref4498326"/>
      <w:bookmarkStart w:id="25" w:name="_Toc194653650"/>
      <w:r w:rsidRPr="00FF0F28">
        <w:rPr>
          <w:rFonts w:eastAsiaTheme="minorHAnsi"/>
        </w:rPr>
        <w:t>Maîtrise d’ouvrage</w:t>
      </w:r>
      <w:bookmarkEnd w:id="23"/>
      <w:bookmarkEnd w:id="24"/>
      <w:bookmarkEnd w:id="25"/>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lastRenderedPageBreak/>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6" w:name="__RefHeading___Toc450724298"/>
      <w:bookmarkStart w:id="27" w:name="_Toc490591517"/>
      <w:bookmarkStart w:id="28" w:name="_Toc194653651"/>
      <w:r w:rsidRPr="00FF0F28">
        <w:rPr>
          <w:rFonts w:eastAsiaTheme="minorHAnsi"/>
        </w:rPr>
        <w:t>Maîtrise d’œuvre</w:t>
      </w:r>
      <w:bookmarkEnd w:id="26"/>
      <w:bookmarkEnd w:id="27"/>
      <w:bookmarkEnd w:id="28"/>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9" w:name="_Toc490591518"/>
      <w:bookmarkStart w:id="30" w:name="_Toc194653652"/>
      <w:r w:rsidRPr="00FF0F28">
        <w:rPr>
          <w:rFonts w:eastAsiaTheme="minorHAnsi"/>
        </w:rPr>
        <w:t>CSPS</w:t>
      </w:r>
      <w:bookmarkEnd w:id="29"/>
      <w:bookmarkEnd w:id="30"/>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Nom : Faustine BARNAUD</w:t>
      </w:r>
    </w:p>
    <w:p w14:paraId="1CEE0E3F"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faustine.barnaud@qualiconsult.fr</w:t>
        </w:r>
      </w:hyperlink>
      <w:r w:rsidRPr="002A6BF8">
        <w:rPr>
          <w:rStyle w:val="Lienhypertexte"/>
          <w:rFonts w:ascii="Arial" w:hAnsi="Arial" w:cs="Arial"/>
          <w:bCs/>
          <w:sz w:val="20"/>
          <w:szCs w:val="20"/>
        </w:rPr>
        <w:t xml:space="preserve"> </w:t>
      </w:r>
      <w:r w:rsidRPr="002A6BF8">
        <w:rPr>
          <w:rFonts w:ascii="Arial" w:hAnsi="Arial" w:cs="Arial"/>
          <w:bCs/>
          <w:sz w:val="20"/>
          <w:szCs w:val="20"/>
        </w:rPr>
        <w:t>– 07.63.32.80.13</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1" w:name="_Toc194653653"/>
      <w:r w:rsidRPr="003D542B">
        <w:rPr>
          <w:rFonts w:eastAsiaTheme="minorHAnsi"/>
        </w:rPr>
        <w:t>Bureau de contrôle</w:t>
      </w:r>
      <w:bookmarkEnd w:id="31"/>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5"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2" w:name="_Toc490591520"/>
      <w:bookmarkStart w:id="33" w:name="_Toc194653654"/>
      <w:r w:rsidRPr="003D542B">
        <w:rPr>
          <w:rFonts w:eastAsiaTheme="minorHAnsi"/>
        </w:rPr>
        <w:t>CSSI</w:t>
      </w:r>
      <w:bookmarkEnd w:id="32"/>
      <w:bookmarkEnd w:id="33"/>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76E7AFBD"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6"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4" w:name="__RefHeading___Toc450724301"/>
      <w:bookmarkStart w:id="35" w:name="_Toc490591521"/>
      <w:bookmarkStart w:id="36" w:name="_Ref4505715"/>
      <w:bookmarkStart w:id="37" w:name="_Toc194653655"/>
      <w:r w:rsidRPr="00FB2309">
        <w:t>D</w:t>
      </w:r>
      <w:bookmarkEnd w:id="34"/>
      <w:bookmarkEnd w:id="35"/>
      <w:r w:rsidR="00FB2309">
        <w:t>ocuments contractuels</w:t>
      </w:r>
      <w:bookmarkEnd w:id="36"/>
      <w:bookmarkEnd w:id="37"/>
    </w:p>
    <w:p w14:paraId="6C15BE60" w14:textId="1D9BC2BD" w:rsidR="00FF0F28" w:rsidRDefault="00FF0F28" w:rsidP="00314A5D">
      <w:pPr>
        <w:spacing w:before="120" w:after="120" w:line="240" w:lineRule="auto"/>
        <w:jc w:val="both"/>
        <w:rPr>
          <w:rFonts w:ascii="Arial" w:hAnsi="Arial" w:cs="Arial"/>
          <w:sz w:val="20"/>
          <w:szCs w:val="20"/>
        </w:rPr>
      </w:pPr>
      <w:bookmarkStart w:id="38"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0FA2A82D" w14:textId="77777777" w:rsidR="00C95E72" w:rsidRPr="0051279A"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présent acte d’engagement, valant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8"/>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9" w:name="__RefHeading___Toc450724302"/>
      <w:bookmarkStart w:id="40" w:name="_Toc490591522"/>
      <w:bookmarkStart w:id="41" w:name="_Toc194653656"/>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9"/>
      <w:bookmarkEnd w:id="40"/>
      <w:bookmarkEnd w:id="41"/>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2" w:name="__RefHeading___Toc450724303"/>
      <w:bookmarkStart w:id="43" w:name="_Toc490591523"/>
      <w:bookmarkStart w:id="44" w:name="_Toc194653657"/>
      <w:r w:rsidRPr="00FF0F28">
        <w:rPr>
          <w:rFonts w:eastAsiaTheme="minorHAnsi"/>
        </w:rPr>
        <w:t>Répartition des paiements</w:t>
      </w:r>
      <w:bookmarkEnd w:id="42"/>
      <w:bookmarkEnd w:id="43"/>
      <w:bookmarkEnd w:id="44"/>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5" w:name="_Toc490591524"/>
      <w:bookmarkStart w:id="46" w:name="_Toc194653658"/>
      <w:r w:rsidRPr="00FF0F28">
        <w:rPr>
          <w:rFonts w:eastAsiaTheme="minorHAnsi"/>
        </w:rPr>
        <w:t>Contenu des prix, mode d’évaluation des ouvrages et de règlement des comptes</w:t>
      </w:r>
      <w:bookmarkEnd w:id="45"/>
      <w:bookmarkEnd w:id="46"/>
    </w:p>
    <w:p w14:paraId="47252392" w14:textId="6724B487" w:rsidR="004B0C0E" w:rsidRDefault="004B0C0E" w:rsidP="004B0C0E">
      <w:pPr>
        <w:pStyle w:val="Titre3"/>
        <w:rPr>
          <w:rFonts w:eastAsiaTheme="minorHAnsi"/>
        </w:rPr>
      </w:pPr>
      <w:bookmarkStart w:id="47" w:name="_Toc490591526"/>
      <w:bookmarkStart w:id="48" w:name="_Toc194653659"/>
      <w:r w:rsidRPr="004B0C0E">
        <w:rPr>
          <w:rFonts w:eastAsiaTheme="minorHAnsi"/>
        </w:rPr>
        <w:t>Contenu des prix</w:t>
      </w:r>
      <w:bookmarkEnd w:id="48"/>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9" w:name="_Toc194653660"/>
      <w:r w:rsidRPr="00FF0F28">
        <w:rPr>
          <w:rFonts w:eastAsiaTheme="minorHAnsi"/>
        </w:rPr>
        <w:t>Forme des prix</w:t>
      </w:r>
      <w:bookmarkEnd w:id="47"/>
      <w:bookmarkEnd w:id="49"/>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50" w:name="_Toc490591527"/>
      <w:bookmarkStart w:id="51" w:name="_Toc194653661"/>
      <w:r w:rsidRPr="00FF0F28">
        <w:rPr>
          <w:rFonts w:eastAsiaTheme="minorHAnsi"/>
        </w:rPr>
        <w:lastRenderedPageBreak/>
        <w:t>Mode d’évaluation des ouvrages</w:t>
      </w:r>
      <w:bookmarkEnd w:id="50"/>
      <w:bookmarkEnd w:id="51"/>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2" w:name="_Toc490591528"/>
      <w:bookmarkStart w:id="53" w:name="_Ref151467666"/>
      <w:bookmarkStart w:id="54" w:name="_Toc194653662"/>
      <w:r w:rsidRPr="00FF0F28">
        <w:rPr>
          <w:rFonts w:eastAsiaTheme="minorHAnsi"/>
        </w:rPr>
        <w:t>Variation dans les prix</w:t>
      </w:r>
      <w:bookmarkEnd w:id="52"/>
      <w:bookmarkEnd w:id="53"/>
      <w:bookmarkEnd w:id="54"/>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7D94560D"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lastRenderedPageBreak/>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7F396C" w:rsidRPr="00740ADE" w14:paraId="0139AAE0"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5B63EBC3" w14:textId="69A7CD53"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810FD4">
              <w:rPr>
                <w:rFonts w:ascii="Arial" w:hAnsi="Arial" w:cs="Arial"/>
                <w:sz w:val="20"/>
                <w:szCs w:val="18"/>
              </w:rPr>
              <w:t>6</w:t>
            </w:r>
          </w:p>
        </w:tc>
        <w:tc>
          <w:tcPr>
            <w:tcW w:w="3100" w:type="dxa"/>
            <w:tcBorders>
              <w:top w:val="single" w:sz="4" w:space="0" w:color="auto"/>
              <w:left w:val="single" w:sz="4" w:space="0" w:color="auto"/>
              <w:bottom w:val="single" w:sz="4" w:space="0" w:color="auto"/>
              <w:right w:val="single" w:sz="4" w:space="0" w:color="auto"/>
            </w:tcBorders>
          </w:tcPr>
          <w:p w14:paraId="23587846" w14:textId="6E77BED0" w:rsidR="007F396C" w:rsidRPr="00740ADE" w:rsidRDefault="007F396C" w:rsidP="007F396C">
            <w:pPr>
              <w:rPr>
                <w:rFonts w:ascii="Arial" w:hAnsi="Arial" w:cs="Arial"/>
                <w:sz w:val="20"/>
                <w:szCs w:val="20"/>
              </w:rPr>
            </w:pPr>
            <w:r w:rsidRPr="00740ADE">
              <w:rPr>
                <w:rFonts w:ascii="Arial" w:hAnsi="Arial" w:cs="Arial"/>
                <w:sz w:val="20"/>
                <w:szCs w:val="18"/>
              </w:rPr>
              <w:t>CVC – Plomberie</w:t>
            </w:r>
          </w:p>
        </w:tc>
        <w:tc>
          <w:tcPr>
            <w:tcW w:w="2970" w:type="dxa"/>
            <w:tcBorders>
              <w:top w:val="single" w:sz="4" w:space="0" w:color="auto"/>
              <w:left w:val="single" w:sz="4" w:space="0" w:color="auto"/>
              <w:bottom w:val="single" w:sz="4" w:space="0" w:color="auto"/>
              <w:right w:val="single" w:sz="4" w:space="0" w:color="auto"/>
            </w:tcBorders>
          </w:tcPr>
          <w:p w14:paraId="140AE681" w14:textId="7D2C8184" w:rsidR="007F396C" w:rsidRPr="00740ADE" w:rsidRDefault="00BA2D5A" w:rsidP="007F396C">
            <w:pPr>
              <w:rPr>
                <w:rFonts w:ascii="Arial" w:hAnsi="Arial" w:cs="Arial"/>
                <w:sz w:val="20"/>
                <w:szCs w:val="20"/>
              </w:rPr>
            </w:pPr>
            <w:r w:rsidRPr="00740ADE">
              <w:rPr>
                <w:rFonts w:ascii="Arial" w:hAnsi="Arial" w:cs="Arial"/>
                <w:sz w:val="20"/>
                <w:szCs w:val="20"/>
              </w:rPr>
              <w:t>BT38</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5" w:name="__RefHeading___Toc450724310"/>
      <w:bookmarkStart w:id="56" w:name="_Toc490591529"/>
      <w:bookmarkStart w:id="57" w:name="_Toc194653663"/>
      <w:r w:rsidRPr="00FF0F28">
        <w:rPr>
          <w:rFonts w:eastAsiaTheme="minorHAnsi"/>
        </w:rPr>
        <w:t>Modalités de règlement des comptes</w:t>
      </w:r>
      <w:bookmarkEnd w:id="55"/>
      <w:bookmarkEnd w:id="56"/>
      <w:bookmarkEnd w:id="57"/>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8" w:name="_Toc490591530"/>
      <w:bookmarkStart w:id="59" w:name="_Toc194653664"/>
      <w:r w:rsidRPr="00FF0F28">
        <w:rPr>
          <w:rFonts w:eastAsiaTheme="minorHAnsi"/>
        </w:rPr>
        <w:t>Avance</w:t>
      </w:r>
      <w:bookmarkEnd w:id="58"/>
      <w:bookmarkEnd w:id="59"/>
    </w:p>
    <w:p w14:paraId="742926F2" w14:textId="77777777" w:rsidR="00FF0F28" w:rsidRPr="00FF0F28" w:rsidRDefault="00FF0F28" w:rsidP="004B0C0E">
      <w:pPr>
        <w:pStyle w:val="Titre3"/>
        <w:rPr>
          <w:rFonts w:eastAsiaTheme="minorHAnsi"/>
        </w:rPr>
      </w:pPr>
      <w:bookmarkStart w:id="60" w:name="_Toc490591531"/>
      <w:bookmarkStart w:id="61" w:name="_Toc194653665"/>
      <w:r w:rsidRPr="00FF0F28">
        <w:rPr>
          <w:rFonts w:eastAsiaTheme="minorHAnsi"/>
        </w:rPr>
        <w:t>Dispositions générales</w:t>
      </w:r>
      <w:bookmarkEnd w:id="60"/>
      <w:bookmarkEnd w:id="61"/>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2" w:name="_Toc490591532"/>
      <w:bookmarkStart w:id="63" w:name="_Toc194653666"/>
      <w:r w:rsidRPr="00FF0F28">
        <w:rPr>
          <w:rFonts w:eastAsiaTheme="minorHAnsi"/>
        </w:rPr>
        <w:t>Montant de l’avance</w:t>
      </w:r>
      <w:bookmarkEnd w:id="62"/>
      <w:bookmarkEnd w:id="63"/>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lastRenderedPageBreak/>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4" w:name="_Ref453694783"/>
      <w:bookmarkStart w:id="65" w:name="_Toc490591533"/>
      <w:bookmarkStart w:id="66" w:name="_Toc194653667"/>
      <w:r w:rsidRPr="00FF0F28">
        <w:rPr>
          <w:rFonts w:eastAsiaTheme="minorHAnsi"/>
        </w:rPr>
        <w:t>Projets de décomptes mensuels, acomptes et décomptes finaux</w:t>
      </w:r>
      <w:bookmarkEnd w:id="64"/>
      <w:bookmarkEnd w:id="65"/>
      <w:bookmarkEnd w:id="66"/>
    </w:p>
    <w:p w14:paraId="43CADEBA" w14:textId="62D5963C" w:rsidR="00436E80" w:rsidRPr="00436E80" w:rsidRDefault="00FF0F28" w:rsidP="004B0C0E">
      <w:pPr>
        <w:pStyle w:val="Titre3"/>
        <w:rPr>
          <w:rFonts w:eastAsiaTheme="minorHAnsi"/>
        </w:rPr>
      </w:pPr>
      <w:bookmarkStart w:id="67" w:name="_Toc194653668"/>
      <w:r w:rsidRPr="00FF0F28">
        <w:rPr>
          <w:rFonts w:eastAsiaTheme="minorHAnsi"/>
        </w:rPr>
        <w:t>Les projets de décomptes mensuels et acomptes mensuels</w:t>
      </w:r>
      <w:bookmarkEnd w:id="67"/>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8" w:name="_Ref453694672"/>
      <w:bookmarkStart w:id="69" w:name="_Toc194653669"/>
      <w:r w:rsidRPr="00FF0F28">
        <w:rPr>
          <w:rFonts w:eastAsiaTheme="minorHAnsi"/>
        </w:rPr>
        <w:t>Les décomptes finaux</w:t>
      </w:r>
      <w:bookmarkEnd w:id="68"/>
      <w:bookmarkEnd w:id="69"/>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70" w:name="_Toc469492065"/>
      <w:bookmarkStart w:id="71" w:name="_Toc469492605"/>
      <w:bookmarkStart w:id="72" w:name="_Toc194653670"/>
      <w:r>
        <w:t>Transmission</w:t>
      </w:r>
      <w:r w:rsidR="00436E80" w:rsidRPr="004B0C0E">
        <w:t xml:space="preserve"> des </w:t>
      </w:r>
      <w:bookmarkEnd w:id="70"/>
      <w:bookmarkEnd w:id="71"/>
      <w:r>
        <w:t>décomptes</w:t>
      </w:r>
      <w:bookmarkEnd w:id="72"/>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7"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3" w:name="_Toc194653671"/>
      <w:r>
        <w:t>Délais de paiements</w:t>
      </w:r>
      <w:bookmarkEnd w:id="73"/>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4" w:name="_Toc490591535"/>
      <w:bookmarkStart w:id="75" w:name="_Toc194653672"/>
      <w:r w:rsidRPr="00FF0F28">
        <w:rPr>
          <w:rFonts w:eastAsiaTheme="minorHAnsi"/>
        </w:rPr>
        <w:t>Intérêts moratoires et indemnité forfaitaire pour frais de recouvrement</w:t>
      </w:r>
      <w:bookmarkEnd w:id="74"/>
      <w:bookmarkEnd w:id="75"/>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6" w:name="__RefHeading___Toc450724315"/>
      <w:bookmarkStart w:id="77" w:name="_Toc490591536"/>
      <w:bookmarkStart w:id="78" w:name="_Toc194653673"/>
      <w:r>
        <w:lastRenderedPageBreak/>
        <w:t>Clause de financement et de sû</w:t>
      </w:r>
      <w:r w:rsidRPr="00AA2663">
        <w:t>ret</w:t>
      </w:r>
      <w:bookmarkEnd w:id="76"/>
      <w:bookmarkEnd w:id="77"/>
      <w:r>
        <w:t>é</w:t>
      </w:r>
      <w:bookmarkEnd w:id="78"/>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9" w:name="_Toc194653674"/>
      <w:r>
        <w:t>Délais d’exécution et pénalités</w:t>
      </w:r>
      <w:bookmarkEnd w:id="79"/>
    </w:p>
    <w:p w14:paraId="726A439D" w14:textId="2AF1D383" w:rsidR="00FF0F28" w:rsidRPr="00FF0F28" w:rsidRDefault="00FF0F28" w:rsidP="00314A5D">
      <w:pPr>
        <w:pStyle w:val="Titre2"/>
        <w:spacing w:line="240" w:lineRule="auto"/>
        <w:rPr>
          <w:rFonts w:eastAsiaTheme="minorHAnsi"/>
        </w:rPr>
      </w:pPr>
      <w:bookmarkStart w:id="80" w:name="__RefHeading___Toc450724317"/>
      <w:bookmarkStart w:id="81" w:name="_Ref478458977"/>
      <w:bookmarkStart w:id="82" w:name="_Toc490591539"/>
      <w:bookmarkStart w:id="83" w:name="_Toc194653675"/>
      <w:r w:rsidRPr="00FF0F28">
        <w:rPr>
          <w:rFonts w:eastAsiaTheme="minorHAnsi"/>
        </w:rPr>
        <w:t>Délai(s) d’exécution des travaux</w:t>
      </w:r>
      <w:bookmarkEnd w:id="80"/>
      <w:bookmarkEnd w:id="81"/>
      <w:bookmarkEnd w:id="82"/>
      <w:bookmarkEnd w:id="83"/>
    </w:p>
    <w:p w14:paraId="71B0DDA3" w14:textId="3E74A514"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E571F3">
        <w:rPr>
          <w:rFonts w:ascii="Arial" w:hAnsi="Arial" w:cs="Arial"/>
          <w:b/>
          <w:sz w:val="20"/>
          <w:szCs w:val="20"/>
        </w:rPr>
        <w:t>6</w:t>
      </w:r>
      <w:r w:rsidR="003340E1">
        <w:rPr>
          <w:rFonts w:ascii="Arial" w:hAnsi="Arial" w:cs="Arial"/>
          <w:b/>
          <w:sz w:val="20"/>
          <w:szCs w:val="20"/>
        </w:rPr>
        <w:t xml:space="preserve"> MOIS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3F152E23"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7F396C">
        <w:rPr>
          <w:rFonts w:ascii="Arial" w:hAnsi="Arial" w:cs="Arial"/>
          <w:b/>
          <w:sz w:val="20"/>
          <w:szCs w:val="20"/>
        </w:rPr>
        <w:t>1 MOIS</w:t>
      </w:r>
      <w:r w:rsidRPr="009E5BA7">
        <w:rPr>
          <w:rFonts w:ascii="Arial" w:hAnsi="Arial" w:cs="Arial"/>
          <w:sz w:val="20"/>
          <w:szCs w:val="20"/>
        </w:rPr>
        <w:t xml:space="preserve"> </w:t>
      </w:r>
    </w:p>
    <w:p w14:paraId="0FAA4395" w14:textId="7E0C23EB"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E571F3">
        <w:rPr>
          <w:rFonts w:ascii="Arial" w:hAnsi="Arial" w:cs="Arial"/>
          <w:b/>
          <w:sz w:val="20"/>
          <w:szCs w:val="20"/>
        </w:rPr>
        <w:t>5</w:t>
      </w:r>
      <w:r w:rsidR="00EE7372">
        <w:rPr>
          <w:rFonts w:ascii="Arial" w:hAnsi="Arial" w:cs="Arial"/>
          <w:b/>
          <w:sz w:val="20"/>
          <w:szCs w:val="20"/>
        </w:rPr>
        <w:t xml:space="preserve"> </w:t>
      </w:r>
      <w:r w:rsidR="007F396C">
        <w:rPr>
          <w:rFonts w:ascii="Arial" w:hAnsi="Arial" w:cs="Arial"/>
          <w:b/>
          <w:sz w:val="20"/>
          <w:szCs w:val="20"/>
        </w:rPr>
        <w:t>MOIS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4" w:name="_Toc490591540"/>
      <w:bookmarkStart w:id="85" w:name="_Toc194653676"/>
      <w:r w:rsidRPr="00FF0F28">
        <w:rPr>
          <w:rFonts w:eastAsiaTheme="minorHAnsi"/>
        </w:rPr>
        <w:t>Prolongation des délais d'exécution</w:t>
      </w:r>
      <w:bookmarkEnd w:id="84"/>
      <w:r w:rsidR="00BB1B4F">
        <w:rPr>
          <w:rFonts w:eastAsiaTheme="minorHAnsi"/>
        </w:rPr>
        <w:t xml:space="preserve"> pour intempéries</w:t>
      </w:r>
      <w:bookmarkEnd w:id="85"/>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6" w:name="__RefHeading___Toc450724320"/>
      <w:bookmarkStart w:id="87" w:name="_Toc490591541"/>
      <w:bookmarkStart w:id="88" w:name="_Toc194653677"/>
      <w:r w:rsidRPr="00FF0F28">
        <w:rPr>
          <w:rFonts w:eastAsiaTheme="minorHAnsi"/>
        </w:rPr>
        <w:t>Pénalités</w:t>
      </w:r>
      <w:bookmarkEnd w:id="86"/>
      <w:bookmarkEnd w:id="87"/>
      <w:bookmarkEnd w:id="88"/>
    </w:p>
    <w:p w14:paraId="733BC09E" w14:textId="77777777" w:rsidR="00FF0F28" w:rsidRPr="00FF0F28" w:rsidRDefault="00FF0F28" w:rsidP="00314A5D">
      <w:pPr>
        <w:pStyle w:val="Titre3"/>
        <w:spacing w:line="240" w:lineRule="auto"/>
        <w:rPr>
          <w:rFonts w:eastAsiaTheme="minorHAnsi"/>
        </w:rPr>
      </w:pPr>
      <w:bookmarkStart w:id="89" w:name="_Toc490591542"/>
      <w:bookmarkStart w:id="90" w:name="_Toc194653678"/>
      <w:r w:rsidRPr="00FF0F28">
        <w:rPr>
          <w:rFonts w:eastAsiaTheme="minorHAnsi"/>
        </w:rPr>
        <w:t>Pénalités pour retard ou absence</w:t>
      </w:r>
      <w:bookmarkEnd w:id="89"/>
      <w:bookmarkEnd w:id="90"/>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1"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1"/>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2"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2"/>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lastRenderedPageBreak/>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3" w:name="_Toc490591543"/>
      <w:bookmarkStart w:id="94" w:name="_Toc194653679"/>
      <w:r w:rsidRPr="00FF0F28">
        <w:rPr>
          <w:rFonts w:eastAsiaTheme="minorHAnsi"/>
        </w:rPr>
        <w:t>Pénalités pour infractions aux prescriptions de chantier</w:t>
      </w:r>
      <w:bookmarkEnd w:id="93"/>
      <w:bookmarkEnd w:id="94"/>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5" w:name="_Toc490591544"/>
      <w:bookmarkStart w:id="96" w:name="_Toc194653680"/>
      <w:r w:rsidRPr="00FF0F28">
        <w:rPr>
          <w:rFonts w:eastAsiaTheme="minorHAnsi"/>
        </w:rPr>
        <w:t>Pénalités particulières</w:t>
      </w:r>
      <w:bookmarkEnd w:id="95"/>
      <w:bookmarkEnd w:id="96"/>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7" w:name="_Toc490591545"/>
      <w:bookmarkStart w:id="98" w:name="_Toc194653681"/>
      <w:r w:rsidRPr="00FF0F28">
        <w:rPr>
          <w:rFonts w:eastAsiaTheme="minorHAnsi"/>
        </w:rPr>
        <w:t>Pénalités pour retard dans le repliement des installations de chantier et remise en état des lieux</w:t>
      </w:r>
      <w:bookmarkEnd w:id="97"/>
      <w:bookmarkEnd w:id="98"/>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9" w:name="_Toc490591546"/>
      <w:bookmarkStart w:id="100" w:name="_Toc194653682"/>
      <w:r w:rsidRPr="00FF0F28">
        <w:rPr>
          <w:rFonts w:eastAsiaTheme="minorHAnsi"/>
        </w:rPr>
        <w:t>Modalités d’application des pénalités</w:t>
      </w:r>
      <w:bookmarkEnd w:id="99"/>
      <w:bookmarkEnd w:id="100"/>
    </w:p>
    <w:p w14:paraId="5C698ACE" w14:textId="0E2BAA7D" w:rsidR="00FF0F28" w:rsidRDefault="00FF0F28" w:rsidP="00314A5D">
      <w:pPr>
        <w:spacing w:before="120" w:after="120" w:line="240" w:lineRule="auto"/>
        <w:jc w:val="both"/>
        <w:rPr>
          <w:rFonts w:ascii="Arial" w:hAnsi="Arial" w:cs="Arial"/>
          <w:sz w:val="20"/>
          <w:szCs w:val="20"/>
        </w:rPr>
      </w:pPr>
      <w:bookmarkStart w:id="101"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2" w:name="_Toc194653683"/>
      <w:bookmarkEnd w:id="101"/>
      <w:r>
        <w:lastRenderedPageBreak/>
        <w:t>Modalités générales d’exécution</w:t>
      </w:r>
      <w:bookmarkEnd w:id="102"/>
    </w:p>
    <w:p w14:paraId="189DFCCB" w14:textId="77777777" w:rsidR="00FF0F28" w:rsidRPr="00FF0F28" w:rsidRDefault="00FF0F28" w:rsidP="00314A5D">
      <w:pPr>
        <w:pStyle w:val="Titre2"/>
        <w:spacing w:line="240" w:lineRule="auto"/>
        <w:rPr>
          <w:rFonts w:eastAsiaTheme="minorHAnsi"/>
        </w:rPr>
      </w:pPr>
      <w:bookmarkStart w:id="103" w:name="_Toc490591548"/>
      <w:bookmarkStart w:id="104" w:name="_Toc194653684"/>
      <w:r w:rsidRPr="00FF0F28">
        <w:rPr>
          <w:rFonts w:eastAsiaTheme="minorHAnsi"/>
        </w:rPr>
        <w:t>Réglementation en vigueur</w:t>
      </w:r>
      <w:bookmarkEnd w:id="103"/>
      <w:bookmarkEnd w:id="104"/>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5" w:name="_Toc490591549"/>
      <w:bookmarkStart w:id="106" w:name="_Toc194653685"/>
      <w:r w:rsidRPr="00FF0F28">
        <w:rPr>
          <w:rFonts w:eastAsiaTheme="minorHAnsi"/>
        </w:rPr>
        <w:t>Etat et connaissance du site</w:t>
      </w:r>
      <w:bookmarkEnd w:id="105"/>
      <w:bookmarkEnd w:id="106"/>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7" w:name="_Ref453695674"/>
      <w:bookmarkStart w:id="108" w:name="_Toc490591550"/>
      <w:bookmarkStart w:id="109" w:name="_Toc194653686"/>
      <w:r w:rsidRPr="00FF0F28">
        <w:rPr>
          <w:rFonts w:eastAsiaTheme="minorHAnsi"/>
        </w:rPr>
        <w:t>Ordres de service</w:t>
      </w:r>
      <w:bookmarkEnd w:id="107"/>
      <w:bookmarkEnd w:id="108"/>
      <w:bookmarkEnd w:id="109"/>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10"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10"/>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 notification des ordres de service étant faite dans les conditions de l’article 3.1 du CCAG/Travaux, l’accusé de réception détenu par le Maître d’œuvre, qu’il soit postal ou électronique, fait seul foi.</w:t>
      </w:r>
    </w:p>
    <w:p w14:paraId="10F7B9DD" w14:textId="0F59028A" w:rsidR="00FF0F28" w:rsidRPr="00FF0F28" w:rsidRDefault="00FF0F28" w:rsidP="00314A5D">
      <w:pPr>
        <w:pStyle w:val="Titre2"/>
        <w:spacing w:line="240" w:lineRule="auto"/>
        <w:rPr>
          <w:rFonts w:eastAsiaTheme="minorHAnsi"/>
        </w:rPr>
      </w:pPr>
      <w:bookmarkStart w:id="111" w:name="_Toc490591551"/>
      <w:bookmarkStart w:id="112" w:name="_Toc194653687"/>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1"/>
      <w:bookmarkEnd w:id="112"/>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3" w:name="__RefHeading___Toc450724331"/>
      <w:bookmarkStart w:id="114" w:name="_Toc490591552"/>
      <w:bookmarkStart w:id="115" w:name="_Toc194653688"/>
      <w:r w:rsidRPr="00FF0F28">
        <w:rPr>
          <w:rFonts w:eastAsiaTheme="minorHAnsi"/>
        </w:rPr>
        <w:lastRenderedPageBreak/>
        <w:t>Sous-traitan</w:t>
      </w:r>
      <w:bookmarkEnd w:id="113"/>
      <w:bookmarkEnd w:id="114"/>
      <w:r w:rsidR="00FF0B5F">
        <w:rPr>
          <w:rFonts w:eastAsiaTheme="minorHAnsi"/>
        </w:rPr>
        <w:t>ce</w:t>
      </w:r>
      <w:bookmarkEnd w:id="115"/>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d’auto-liquidation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6" w:name="_Ref453695680"/>
      <w:bookmarkStart w:id="117" w:name="_Toc490591553"/>
      <w:bookmarkStart w:id="118" w:name="_Toc194653689"/>
      <w:r w:rsidRPr="00FF0F28">
        <w:rPr>
          <w:rFonts w:eastAsiaTheme="minorHAnsi"/>
        </w:rPr>
        <w:t>Protection de la main d’œuvre et des conditions de travail</w:t>
      </w:r>
      <w:bookmarkEnd w:id="116"/>
      <w:bookmarkEnd w:id="117"/>
      <w:bookmarkEnd w:id="118"/>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9" w:name="_Ref453695685"/>
      <w:bookmarkStart w:id="120" w:name="_Toc490591554"/>
      <w:bookmarkStart w:id="121" w:name="_Toc194653690"/>
      <w:r w:rsidRPr="00FF0F28">
        <w:rPr>
          <w:rFonts w:eastAsiaTheme="minorHAnsi"/>
        </w:rPr>
        <w:lastRenderedPageBreak/>
        <w:t>Protection de l’environnement</w:t>
      </w:r>
      <w:bookmarkEnd w:id="119"/>
      <w:bookmarkEnd w:id="120"/>
      <w:bookmarkEnd w:id="121"/>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2" w:name="_Toc490591555"/>
      <w:bookmarkStart w:id="123" w:name="_Toc194653691"/>
      <w:r w:rsidRPr="00FF0F28">
        <w:rPr>
          <w:rFonts w:eastAsiaTheme="minorHAnsi"/>
        </w:rPr>
        <w:t xml:space="preserve">Dispositions relatives à la lutte contre le travail </w:t>
      </w:r>
      <w:bookmarkEnd w:id="122"/>
      <w:r w:rsidR="00FF0B5F">
        <w:rPr>
          <w:rFonts w:eastAsiaTheme="minorHAnsi"/>
        </w:rPr>
        <w:t>illégal</w:t>
      </w:r>
      <w:bookmarkEnd w:id="123"/>
    </w:p>
    <w:p w14:paraId="66FD4FFE" w14:textId="77777777" w:rsidR="00FF0F28" w:rsidRPr="00FF0F28" w:rsidRDefault="00FF0F28" w:rsidP="00314A5D">
      <w:pPr>
        <w:pStyle w:val="Titre3"/>
        <w:spacing w:line="240" w:lineRule="auto"/>
        <w:rPr>
          <w:rFonts w:eastAsiaTheme="minorHAnsi"/>
        </w:rPr>
      </w:pPr>
      <w:bookmarkStart w:id="124" w:name="_Toc194653692"/>
      <w:r w:rsidRPr="00FF0F28">
        <w:rPr>
          <w:rFonts w:eastAsiaTheme="minorHAnsi"/>
        </w:rPr>
        <w:t>Obligation d’identification des travailleurs</w:t>
      </w:r>
      <w:bookmarkEnd w:id="124"/>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5" w:name="_Toc194653693"/>
      <w:r w:rsidRPr="00FF0F28">
        <w:rPr>
          <w:rFonts w:eastAsiaTheme="minorHAnsi"/>
        </w:rPr>
        <w:t>Lutte contre le travail dissimulé</w:t>
      </w:r>
      <w:bookmarkEnd w:id="125"/>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6" w:name="_Toc194653694"/>
      <w:r w:rsidRPr="00FF0F28">
        <w:rPr>
          <w:rFonts w:eastAsiaTheme="minorHAnsi"/>
        </w:rPr>
        <w:t>Emploi de travailleurs étrangers ou détachés</w:t>
      </w:r>
      <w:bookmarkEnd w:id="126"/>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7" w:name="__RefHeading___Toc450724335"/>
      <w:bookmarkStart w:id="128" w:name="_Toc490591556"/>
      <w:bookmarkStart w:id="129" w:name="_Toc194653695"/>
      <w:r>
        <w:rPr>
          <w:rFonts w:eastAsiaTheme="minorHAnsi"/>
        </w:rPr>
        <w:t>Provenance, qualité, contrôle et prise en charge des matériaux et produits</w:t>
      </w:r>
      <w:bookmarkEnd w:id="127"/>
      <w:bookmarkEnd w:id="128"/>
      <w:bookmarkEnd w:id="129"/>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30" w:name="__RefHeading___Toc450724336"/>
      <w:bookmarkStart w:id="131" w:name="_Toc490591557"/>
      <w:bookmarkStart w:id="132" w:name="_Toc194653696"/>
      <w:r>
        <w:rPr>
          <w:rFonts w:eastAsiaTheme="minorHAnsi"/>
        </w:rPr>
        <w:lastRenderedPageBreak/>
        <w:t>Préparation, coordination et exécution des travaux</w:t>
      </w:r>
      <w:bookmarkEnd w:id="130"/>
      <w:bookmarkEnd w:id="131"/>
      <w:bookmarkEnd w:id="132"/>
    </w:p>
    <w:p w14:paraId="7788C7DA" w14:textId="1745734F" w:rsidR="00FF0F28" w:rsidRPr="00FF0F28" w:rsidRDefault="00FF0F28" w:rsidP="00314A5D">
      <w:pPr>
        <w:pStyle w:val="Titre2"/>
        <w:spacing w:line="240" w:lineRule="auto"/>
        <w:rPr>
          <w:rFonts w:eastAsiaTheme="minorHAnsi"/>
        </w:rPr>
      </w:pPr>
      <w:bookmarkStart w:id="133" w:name="__RefHeading___Toc450724337"/>
      <w:bookmarkStart w:id="134" w:name="_Toc490591558"/>
      <w:bookmarkStart w:id="135" w:name="_Toc194653697"/>
      <w:r w:rsidRPr="00FF0F28">
        <w:rPr>
          <w:rFonts w:eastAsiaTheme="minorHAnsi"/>
        </w:rPr>
        <w:t>Période de préparation</w:t>
      </w:r>
      <w:bookmarkEnd w:id="133"/>
      <w:bookmarkEnd w:id="134"/>
      <w:bookmarkEnd w:id="135"/>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6"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6"/>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7" w:name="_Toc490591559"/>
      <w:bookmarkStart w:id="138" w:name="_Toc194653698"/>
      <w:r w:rsidRPr="00FF0F28">
        <w:rPr>
          <w:rFonts w:eastAsiaTheme="minorHAnsi"/>
        </w:rPr>
        <w:t>Plans d’exécution, notes de calculs, études de détail, de synthèse et autres</w:t>
      </w:r>
      <w:bookmarkEnd w:id="137"/>
      <w:bookmarkEnd w:id="138"/>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9" w:name="__RefHeading___Toc450724340"/>
      <w:bookmarkStart w:id="140"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1" w:name="_Toc194653699"/>
      <w:r w:rsidRPr="00FF0F28">
        <w:rPr>
          <w:rFonts w:eastAsiaTheme="minorHAnsi"/>
        </w:rPr>
        <w:t>Organisation - Hygiène et sécurité des chantiers</w:t>
      </w:r>
      <w:bookmarkEnd w:id="139"/>
      <w:bookmarkEnd w:id="140"/>
      <w:bookmarkEnd w:id="141"/>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2" w:name="_Toc194653700"/>
      <w:r>
        <w:rPr>
          <w:rFonts w:eastAsiaTheme="minorHAnsi"/>
        </w:rPr>
        <w:t>Risques particuliers</w:t>
      </w:r>
      <w:bookmarkEnd w:id="142"/>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l’IUCT-Oncopôle,</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lastRenderedPageBreak/>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3" w:name="_Toc490591561"/>
      <w:bookmarkStart w:id="144" w:name="_Toc194653701"/>
      <w:r w:rsidRPr="00FF0F28">
        <w:rPr>
          <w:rFonts w:eastAsiaTheme="minorHAnsi"/>
        </w:rPr>
        <w:t>Interventions en site occupé et en exploitation</w:t>
      </w:r>
      <w:bookmarkEnd w:id="143"/>
      <w:bookmarkEnd w:id="144"/>
    </w:p>
    <w:p w14:paraId="3FEB672E" w14:textId="77777777" w:rsidR="00FF0F28" w:rsidRPr="00FF0F28" w:rsidRDefault="00FF0F28" w:rsidP="00314A5D">
      <w:pPr>
        <w:pStyle w:val="Titre3"/>
        <w:spacing w:line="240" w:lineRule="auto"/>
        <w:rPr>
          <w:rFonts w:eastAsiaTheme="minorHAnsi"/>
        </w:rPr>
      </w:pPr>
      <w:bookmarkStart w:id="145" w:name="_Toc490591562"/>
      <w:bookmarkStart w:id="146" w:name="_Toc194653702"/>
      <w:r w:rsidRPr="00FF0F28">
        <w:rPr>
          <w:rFonts w:eastAsiaTheme="minorHAnsi"/>
        </w:rPr>
        <w:t>Demandes de coupures de réseaux</w:t>
      </w:r>
      <w:bookmarkEnd w:id="145"/>
      <w:bookmarkEnd w:id="146"/>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7" w:name="_Toc490591563"/>
      <w:bookmarkStart w:id="148" w:name="_Toc194653703"/>
      <w:r w:rsidRPr="00FF0F28">
        <w:rPr>
          <w:rFonts w:eastAsiaTheme="minorHAnsi"/>
        </w:rPr>
        <w:t>Basculement des installations avec coupure sur le réseau électrique</w:t>
      </w:r>
      <w:bookmarkEnd w:id="147"/>
      <w:bookmarkEnd w:id="148"/>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9" w:name="_Toc490591564"/>
      <w:bookmarkStart w:id="150" w:name="_Toc194653704"/>
      <w:r w:rsidRPr="00FF0F28">
        <w:rPr>
          <w:rFonts w:eastAsiaTheme="minorHAnsi"/>
        </w:rPr>
        <w:t>Réalisation d’essais impactant le fonctionnement hospitalier</w:t>
      </w:r>
      <w:bookmarkEnd w:id="149"/>
      <w:bookmarkEnd w:id="150"/>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1" w:name="_Hlk139552731"/>
      <w:bookmarkStart w:id="152" w:name="_Toc194653705"/>
      <w:r>
        <w:t>Clause sociale d’insertion obligatoire</w:t>
      </w:r>
      <w:bookmarkEnd w:id="152"/>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3" w:name="__RefHeading___Toc450724345"/>
      <w:bookmarkStart w:id="154" w:name="_Toc194653706"/>
      <w:r>
        <w:rPr>
          <w:rFonts w:eastAsiaTheme="minorHAnsi"/>
        </w:rPr>
        <w:t>Autres obligations du Titulaire</w:t>
      </w:r>
      <w:bookmarkEnd w:id="154"/>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5" w:name="_Toc194653707"/>
      <w:r w:rsidR="00917966">
        <w:rPr>
          <w:rFonts w:eastAsiaTheme="minorHAnsi"/>
        </w:rPr>
        <w:t>Changements affectant le Titulaire</w:t>
      </w:r>
      <w:bookmarkEnd w:id="155"/>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6" w:name="_Toc469492295"/>
      <w:r w:rsidRPr="00FF0F28">
        <w:rPr>
          <w:rFonts w:eastAsiaTheme="minorHAnsi"/>
        </w:rPr>
        <w:t xml:space="preserve"> </w:t>
      </w:r>
      <w:bookmarkStart w:id="157" w:name="_Toc490591567"/>
      <w:bookmarkStart w:id="158" w:name="_Toc194653708"/>
      <w:r w:rsidRPr="00FF0F28">
        <w:rPr>
          <w:rFonts w:eastAsiaTheme="minorHAnsi"/>
        </w:rPr>
        <w:t>Discrétion et confidentialité</w:t>
      </w:r>
      <w:bookmarkEnd w:id="157"/>
      <w:bookmarkEnd w:id="158"/>
    </w:p>
    <w:bookmarkEnd w:id="156"/>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9" w:name="_Toc469492296"/>
      <w:r w:rsidRPr="00FF0F28">
        <w:rPr>
          <w:rFonts w:eastAsiaTheme="minorHAnsi"/>
        </w:rPr>
        <w:t xml:space="preserve"> </w:t>
      </w:r>
      <w:bookmarkStart w:id="160" w:name="_Toc490591568"/>
      <w:bookmarkStart w:id="161" w:name="_Toc194653709"/>
      <w:r w:rsidRPr="00FF0F28">
        <w:rPr>
          <w:rFonts w:eastAsiaTheme="minorHAnsi"/>
        </w:rPr>
        <w:t>Obligation de sécurité</w:t>
      </w:r>
      <w:bookmarkEnd w:id="160"/>
      <w:bookmarkEnd w:id="161"/>
    </w:p>
    <w:bookmarkEnd w:id="159"/>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2" w:name="_Toc469492297"/>
      <w:r w:rsidRPr="00FF0F28">
        <w:rPr>
          <w:rFonts w:eastAsiaTheme="minorHAnsi"/>
        </w:rPr>
        <w:t xml:space="preserve"> </w:t>
      </w:r>
      <w:bookmarkStart w:id="163" w:name="_Toc490591569"/>
      <w:bookmarkStart w:id="164" w:name="_Toc194653710"/>
      <w:r w:rsidRPr="00FF0F28">
        <w:rPr>
          <w:rFonts w:eastAsiaTheme="minorHAnsi"/>
        </w:rPr>
        <w:t>Obligation de conseil</w:t>
      </w:r>
      <w:bookmarkEnd w:id="163"/>
      <w:bookmarkEnd w:id="164"/>
    </w:p>
    <w:bookmarkEnd w:id="162"/>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5" w:name="_Toc194653711"/>
      <w:bookmarkEnd w:id="153"/>
      <w:r>
        <w:rPr>
          <w:rFonts w:eastAsiaTheme="minorHAnsi"/>
        </w:rPr>
        <w:t>Contrôle et réception des travaux</w:t>
      </w:r>
      <w:bookmarkEnd w:id="165"/>
    </w:p>
    <w:p w14:paraId="3B799234" w14:textId="77777777" w:rsidR="00FF0F28" w:rsidRPr="00FF0F28" w:rsidRDefault="00FF0F28" w:rsidP="00314A5D">
      <w:pPr>
        <w:pStyle w:val="Titre2"/>
        <w:spacing w:line="240" w:lineRule="auto"/>
        <w:rPr>
          <w:rFonts w:eastAsiaTheme="minorHAnsi"/>
        </w:rPr>
      </w:pPr>
      <w:bookmarkStart w:id="166" w:name="__RefHeading___Toc450724346"/>
      <w:bookmarkStart w:id="167" w:name="_Toc490591571"/>
      <w:bookmarkStart w:id="168" w:name="_Toc194653712"/>
      <w:r w:rsidRPr="00FF0F28">
        <w:rPr>
          <w:rFonts w:eastAsiaTheme="minorHAnsi"/>
        </w:rPr>
        <w:t>Essais et contrôles des ouvrages en cours de travaux</w:t>
      </w:r>
      <w:bookmarkEnd w:id="166"/>
      <w:bookmarkEnd w:id="167"/>
      <w:bookmarkEnd w:id="168"/>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9" w:name="_Toc490591572"/>
      <w:bookmarkStart w:id="170" w:name="_Ref4423021"/>
      <w:bookmarkStart w:id="171" w:name="_Toc194653713"/>
      <w:r w:rsidRPr="00FF0F28">
        <w:rPr>
          <w:rFonts w:eastAsiaTheme="minorHAnsi"/>
        </w:rPr>
        <w:t>Réception</w:t>
      </w:r>
      <w:bookmarkEnd w:id="169"/>
      <w:bookmarkEnd w:id="170"/>
      <w:bookmarkEnd w:id="171"/>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2" w:name="_Ref453695627"/>
      <w:r w:rsidRPr="00FF0F28">
        <w:rPr>
          <w:rFonts w:eastAsiaTheme="minorHAnsi"/>
        </w:rPr>
        <w:lastRenderedPageBreak/>
        <w:t xml:space="preserve"> </w:t>
      </w:r>
      <w:bookmarkStart w:id="173" w:name="_Toc490591573"/>
      <w:bookmarkStart w:id="174" w:name="_Toc194653714"/>
      <w:r w:rsidRPr="00FF0F28">
        <w:rPr>
          <w:rFonts w:eastAsiaTheme="minorHAnsi"/>
        </w:rPr>
        <w:t>Délai de levée des réserves</w:t>
      </w:r>
      <w:bookmarkEnd w:id="172"/>
      <w:bookmarkEnd w:id="173"/>
      <w:bookmarkEnd w:id="174"/>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5" w:name="_Toc490591574"/>
      <w:bookmarkStart w:id="176" w:name="_Toc194653715"/>
      <w:r>
        <w:rPr>
          <w:rFonts w:eastAsiaTheme="minorHAnsi"/>
        </w:rPr>
        <w:t>Mise à disposition</w:t>
      </w:r>
      <w:bookmarkEnd w:id="176"/>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7" w:name="_Toc490591575"/>
      <w:bookmarkStart w:id="178" w:name="_Toc194653716"/>
      <w:r w:rsidRPr="00FF0F28">
        <w:rPr>
          <w:rFonts w:eastAsiaTheme="minorHAnsi"/>
        </w:rPr>
        <w:t>Documents fournis après exécution</w:t>
      </w:r>
      <w:bookmarkEnd w:id="177"/>
      <w:bookmarkEnd w:id="178"/>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9" w:name="_Toc490591576"/>
      <w:bookmarkStart w:id="180" w:name="_Toc194653717"/>
      <w:r w:rsidRPr="00FF0F28">
        <w:rPr>
          <w:rFonts w:eastAsiaTheme="minorHAnsi"/>
        </w:rPr>
        <w:t>Délais de garantie</w:t>
      </w:r>
      <w:bookmarkEnd w:id="179"/>
      <w:bookmarkEnd w:id="180"/>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1" w:name="_Ref453695780"/>
      <w:r w:rsidRPr="00FF0F28">
        <w:rPr>
          <w:rFonts w:eastAsiaTheme="minorHAnsi"/>
        </w:rPr>
        <w:t xml:space="preserve"> </w:t>
      </w:r>
      <w:bookmarkStart w:id="182" w:name="_Toc490591577"/>
      <w:bookmarkStart w:id="183" w:name="_Toc194653718"/>
      <w:r w:rsidRPr="00FF0F28">
        <w:rPr>
          <w:rFonts w:eastAsiaTheme="minorHAnsi"/>
        </w:rPr>
        <w:t>Assurances</w:t>
      </w:r>
      <w:bookmarkEnd w:id="181"/>
      <w:bookmarkEnd w:id="182"/>
      <w:bookmarkEnd w:id="183"/>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4"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4"/>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5" w:name="_Toc490591578"/>
      <w:bookmarkStart w:id="186" w:name="_Toc194653719"/>
      <w:r>
        <w:rPr>
          <w:rFonts w:eastAsiaTheme="minorHAnsi"/>
        </w:rPr>
        <w:lastRenderedPageBreak/>
        <w:t>Résiliation du marché</w:t>
      </w:r>
      <w:bookmarkEnd w:id="185"/>
      <w:bookmarkEnd w:id="186"/>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7" w:name="__RefHeading___Toc450724354"/>
      <w:bookmarkStart w:id="188" w:name="_Toc490591580"/>
      <w:bookmarkStart w:id="189" w:name="_Toc194653720"/>
      <w:r w:rsidRPr="00FF0F28">
        <w:rPr>
          <w:rFonts w:eastAsiaTheme="minorHAnsi"/>
        </w:rPr>
        <w:t>Résiliation</w:t>
      </w:r>
      <w:bookmarkEnd w:id="187"/>
      <w:bookmarkEnd w:id="188"/>
      <w:r w:rsidR="00CB4F96">
        <w:rPr>
          <w:rFonts w:eastAsiaTheme="minorHAnsi"/>
        </w:rPr>
        <w:t xml:space="preserve"> du marché aux torts du Titulaire</w:t>
      </w:r>
      <w:bookmarkEnd w:id="189"/>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90" w:name="_Ref453695775"/>
      <w:bookmarkStart w:id="191" w:name="_Toc490591582"/>
      <w:bookmarkStart w:id="192" w:name="_Toc194653721"/>
      <w:r w:rsidRPr="00CB4F96">
        <w:t>Résiliation du marché pour motif d’intérêt général</w:t>
      </w:r>
      <w:bookmarkEnd w:id="190"/>
      <w:bookmarkEnd w:id="191"/>
      <w:bookmarkEnd w:id="192"/>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3" w:name="_Toc490591581"/>
      <w:bookmarkStart w:id="194" w:name="_Toc194653722"/>
      <w:r w:rsidRPr="00FF0F28">
        <w:rPr>
          <w:rFonts w:eastAsiaTheme="minorHAnsi"/>
        </w:rPr>
        <w:t xml:space="preserve">Exécution aux frais et risques du </w:t>
      </w:r>
      <w:r w:rsidR="004C3187">
        <w:rPr>
          <w:rFonts w:eastAsiaTheme="minorHAnsi"/>
        </w:rPr>
        <w:t>Titulaire</w:t>
      </w:r>
      <w:bookmarkEnd w:id="193"/>
      <w:bookmarkEnd w:id="194"/>
    </w:p>
    <w:p w14:paraId="3EF9D5CB" w14:textId="77777777" w:rsidR="00FF0F28" w:rsidRPr="00FF0F28" w:rsidRDefault="00FF0F28" w:rsidP="00314A5D">
      <w:pPr>
        <w:pStyle w:val="Titre3"/>
        <w:spacing w:line="240" w:lineRule="auto"/>
        <w:rPr>
          <w:rFonts w:eastAsiaTheme="minorHAnsi"/>
        </w:rPr>
      </w:pPr>
      <w:bookmarkStart w:id="195" w:name="_Toc194653723"/>
      <w:r w:rsidRPr="00FF0F28">
        <w:rPr>
          <w:rFonts w:eastAsiaTheme="minorHAnsi"/>
        </w:rPr>
        <w:t>En cours d’exécution du marché</w:t>
      </w:r>
      <w:bookmarkEnd w:id="195"/>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6" w:name="_Toc194653724"/>
      <w:r w:rsidRPr="00FF0F28">
        <w:rPr>
          <w:rFonts w:eastAsiaTheme="minorHAnsi"/>
        </w:rPr>
        <w:t xml:space="preserve">Après résiliation prononcée aux torts du </w:t>
      </w:r>
      <w:r w:rsidR="004C3187">
        <w:rPr>
          <w:rFonts w:eastAsiaTheme="minorHAnsi"/>
        </w:rPr>
        <w:t>Titulaire</w:t>
      </w:r>
      <w:bookmarkEnd w:id="196"/>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7" w:name="_Toc490591583"/>
      <w:bookmarkStart w:id="198" w:name="_Toc194653725"/>
      <w:r w:rsidRPr="00FF0F28">
        <w:rPr>
          <w:rFonts w:eastAsiaTheme="minorHAnsi"/>
        </w:rPr>
        <w:t>Règlement des litiges</w:t>
      </w:r>
      <w:bookmarkEnd w:id="197"/>
      <w:bookmarkEnd w:id="198"/>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9" w:name="_Toc194653726"/>
      <w:r>
        <w:rPr>
          <w:rFonts w:eastAsiaTheme="minorHAnsi"/>
        </w:rPr>
        <w:t>Dérogations au CCAG/Travaux</w:t>
      </w:r>
      <w:bookmarkEnd w:id="199"/>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7EB9DFE5"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B763" w14:textId="77777777" w:rsidR="002F69BC" w:rsidRDefault="002F69BC" w:rsidP="00C86213">
      <w:pPr>
        <w:spacing w:after="0" w:line="240" w:lineRule="auto"/>
      </w:pPr>
      <w:r>
        <w:separator/>
      </w:r>
    </w:p>
  </w:endnote>
  <w:endnote w:type="continuationSeparator" w:id="0">
    <w:p w14:paraId="4286595E" w14:textId="77777777" w:rsidR="002F69BC" w:rsidRDefault="002F69BC"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71C42294" w:rsidR="00187CA5" w:rsidRPr="00810FD4" w:rsidRDefault="00187CA5" w:rsidP="00810FD4">
    <w:pPr>
      <w:pStyle w:val="Pieddepage"/>
      <w:jc w:val="center"/>
    </w:pPr>
    <w:r w:rsidRPr="00810FD4">
      <w:rPr>
        <w:rFonts w:cs="Calibri"/>
        <w:b/>
        <w:color w:val="FF0000"/>
        <w:sz w:val="20"/>
      </w:rPr>
      <w:t>R2402 – TRAVAUX D’AMENAGEMENTS SERVICE 41/42</w:t>
    </w:r>
    <w:r w:rsidR="00C050B2">
      <w:rPr>
        <w:rFonts w:cs="Calibri"/>
        <w:b/>
        <w:color w:val="FF0000"/>
        <w:sz w:val="20"/>
      </w:rPr>
      <w:t xml:space="preserve"> </w:t>
    </w:r>
    <w:r w:rsidR="00C050B2" w:rsidRPr="00C050B2">
      <w:rPr>
        <w:rFonts w:cs="Calibri"/>
        <w:b/>
        <w:color w:val="FF0000"/>
        <w:sz w:val="20"/>
      </w:rPr>
      <w:t>RELANCE LOT 6 CVC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BCB46" w14:textId="77777777" w:rsidR="002F69BC" w:rsidRDefault="002F69BC" w:rsidP="00C86213">
      <w:pPr>
        <w:spacing w:after="0" w:line="240" w:lineRule="auto"/>
      </w:pPr>
      <w:r>
        <w:separator/>
      </w:r>
    </w:p>
  </w:footnote>
  <w:footnote w:type="continuationSeparator" w:id="0">
    <w:p w14:paraId="50394E1C" w14:textId="77777777" w:rsidR="002F69BC" w:rsidRDefault="002F69BC"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0"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8"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3"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4"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8"/>
  </w:num>
  <w:num w:numId="15">
    <w:abstractNumId w:val="31"/>
  </w:num>
  <w:num w:numId="16">
    <w:abstractNumId w:val="17"/>
  </w:num>
  <w:num w:numId="17">
    <w:abstractNumId w:val="35"/>
  </w:num>
  <w:num w:numId="18">
    <w:abstractNumId w:val="19"/>
  </w:num>
  <w:num w:numId="19">
    <w:abstractNumId w:val="26"/>
  </w:num>
  <w:num w:numId="20">
    <w:abstractNumId w:val="18"/>
  </w:num>
  <w:num w:numId="21">
    <w:abstractNumId w:val="37"/>
  </w:num>
  <w:num w:numId="22">
    <w:abstractNumId w:val="29"/>
  </w:num>
  <w:num w:numId="23">
    <w:abstractNumId w:val="16"/>
  </w:num>
  <w:num w:numId="24">
    <w:abstractNumId w:val="36"/>
  </w:num>
  <w:num w:numId="25">
    <w:abstractNumId w:val="27"/>
  </w:num>
  <w:num w:numId="26">
    <w:abstractNumId w:val="22"/>
  </w:num>
  <w:num w:numId="27">
    <w:abstractNumId w:val="2"/>
  </w:num>
  <w:num w:numId="28">
    <w:abstractNumId w:val="24"/>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2"/>
  </w:num>
  <w:num w:numId="33">
    <w:abstractNumId w:val="32"/>
  </w:num>
  <w:num w:numId="34">
    <w:abstractNumId w:val="34"/>
  </w:num>
  <w:num w:numId="35">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4D1"/>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41FD"/>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088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69BC"/>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14F0"/>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D6631"/>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2F53"/>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34DE"/>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454"/>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0B2"/>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6422"/>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1F3"/>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6EA"/>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chorus-pro.gouv.fr" TargetMode="External"/><Relationship Id="rId2" Type="http://schemas.openxmlformats.org/officeDocument/2006/relationships/customXml" Target="../customXml/item2.xml"/><Relationship Id="rId16" Type="http://schemas.openxmlformats.org/officeDocument/2006/relationships/hyperlink" Target="mailto:t.rumeau@bete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manuel.menendez@apav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ustine.barnaud@qualiconsult.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4A7DCA"/>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306"/>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45D68"/>
    <w:rsid w:val="00C71733"/>
    <w:rsid w:val="00CB7E1E"/>
    <w:rsid w:val="00CC32F1"/>
    <w:rsid w:val="00CE1F23"/>
    <w:rsid w:val="00D00A89"/>
    <w:rsid w:val="00D4245F"/>
    <w:rsid w:val="00D54597"/>
    <w:rsid w:val="00D5557D"/>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9FFFA0-9D8B-40AA-8070-C4B35F52B0F4}">
  <ds:schemaRefs>
    <ds:schemaRef ds:uri="http://schemas.openxmlformats.org/officeDocument/2006/bibliography"/>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26</Pages>
  <Words>12223</Words>
  <Characters>67231</Characters>
  <Application>Microsoft Office Word</Application>
  <DocSecurity>0</DocSecurity>
  <Lines>560</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13</cp:revision>
  <cp:lastPrinted>2017-02-27T10:33:00Z</cp:lastPrinted>
  <dcterms:created xsi:type="dcterms:W3CDTF">2024-12-10T10:35:00Z</dcterms:created>
  <dcterms:modified xsi:type="dcterms:W3CDTF">2025-04-04T08:07:00Z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