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CFA98" w14:textId="426BBA31" w:rsidR="00997276" w:rsidRPr="00A21D03" w:rsidRDefault="00AD4BE3" w:rsidP="00997276">
      <w:pPr>
        <w:spacing w:before="120"/>
        <w:rPr>
          <w:rFonts w:cs="Arial"/>
        </w:rPr>
      </w:pPr>
      <w:r>
        <w:rPr>
          <w:noProof/>
        </w:rPr>
        <w:drawing>
          <wp:anchor distT="0" distB="0" distL="114300" distR="114300" simplePos="0" relativeHeight="251659264" behindDoc="0" locked="0" layoutInCell="1" allowOverlap="1" wp14:anchorId="35255131" wp14:editId="17065699">
            <wp:simplePos x="0" y="0"/>
            <wp:positionH relativeFrom="column">
              <wp:posOffset>2319655</wp:posOffset>
            </wp:positionH>
            <wp:positionV relativeFrom="paragraph">
              <wp:posOffset>-322580</wp:posOffset>
            </wp:positionV>
            <wp:extent cx="1080770" cy="928370"/>
            <wp:effectExtent l="0" t="0" r="0" b="0"/>
            <wp:wrapNone/>
            <wp:docPr id="261685350" name="Image 7" descr="apij logo courri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apij logo courrie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770" cy="928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D66A25" w14:textId="77777777" w:rsidR="00997276" w:rsidRPr="00A21D03" w:rsidRDefault="00997276" w:rsidP="00997276">
      <w:pPr>
        <w:spacing w:before="120"/>
        <w:rPr>
          <w:rFonts w:cs="Arial"/>
        </w:rPr>
      </w:pPr>
    </w:p>
    <w:p w14:paraId="6846EBF0" w14:textId="77777777" w:rsidR="003D7CB8" w:rsidRDefault="003D7CB8" w:rsidP="00997276">
      <w:pPr>
        <w:spacing w:beforeLines="80" w:before="192"/>
        <w:jc w:val="center"/>
        <w:rPr>
          <w:rFonts w:cs="Arial"/>
          <w:b/>
          <w:sz w:val="28"/>
        </w:rPr>
      </w:pPr>
    </w:p>
    <w:p w14:paraId="453691CD" w14:textId="77777777" w:rsidR="003D7CB8" w:rsidRDefault="003D7CB8" w:rsidP="00997276">
      <w:pPr>
        <w:spacing w:beforeLines="80" w:before="192"/>
        <w:jc w:val="center"/>
        <w:rPr>
          <w:rFonts w:cs="Arial"/>
          <w:b/>
          <w:sz w:val="28"/>
        </w:rPr>
      </w:pPr>
    </w:p>
    <w:p w14:paraId="2F9CBDAA" w14:textId="1BB74654" w:rsidR="00997276" w:rsidRPr="003B54C7" w:rsidRDefault="00D96CF7" w:rsidP="00997276">
      <w:pPr>
        <w:spacing w:beforeLines="80" w:before="192"/>
        <w:jc w:val="center"/>
        <w:rPr>
          <w:rFonts w:cs="Arial"/>
          <w:b/>
          <w:sz w:val="28"/>
        </w:rPr>
      </w:pPr>
      <w:r w:rsidRPr="003B54C7">
        <w:rPr>
          <w:rFonts w:cs="Arial"/>
          <w:b/>
          <w:sz w:val="28"/>
        </w:rPr>
        <w:t>ACCORD-CADRE</w:t>
      </w:r>
      <w:r w:rsidR="008A4CA3">
        <w:rPr>
          <w:rFonts w:cs="Arial"/>
          <w:b/>
          <w:sz w:val="28"/>
        </w:rPr>
        <w:t xml:space="preserve"> DE PRESTATIONS INTELLECTUELLES</w:t>
      </w:r>
    </w:p>
    <w:p w14:paraId="2B24EAC4" w14:textId="77777777" w:rsidR="00997276" w:rsidRPr="007E64E0" w:rsidRDefault="00997276" w:rsidP="00997276">
      <w:pPr>
        <w:spacing w:before="120"/>
        <w:rPr>
          <w:rFonts w:cs="Arial"/>
          <w:b/>
          <w:sz w:val="28"/>
        </w:rPr>
      </w:pPr>
    </w:p>
    <w:p w14:paraId="424F2A09" w14:textId="77777777" w:rsidR="00997276" w:rsidRPr="007E64E0" w:rsidRDefault="00997276" w:rsidP="00997276">
      <w:pPr>
        <w:spacing w:before="120"/>
        <w:rPr>
          <w:rFonts w:cs="Arial"/>
          <w:b/>
          <w:sz w:val="28"/>
        </w:rPr>
      </w:pPr>
    </w:p>
    <w:p w14:paraId="720C6406" w14:textId="77777777" w:rsidR="00997276" w:rsidRPr="007E64E0" w:rsidRDefault="00997276" w:rsidP="00997276">
      <w:pPr>
        <w:spacing w:before="120"/>
        <w:rPr>
          <w:rFonts w:cs="Arial"/>
          <w:b/>
          <w:sz w:val="28"/>
        </w:rPr>
      </w:pPr>
    </w:p>
    <w:p w14:paraId="60662254" w14:textId="77777777" w:rsidR="00997276" w:rsidRPr="007E64E0" w:rsidRDefault="00997276" w:rsidP="00997276">
      <w:pPr>
        <w:spacing w:before="120"/>
        <w:rPr>
          <w:rFonts w:cs="Arial"/>
          <w:b/>
          <w:sz w:val="28"/>
        </w:rPr>
      </w:pPr>
    </w:p>
    <w:p w14:paraId="493FDCF0" w14:textId="77777777" w:rsidR="00997276" w:rsidRPr="007E64E0" w:rsidRDefault="00997276" w:rsidP="00997276">
      <w:pPr>
        <w:spacing w:before="120"/>
        <w:jc w:val="center"/>
        <w:rPr>
          <w:rFonts w:cs="Arial"/>
          <w:b/>
          <w:sz w:val="28"/>
        </w:rPr>
      </w:pPr>
    </w:p>
    <w:p w14:paraId="320BB6A9" w14:textId="3F6DEE38" w:rsidR="003C54AB" w:rsidRPr="007E64E0" w:rsidRDefault="003C54AB" w:rsidP="003C54AB">
      <w:pPr>
        <w:spacing w:before="120"/>
        <w:jc w:val="center"/>
        <w:rPr>
          <w:rFonts w:cs="Arial"/>
          <w:b/>
          <w:caps/>
          <w:sz w:val="32"/>
        </w:rPr>
      </w:pPr>
      <w:r w:rsidRPr="007E64E0">
        <w:rPr>
          <w:rFonts w:cs="Arial"/>
          <w:b/>
          <w:caps/>
          <w:sz w:val="32"/>
        </w:rPr>
        <w:t xml:space="preserve">MISSIONS DE </w:t>
      </w:r>
      <w:r w:rsidR="00064784" w:rsidRPr="007E64E0">
        <w:rPr>
          <w:rFonts w:cs="Arial"/>
          <w:b/>
          <w:caps/>
          <w:sz w:val="32"/>
        </w:rPr>
        <w:t>COORDINATION en matière de securite et de protection de la santé</w:t>
      </w:r>
      <w:r w:rsidRPr="007E64E0">
        <w:rPr>
          <w:rFonts w:cs="Arial"/>
          <w:b/>
          <w:caps/>
          <w:sz w:val="32"/>
        </w:rPr>
        <w:t xml:space="preserve"> </w:t>
      </w:r>
      <w:r w:rsidR="00064784" w:rsidRPr="007E64E0">
        <w:rPr>
          <w:rFonts w:cs="Arial"/>
          <w:b/>
          <w:caps/>
          <w:sz w:val="32"/>
        </w:rPr>
        <w:t>POUR LES OPERATIONS DE TRAVAUX</w:t>
      </w:r>
      <w:r w:rsidRPr="007E64E0">
        <w:rPr>
          <w:rFonts w:cs="Arial"/>
          <w:b/>
          <w:caps/>
          <w:sz w:val="32"/>
        </w:rPr>
        <w:t xml:space="preserve"> en </w:t>
      </w:r>
      <w:r w:rsidR="004D098F">
        <w:rPr>
          <w:rFonts w:cs="Arial"/>
          <w:b/>
          <w:caps/>
          <w:sz w:val="32"/>
        </w:rPr>
        <w:t>MARTINIQUE</w:t>
      </w:r>
    </w:p>
    <w:p w14:paraId="066B3236" w14:textId="77777777" w:rsidR="00997276" w:rsidRPr="007E64E0" w:rsidRDefault="00997276" w:rsidP="00997276">
      <w:pPr>
        <w:spacing w:before="120"/>
        <w:jc w:val="center"/>
        <w:rPr>
          <w:rFonts w:cs="Arial"/>
          <w:sz w:val="28"/>
        </w:rPr>
      </w:pPr>
    </w:p>
    <w:p w14:paraId="5971F9AA" w14:textId="77777777" w:rsidR="00997276" w:rsidRPr="007E64E0" w:rsidRDefault="00997276" w:rsidP="00997276">
      <w:pPr>
        <w:spacing w:before="120"/>
        <w:jc w:val="center"/>
        <w:rPr>
          <w:rFonts w:cs="Arial"/>
          <w:sz w:val="28"/>
        </w:rPr>
      </w:pPr>
    </w:p>
    <w:p w14:paraId="0483C381" w14:textId="77777777" w:rsidR="0008279E" w:rsidRPr="007E64E0" w:rsidRDefault="0008279E" w:rsidP="00BC4C65">
      <w:pPr>
        <w:spacing w:before="120"/>
        <w:jc w:val="center"/>
        <w:rPr>
          <w:rFonts w:cs="Arial"/>
          <w:sz w:val="28"/>
        </w:rPr>
      </w:pPr>
    </w:p>
    <w:p w14:paraId="4DEFF00C" w14:textId="77777777" w:rsidR="00997276" w:rsidRPr="007E64E0" w:rsidRDefault="00122716" w:rsidP="00997276">
      <w:pPr>
        <w:pBdr>
          <w:top w:val="single" w:sz="4" w:space="1" w:color="auto"/>
          <w:left w:val="single" w:sz="4" w:space="4" w:color="auto"/>
          <w:bottom w:val="single" w:sz="4" w:space="1" w:color="auto"/>
          <w:right w:val="single" w:sz="4" w:space="4" w:color="auto"/>
        </w:pBdr>
        <w:spacing w:before="120"/>
        <w:jc w:val="center"/>
        <w:rPr>
          <w:rFonts w:cs="Arial"/>
          <w:sz w:val="28"/>
        </w:rPr>
      </w:pPr>
      <w:r w:rsidRPr="007E64E0">
        <w:rPr>
          <w:rFonts w:cs="Arial"/>
          <w:b/>
          <w:i/>
          <w:caps/>
          <w:sz w:val="28"/>
        </w:rPr>
        <w:t>cahier des clauses</w:t>
      </w:r>
      <w:r w:rsidR="00997276" w:rsidRPr="007E64E0">
        <w:rPr>
          <w:rFonts w:cs="Arial"/>
          <w:b/>
          <w:i/>
          <w:caps/>
          <w:sz w:val="28"/>
        </w:rPr>
        <w:t xml:space="preserve"> particulieres</w:t>
      </w:r>
      <w:r w:rsidRPr="007E64E0">
        <w:rPr>
          <w:rFonts w:cs="Arial"/>
          <w:b/>
          <w:i/>
          <w:caps/>
          <w:sz w:val="28"/>
        </w:rPr>
        <w:t xml:space="preserve"> (CC</w:t>
      </w:r>
      <w:r w:rsidR="00997276" w:rsidRPr="007E64E0">
        <w:rPr>
          <w:rFonts w:cs="Arial"/>
          <w:b/>
          <w:i/>
          <w:caps/>
          <w:sz w:val="28"/>
        </w:rPr>
        <w:t>P)</w:t>
      </w:r>
    </w:p>
    <w:p w14:paraId="08D8E171" w14:textId="77777777" w:rsidR="00997276" w:rsidRPr="007E64E0" w:rsidRDefault="00997276" w:rsidP="00997276">
      <w:pPr>
        <w:spacing w:before="120"/>
        <w:jc w:val="center"/>
        <w:rPr>
          <w:rFonts w:cs="Arial"/>
          <w:sz w:val="28"/>
        </w:rPr>
      </w:pPr>
    </w:p>
    <w:p w14:paraId="034D60CE" w14:textId="77777777" w:rsidR="00997276" w:rsidRPr="007E64E0" w:rsidRDefault="00997276" w:rsidP="00997276">
      <w:pPr>
        <w:spacing w:before="120"/>
        <w:jc w:val="center"/>
        <w:rPr>
          <w:rFonts w:cs="Arial"/>
          <w:sz w:val="28"/>
        </w:rPr>
      </w:pPr>
    </w:p>
    <w:p w14:paraId="4A876D84" w14:textId="77777777" w:rsidR="00692A1A" w:rsidRDefault="00997276" w:rsidP="00692A1A">
      <w:pPr>
        <w:jc w:val="center"/>
        <w:rPr>
          <w:b/>
          <w:sz w:val="28"/>
          <w:szCs w:val="28"/>
          <w:u w:val="single"/>
        </w:rPr>
      </w:pPr>
      <w:r>
        <w:br w:type="page"/>
      </w:r>
      <w:bookmarkStart w:id="0" w:name="_Toc114385020"/>
      <w:r w:rsidR="00611474" w:rsidRPr="00692A1A">
        <w:rPr>
          <w:b/>
          <w:sz w:val="28"/>
          <w:szCs w:val="28"/>
          <w:u w:val="single"/>
        </w:rPr>
        <w:lastRenderedPageBreak/>
        <w:t>Sommaire</w:t>
      </w:r>
    </w:p>
    <w:p w14:paraId="48814103" w14:textId="77777777" w:rsidR="008B6F11" w:rsidRDefault="008B6F11" w:rsidP="00692A1A">
      <w:pPr>
        <w:jc w:val="center"/>
        <w:rPr>
          <w:b/>
          <w:sz w:val="28"/>
          <w:szCs w:val="28"/>
          <w:u w:val="single"/>
        </w:rPr>
      </w:pPr>
    </w:p>
    <w:p w14:paraId="5F3DF2CA" w14:textId="22B7FE7C" w:rsidR="006C2D48" w:rsidRDefault="00611474">
      <w:pPr>
        <w:pStyle w:val="TM2"/>
        <w:rPr>
          <w:rFonts w:asciiTheme="minorHAnsi" w:eastAsiaTheme="minorEastAsia" w:hAnsiTheme="minorHAnsi" w:cstheme="minorBidi"/>
          <w:kern w:val="2"/>
          <w:sz w:val="24"/>
          <w:szCs w:val="24"/>
          <w14:ligatures w14:val="standardContextual"/>
        </w:rPr>
      </w:pPr>
      <w:r>
        <w:rPr>
          <w:b/>
          <w:sz w:val="28"/>
          <w:u w:val="single"/>
        </w:rPr>
        <w:fldChar w:fldCharType="begin"/>
      </w:r>
      <w:r w:rsidRPr="00692A1A">
        <w:rPr>
          <w:b/>
          <w:sz w:val="28"/>
          <w:u w:val="single"/>
        </w:rPr>
        <w:instrText xml:space="preserve"> TOC \o "1-3" \u </w:instrText>
      </w:r>
      <w:r>
        <w:rPr>
          <w:b/>
          <w:sz w:val="28"/>
          <w:u w:val="single"/>
        </w:rPr>
        <w:fldChar w:fldCharType="separate"/>
      </w:r>
      <w:r w:rsidR="006C2D48">
        <w:t>CHAPITRE I</w:t>
      </w:r>
      <w:r w:rsidR="006C2D48" w:rsidRPr="00862A3E">
        <w:rPr>
          <w:rFonts w:ascii="Calibri" w:hAnsi="Calibri" w:cs="Calibri"/>
        </w:rPr>
        <w:t> </w:t>
      </w:r>
      <w:r w:rsidR="006C2D48">
        <w:t>: GENERALITES</w:t>
      </w:r>
      <w:r w:rsidR="006C2D48">
        <w:tab/>
      </w:r>
      <w:r w:rsidR="006C2D48">
        <w:fldChar w:fldCharType="begin"/>
      </w:r>
      <w:r w:rsidR="006C2D48">
        <w:instrText xml:space="preserve"> PAGEREF _Toc167956948 \h </w:instrText>
      </w:r>
      <w:r w:rsidR="006C2D48">
        <w:fldChar w:fldCharType="separate"/>
      </w:r>
      <w:r w:rsidR="002A4C40">
        <w:t>3</w:t>
      </w:r>
      <w:r w:rsidR="006C2D48">
        <w:fldChar w:fldCharType="end"/>
      </w:r>
    </w:p>
    <w:p w14:paraId="66980EB1" w14:textId="741D32AB" w:rsidR="006C2D48" w:rsidRDefault="006C2D48">
      <w:pPr>
        <w:pStyle w:val="TM1"/>
        <w:rPr>
          <w:rFonts w:asciiTheme="minorHAnsi" w:eastAsiaTheme="minorEastAsia" w:hAnsiTheme="minorHAnsi" w:cstheme="minorBidi"/>
          <w:kern w:val="2"/>
          <w:sz w:val="24"/>
          <w:szCs w:val="24"/>
          <w14:ligatures w14:val="standardContextual"/>
        </w:rPr>
      </w:pPr>
      <w:r>
        <w:t>Article 1:</w:t>
      </w:r>
      <w:r>
        <w:rPr>
          <w:rFonts w:asciiTheme="minorHAnsi" w:eastAsiaTheme="minorEastAsia" w:hAnsiTheme="minorHAnsi" w:cstheme="minorBidi"/>
          <w:kern w:val="2"/>
          <w:sz w:val="24"/>
          <w:szCs w:val="24"/>
          <w14:ligatures w14:val="standardContextual"/>
        </w:rPr>
        <w:tab/>
      </w:r>
      <w:r>
        <w:t>Objet de l’accord-cadre</w:t>
      </w:r>
      <w:r>
        <w:tab/>
      </w:r>
      <w:r>
        <w:fldChar w:fldCharType="begin"/>
      </w:r>
      <w:r>
        <w:instrText xml:space="preserve"> PAGEREF _Toc167956949 \h </w:instrText>
      </w:r>
      <w:r>
        <w:fldChar w:fldCharType="separate"/>
      </w:r>
      <w:r w:rsidR="002A4C40">
        <w:t>3</w:t>
      </w:r>
      <w:r>
        <w:fldChar w:fldCharType="end"/>
      </w:r>
    </w:p>
    <w:p w14:paraId="727877EF" w14:textId="1F2DB1C0" w:rsidR="006C2D48" w:rsidRDefault="006C2D48">
      <w:pPr>
        <w:pStyle w:val="TM1"/>
        <w:rPr>
          <w:rFonts w:asciiTheme="minorHAnsi" w:eastAsiaTheme="minorEastAsia" w:hAnsiTheme="minorHAnsi" w:cstheme="minorBidi"/>
          <w:kern w:val="2"/>
          <w:sz w:val="24"/>
          <w:szCs w:val="24"/>
          <w14:ligatures w14:val="standardContextual"/>
        </w:rPr>
      </w:pPr>
      <w:r>
        <w:t>Article 2:</w:t>
      </w:r>
      <w:r>
        <w:rPr>
          <w:rFonts w:asciiTheme="minorHAnsi" w:eastAsiaTheme="minorEastAsia" w:hAnsiTheme="minorHAnsi" w:cstheme="minorBidi"/>
          <w:kern w:val="2"/>
          <w:sz w:val="24"/>
          <w:szCs w:val="24"/>
          <w14:ligatures w14:val="standardContextual"/>
        </w:rPr>
        <w:tab/>
      </w:r>
      <w:r>
        <w:t>Caractéristiques de l’accord-cadre</w:t>
      </w:r>
      <w:r>
        <w:tab/>
      </w:r>
      <w:r>
        <w:fldChar w:fldCharType="begin"/>
      </w:r>
      <w:r>
        <w:instrText xml:space="preserve"> PAGEREF _Toc167956950 \h </w:instrText>
      </w:r>
      <w:r>
        <w:fldChar w:fldCharType="separate"/>
      </w:r>
      <w:r w:rsidR="002A4C40">
        <w:t>3</w:t>
      </w:r>
      <w:r>
        <w:fldChar w:fldCharType="end"/>
      </w:r>
    </w:p>
    <w:p w14:paraId="129E11A6" w14:textId="3708CE52" w:rsidR="006C2D48" w:rsidRDefault="006C2D48">
      <w:pPr>
        <w:pStyle w:val="TM1"/>
        <w:rPr>
          <w:rFonts w:asciiTheme="minorHAnsi" w:eastAsiaTheme="minorEastAsia" w:hAnsiTheme="minorHAnsi" w:cstheme="minorBidi"/>
          <w:kern w:val="2"/>
          <w:sz w:val="24"/>
          <w:szCs w:val="24"/>
          <w14:ligatures w14:val="standardContextual"/>
        </w:rPr>
      </w:pPr>
      <w:r>
        <w:t>Article 3:</w:t>
      </w:r>
      <w:r>
        <w:rPr>
          <w:rFonts w:asciiTheme="minorHAnsi" w:eastAsiaTheme="minorEastAsia" w:hAnsiTheme="minorHAnsi" w:cstheme="minorBidi"/>
          <w:kern w:val="2"/>
          <w:sz w:val="24"/>
          <w:szCs w:val="24"/>
          <w14:ligatures w14:val="standardContextual"/>
        </w:rPr>
        <w:tab/>
      </w:r>
      <w:r>
        <w:t>Pi</w:t>
      </w:r>
      <w:r w:rsidRPr="00862A3E">
        <w:rPr>
          <w:rFonts w:cs="Marianne"/>
        </w:rPr>
        <w:t>è</w:t>
      </w:r>
      <w:r>
        <w:t>ces constitutives de l’accord-cadre</w:t>
      </w:r>
      <w:r>
        <w:tab/>
      </w:r>
      <w:r>
        <w:fldChar w:fldCharType="begin"/>
      </w:r>
      <w:r>
        <w:instrText xml:space="preserve"> PAGEREF _Toc167956951 \h </w:instrText>
      </w:r>
      <w:r>
        <w:fldChar w:fldCharType="separate"/>
      </w:r>
      <w:r w:rsidR="002A4C40">
        <w:t>3</w:t>
      </w:r>
      <w:r>
        <w:fldChar w:fldCharType="end"/>
      </w:r>
    </w:p>
    <w:p w14:paraId="5517D0AA" w14:textId="67DFE2C6" w:rsidR="006C2D48" w:rsidRDefault="006C2D48">
      <w:pPr>
        <w:pStyle w:val="TM1"/>
        <w:rPr>
          <w:rFonts w:asciiTheme="minorHAnsi" w:eastAsiaTheme="minorEastAsia" w:hAnsiTheme="minorHAnsi" w:cstheme="minorBidi"/>
          <w:kern w:val="2"/>
          <w:sz w:val="24"/>
          <w:szCs w:val="24"/>
          <w14:ligatures w14:val="standardContextual"/>
        </w:rPr>
      </w:pPr>
      <w:r w:rsidRPr="00862A3E">
        <w:rPr>
          <w:rFonts w:cs="Marianne"/>
        </w:rPr>
        <w:t>Article 4:</w:t>
      </w:r>
      <w:r>
        <w:rPr>
          <w:rFonts w:asciiTheme="minorHAnsi" w:eastAsiaTheme="minorEastAsia" w:hAnsiTheme="minorHAnsi" w:cstheme="minorBidi"/>
          <w:kern w:val="2"/>
          <w:sz w:val="24"/>
          <w:szCs w:val="24"/>
          <w14:ligatures w14:val="standardContextual"/>
        </w:rPr>
        <w:tab/>
      </w:r>
      <w:r>
        <w:t>Discr</w:t>
      </w:r>
      <w:r w:rsidRPr="00862A3E">
        <w:rPr>
          <w:rFonts w:cs="Marianne"/>
        </w:rPr>
        <w:t>é</w:t>
      </w:r>
      <w:r>
        <w:t>tion-S</w:t>
      </w:r>
      <w:r w:rsidRPr="00862A3E">
        <w:rPr>
          <w:rFonts w:cs="Marianne"/>
        </w:rPr>
        <w:t>é</w:t>
      </w:r>
      <w:r>
        <w:t>curit</w:t>
      </w:r>
      <w:r w:rsidRPr="00862A3E">
        <w:rPr>
          <w:rFonts w:cs="Marianne"/>
        </w:rPr>
        <w:t>é</w:t>
      </w:r>
      <w:r>
        <w:tab/>
      </w:r>
      <w:r>
        <w:fldChar w:fldCharType="begin"/>
      </w:r>
      <w:r>
        <w:instrText xml:space="preserve"> PAGEREF _Toc167956952 \h </w:instrText>
      </w:r>
      <w:r>
        <w:fldChar w:fldCharType="separate"/>
      </w:r>
      <w:r w:rsidR="002A4C40">
        <w:t>4</w:t>
      </w:r>
      <w:r>
        <w:fldChar w:fldCharType="end"/>
      </w:r>
    </w:p>
    <w:p w14:paraId="0DACEEEA" w14:textId="130BAE9C" w:rsidR="006C2D48" w:rsidRDefault="006C2D48">
      <w:pPr>
        <w:pStyle w:val="TM2"/>
        <w:rPr>
          <w:rFonts w:asciiTheme="minorHAnsi" w:eastAsiaTheme="minorEastAsia" w:hAnsiTheme="minorHAnsi" w:cstheme="minorBidi"/>
          <w:kern w:val="2"/>
          <w:sz w:val="24"/>
          <w:szCs w:val="24"/>
          <w14:ligatures w14:val="standardContextual"/>
        </w:rPr>
      </w:pPr>
      <w:r>
        <w:t>CHAPITRE II -</w:t>
      </w:r>
      <w:r>
        <w:rPr>
          <w:rFonts w:asciiTheme="minorHAnsi" w:eastAsiaTheme="minorEastAsia" w:hAnsiTheme="minorHAnsi" w:cstheme="minorBidi"/>
          <w:kern w:val="2"/>
          <w:sz w:val="24"/>
          <w:szCs w:val="24"/>
          <w14:ligatures w14:val="standardContextual"/>
        </w:rPr>
        <w:tab/>
      </w:r>
      <w:r>
        <w:t>EXECUTION DES PRESTATIONS</w:t>
      </w:r>
      <w:r>
        <w:tab/>
      </w:r>
      <w:r>
        <w:fldChar w:fldCharType="begin"/>
      </w:r>
      <w:r>
        <w:instrText xml:space="preserve"> PAGEREF _Toc167956953 \h </w:instrText>
      </w:r>
      <w:r>
        <w:fldChar w:fldCharType="separate"/>
      </w:r>
      <w:r w:rsidR="002A4C40">
        <w:t>6</w:t>
      </w:r>
      <w:r>
        <w:fldChar w:fldCharType="end"/>
      </w:r>
    </w:p>
    <w:p w14:paraId="3E5642BA" w14:textId="423640A2" w:rsidR="006C2D48" w:rsidRDefault="006C2D48">
      <w:pPr>
        <w:pStyle w:val="TM1"/>
        <w:rPr>
          <w:rFonts w:asciiTheme="minorHAnsi" w:eastAsiaTheme="minorEastAsia" w:hAnsiTheme="minorHAnsi" w:cstheme="minorBidi"/>
          <w:kern w:val="2"/>
          <w:sz w:val="24"/>
          <w:szCs w:val="24"/>
          <w14:ligatures w14:val="standardContextual"/>
        </w:rPr>
      </w:pPr>
      <w:r>
        <w:t>Article 5:</w:t>
      </w:r>
      <w:r>
        <w:rPr>
          <w:rFonts w:asciiTheme="minorHAnsi" w:eastAsiaTheme="minorEastAsia" w:hAnsiTheme="minorHAnsi" w:cstheme="minorBidi"/>
          <w:kern w:val="2"/>
          <w:sz w:val="24"/>
          <w:szCs w:val="24"/>
          <w14:ligatures w14:val="standardContextual"/>
        </w:rPr>
        <w:tab/>
      </w:r>
      <w:r>
        <w:t>Ex</w:t>
      </w:r>
      <w:r w:rsidRPr="00862A3E">
        <w:rPr>
          <w:rFonts w:cs="Marianne"/>
        </w:rPr>
        <w:t>é</w:t>
      </w:r>
      <w:r>
        <w:t>cution de l’accord-cadre</w:t>
      </w:r>
      <w:r>
        <w:tab/>
      </w:r>
      <w:r>
        <w:fldChar w:fldCharType="begin"/>
      </w:r>
      <w:r>
        <w:instrText xml:space="preserve"> PAGEREF _Toc167956954 \h </w:instrText>
      </w:r>
      <w:r>
        <w:fldChar w:fldCharType="separate"/>
      </w:r>
      <w:r w:rsidR="002A4C40">
        <w:t>6</w:t>
      </w:r>
      <w:r>
        <w:fldChar w:fldCharType="end"/>
      </w:r>
    </w:p>
    <w:p w14:paraId="0E4AAA7F" w14:textId="365A55E7" w:rsidR="006C2D48" w:rsidRDefault="006C2D48">
      <w:pPr>
        <w:pStyle w:val="TM3"/>
        <w:rPr>
          <w:rFonts w:asciiTheme="minorHAnsi" w:eastAsiaTheme="minorEastAsia" w:hAnsiTheme="minorHAnsi" w:cstheme="minorBidi"/>
          <w:kern w:val="2"/>
          <w:sz w:val="24"/>
          <w:szCs w:val="24"/>
          <w14:ligatures w14:val="standardContextual"/>
        </w:rPr>
      </w:pPr>
      <w:r>
        <w:t>5.1 -</w:t>
      </w:r>
      <w:r>
        <w:rPr>
          <w:rFonts w:asciiTheme="minorHAnsi" w:eastAsiaTheme="minorEastAsia" w:hAnsiTheme="minorHAnsi" w:cstheme="minorBidi"/>
          <w:kern w:val="2"/>
          <w:sz w:val="24"/>
          <w:szCs w:val="24"/>
          <w14:ligatures w14:val="standardContextual"/>
        </w:rPr>
        <w:tab/>
      </w:r>
      <w:r>
        <w:t>Personnes chargées de la conduite des prestations</w:t>
      </w:r>
      <w:r>
        <w:tab/>
      </w:r>
      <w:r>
        <w:fldChar w:fldCharType="begin"/>
      </w:r>
      <w:r>
        <w:instrText xml:space="preserve"> PAGEREF _Toc167956955 \h </w:instrText>
      </w:r>
      <w:r>
        <w:fldChar w:fldCharType="separate"/>
      </w:r>
      <w:r w:rsidR="002A4C40">
        <w:t>6</w:t>
      </w:r>
      <w:r>
        <w:fldChar w:fldCharType="end"/>
      </w:r>
    </w:p>
    <w:p w14:paraId="617B8434" w14:textId="429E4A99" w:rsidR="006C2D48" w:rsidRDefault="006C2D48">
      <w:pPr>
        <w:pStyle w:val="TM3"/>
        <w:rPr>
          <w:rFonts w:asciiTheme="minorHAnsi" w:eastAsiaTheme="minorEastAsia" w:hAnsiTheme="minorHAnsi" w:cstheme="minorBidi"/>
          <w:kern w:val="2"/>
          <w:sz w:val="24"/>
          <w:szCs w:val="24"/>
          <w14:ligatures w14:val="standardContextual"/>
        </w:rPr>
      </w:pPr>
      <w:r>
        <w:t>5.2 -</w:t>
      </w:r>
      <w:r>
        <w:rPr>
          <w:rFonts w:asciiTheme="minorHAnsi" w:eastAsiaTheme="minorEastAsia" w:hAnsiTheme="minorHAnsi" w:cstheme="minorBidi"/>
          <w:kern w:val="2"/>
          <w:sz w:val="24"/>
          <w:szCs w:val="24"/>
          <w14:ligatures w14:val="standardContextual"/>
        </w:rPr>
        <w:tab/>
      </w:r>
      <w:r>
        <w:t>Connaissance des conditions d’exécution des prestations</w:t>
      </w:r>
      <w:r>
        <w:tab/>
      </w:r>
      <w:r>
        <w:fldChar w:fldCharType="begin"/>
      </w:r>
      <w:r>
        <w:instrText xml:space="preserve"> PAGEREF _Toc167956956 \h </w:instrText>
      </w:r>
      <w:r>
        <w:fldChar w:fldCharType="separate"/>
      </w:r>
      <w:r w:rsidR="002A4C40">
        <w:t>6</w:t>
      </w:r>
      <w:r>
        <w:fldChar w:fldCharType="end"/>
      </w:r>
    </w:p>
    <w:p w14:paraId="5A8BB653" w14:textId="4DA09497" w:rsidR="006C2D48" w:rsidRDefault="006C2D48">
      <w:pPr>
        <w:pStyle w:val="TM3"/>
        <w:rPr>
          <w:rFonts w:asciiTheme="minorHAnsi" w:eastAsiaTheme="minorEastAsia" w:hAnsiTheme="minorHAnsi" w:cstheme="minorBidi"/>
          <w:kern w:val="2"/>
          <w:sz w:val="24"/>
          <w:szCs w:val="24"/>
          <w14:ligatures w14:val="standardContextual"/>
        </w:rPr>
      </w:pPr>
      <w:r>
        <w:t>5.3 -</w:t>
      </w:r>
      <w:r>
        <w:rPr>
          <w:rFonts w:asciiTheme="minorHAnsi" w:eastAsiaTheme="minorEastAsia" w:hAnsiTheme="minorHAnsi" w:cstheme="minorBidi"/>
          <w:kern w:val="2"/>
          <w:sz w:val="24"/>
          <w:szCs w:val="24"/>
          <w14:ligatures w14:val="standardContextual"/>
        </w:rPr>
        <w:tab/>
      </w:r>
      <w:r>
        <w:t>Types d’opérations</w:t>
      </w:r>
      <w:r>
        <w:tab/>
      </w:r>
      <w:r>
        <w:fldChar w:fldCharType="begin"/>
      </w:r>
      <w:r>
        <w:instrText xml:space="preserve"> PAGEREF _Toc167956957 \h </w:instrText>
      </w:r>
      <w:r>
        <w:fldChar w:fldCharType="separate"/>
      </w:r>
      <w:r w:rsidR="002A4C40">
        <w:t>6</w:t>
      </w:r>
      <w:r>
        <w:fldChar w:fldCharType="end"/>
      </w:r>
    </w:p>
    <w:p w14:paraId="3CDE7C86" w14:textId="247149DC" w:rsidR="006C2D48" w:rsidRDefault="006C2D48">
      <w:pPr>
        <w:pStyle w:val="TM3"/>
        <w:rPr>
          <w:rFonts w:asciiTheme="minorHAnsi" w:eastAsiaTheme="minorEastAsia" w:hAnsiTheme="minorHAnsi" w:cstheme="minorBidi"/>
          <w:kern w:val="2"/>
          <w:sz w:val="24"/>
          <w:szCs w:val="24"/>
          <w14:ligatures w14:val="standardContextual"/>
        </w:rPr>
      </w:pPr>
      <w:r>
        <w:t>5.4 -</w:t>
      </w:r>
      <w:r>
        <w:rPr>
          <w:rFonts w:asciiTheme="minorHAnsi" w:eastAsiaTheme="minorEastAsia" w:hAnsiTheme="minorHAnsi" w:cstheme="minorBidi"/>
          <w:kern w:val="2"/>
          <w:sz w:val="24"/>
          <w:szCs w:val="24"/>
          <w14:ligatures w14:val="standardContextual"/>
        </w:rPr>
        <w:tab/>
      </w:r>
      <w:r>
        <w:t>Tenue des réunions</w:t>
      </w:r>
      <w:r>
        <w:tab/>
      </w:r>
      <w:r>
        <w:fldChar w:fldCharType="begin"/>
      </w:r>
      <w:r>
        <w:instrText xml:space="preserve"> PAGEREF _Toc167956958 \h </w:instrText>
      </w:r>
      <w:r>
        <w:fldChar w:fldCharType="separate"/>
      </w:r>
      <w:r w:rsidR="002A4C40">
        <w:t>7</w:t>
      </w:r>
      <w:r>
        <w:fldChar w:fldCharType="end"/>
      </w:r>
    </w:p>
    <w:p w14:paraId="3E5BE983" w14:textId="292B5111" w:rsidR="006C2D48" w:rsidRDefault="006C2D48">
      <w:pPr>
        <w:pStyle w:val="TM3"/>
        <w:rPr>
          <w:rFonts w:asciiTheme="minorHAnsi" w:eastAsiaTheme="minorEastAsia" w:hAnsiTheme="minorHAnsi" w:cstheme="minorBidi"/>
          <w:kern w:val="2"/>
          <w:sz w:val="24"/>
          <w:szCs w:val="24"/>
          <w14:ligatures w14:val="standardContextual"/>
        </w:rPr>
      </w:pPr>
      <w:r>
        <w:t>5.5 -</w:t>
      </w:r>
      <w:r>
        <w:rPr>
          <w:rFonts w:asciiTheme="minorHAnsi" w:eastAsiaTheme="minorEastAsia" w:hAnsiTheme="minorHAnsi" w:cstheme="minorBidi"/>
          <w:kern w:val="2"/>
          <w:sz w:val="24"/>
          <w:szCs w:val="24"/>
          <w14:ligatures w14:val="standardContextual"/>
        </w:rPr>
        <w:tab/>
      </w:r>
      <w:r>
        <w:t>Modalités d’exécution des commandes</w:t>
      </w:r>
      <w:r>
        <w:tab/>
      </w:r>
      <w:r>
        <w:fldChar w:fldCharType="begin"/>
      </w:r>
      <w:r>
        <w:instrText xml:space="preserve"> PAGEREF _Toc167956959 \h </w:instrText>
      </w:r>
      <w:r>
        <w:fldChar w:fldCharType="separate"/>
      </w:r>
      <w:r w:rsidR="002A4C40">
        <w:t>7</w:t>
      </w:r>
      <w:r>
        <w:fldChar w:fldCharType="end"/>
      </w:r>
    </w:p>
    <w:p w14:paraId="671A0F58" w14:textId="7DD1D256" w:rsidR="006C2D48" w:rsidRDefault="006C2D48">
      <w:pPr>
        <w:pStyle w:val="TM1"/>
        <w:rPr>
          <w:rFonts w:asciiTheme="minorHAnsi" w:eastAsiaTheme="minorEastAsia" w:hAnsiTheme="minorHAnsi" w:cstheme="minorBidi"/>
          <w:kern w:val="2"/>
          <w:sz w:val="24"/>
          <w:szCs w:val="24"/>
          <w14:ligatures w14:val="standardContextual"/>
        </w:rPr>
      </w:pPr>
      <w:r>
        <w:t>Article 6:</w:t>
      </w:r>
      <w:r>
        <w:rPr>
          <w:rFonts w:asciiTheme="minorHAnsi" w:eastAsiaTheme="minorEastAsia" w:hAnsiTheme="minorHAnsi" w:cstheme="minorBidi"/>
          <w:kern w:val="2"/>
          <w:sz w:val="24"/>
          <w:szCs w:val="24"/>
          <w14:ligatures w14:val="standardContextual"/>
        </w:rPr>
        <w:tab/>
      </w:r>
      <w:r>
        <w:t>Contenu des prestations</w:t>
      </w:r>
      <w:r>
        <w:tab/>
      </w:r>
      <w:r>
        <w:fldChar w:fldCharType="begin"/>
      </w:r>
      <w:r>
        <w:instrText xml:space="preserve"> PAGEREF _Toc167956960 \h </w:instrText>
      </w:r>
      <w:r>
        <w:fldChar w:fldCharType="separate"/>
      </w:r>
      <w:r w:rsidR="002A4C40">
        <w:t>9</w:t>
      </w:r>
      <w:r>
        <w:fldChar w:fldCharType="end"/>
      </w:r>
    </w:p>
    <w:p w14:paraId="6DCB8B1E" w14:textId="757F3349" w:rsidR="006C2D48" w:rsidRDefault="006C2D48">
      <w:pPr>
        <w:pStyle w:val="TM3"/>
        <w:rPr>
          <w:rFonts w:asciiTheme="minorHAnsi" w:eastAsiaTheme="minorEastAsia" w:hAnsiTheme="minorHAnsi" w:cstheme="minorBidi"/>
          <w:kern w:val="2"/>
          <w:sz w:val="24"/>
          <w:szCs w:val="24"/>
          <w14:ligatures w14:val="standardContextual"/>
        </w:rPr>
      </w:pPr>
      <w:r>
        <w:t>6.1 -</w:t>
      </w:r>
      <w:r>
        <w:rPr>
          <w:rFonts w:asciiTheme="minorHAnsi" w:eastAsiaTheme="minorEastAsia" w:hAnsiTheme="minorHAnsi" w:cstheme="minorBidi"/>
          <w:kern w:val="2"/>
          <w:sz w:val="24"/>
          <w:szCs w:val="24"/>
          <w14:ligatures w14:val="standardContextual"/>
        </w:rPr>
        <w:tab/>
      </w:r>
      <w:r>
        <w:t>Prestations attendues en phase conception</w:t>
      </w:r>
      <w:r>
        <w:tab/>
      </w:r>
      <w:r>
        <w:fldChar w:fldCharType="begin"/>
      </w:r>
      <w:r>
        <w:instrText xml:space="preserve"> PAGEREF _Toc167956961 \h </w:instrText>
      </w:r>
      <w:r>
        <w:fldChar w:fldCharType="separate"/>
      </w:r>
      <w:r w:rsidR="002A4C40">
        <w:t>9</w:t>
      </w:r>
      <w:r>
        <w:fldChar w:fldCharType="end"/>
      </w:r>
    </w:p>
    <w:p w14:paraId="34A4EA2C" w14:textId="2BDF7613" w:rsidR="006C2D48" w:rsidRDefault="006C2D48">
      <w:pPr>
        <w:pStyle w:val="TM3"/>
        <w:rPr>
          <w:rFonts w:asciiTheme="minorHAnsi" w:eastAsiaTheme="minorEastAsia" w:hAnsiTheme="minorHAnsi" w:cstheme="minorBidi"/>
          <w:kern w:val="2"/>
          <w:sz w:val="24"/>
          <w:szCs w:val="24"/>
          <w14:ligatures w14:val="standardContextual"/>
        </w:rPr>
      </w:pPr>
      <w:r>
        <w:t>6.2 -</w:t>
      </w:r>
      <w:r>
        <w:rPr>
          <w:rFonts w:asciiTheme="minorHAnsi" w:eastAsiaTheme="minorEastAsia" w:hAnsiTheme="minorHAnsi" w:cstheme="minorBidi"/>
          <w:kern w:val="2"/>
          <w:sz w:val="24"/>
          <w:szCs w:val="24"/>
          <w14:ligatures w14:val="standardContextual"/>
        </w:rPr>
        <w:tab/>
      </w:r>
      <w:r>
        <w:t>Prestations attendues en phase réalisation</w:t>
      </w:r>
      <w:r>
        <w:tab/>
      </w:r>
      <w:r>
        <w:fldChar w:fldCharType="begin"/>
      </w:r>
      <w:r>
        <w:instrText xml:space="preserve"> PAGEREF _Toc167956962 \h </w:instrText>
      </w:r>
      <w:r>
        <w:fldChar w:fldCharType="separate"/>
      </w:r>
      <w:r w:rsidR="002A4C40">
        <w:t>9</w:t>
      </w:r>
      <w:r>
        <w:fldChar w:fldCharType="end"/>
      </w:r>
    </w:p>
    <w:p w14:paraId="35B85F98" w14:textId="36C188CD" w:rsidR="006C2D48" w:rsidRDefault="006C2D48">
      <w:pPr>
        <w:pStyle w:val="TM3"/>
        <w:rPr>
          <w:rFonts w:asciiTheme="minorHAnsi" w:eastAsiaTheme="minorEastAsia" w:hAnsiTheme="minorHAnsi" w:cstheme="minorBidi"/>
          <w:kern w:val="2"/>
          <w:sz w:val="24"/>
          <w:szCs w:val="24"/>
          <w14:ligatures w14:val="standardContextual"/>
        </w:rPr>
      </w:pPr>
      <w:r>
        <w:t>6.3 -</w:t>
      </w:r>
      <w:r>
        <w:rPr>
          <w:rFonts w:asciiTheme="minorHAnsi" w:eastAsiaTheme="minorEastAsia" w:hAnsiTheme="minorHAnsi" w:cstheme="minorBidi"/>
          <w:kern w:val="2"/>
          <w:sz w:val="24"/>
          <w:szCs w:val="24"/>
          <w14:ligatures w14:val="standardContextual"/>
        </w:rPr>
        <w:tab/>
      </w:r>
      <w:r>
        <w:t xml:space="preserve">Documents </w:t>
      </w:r>
      <w:r w:rsidRPr="00862A3E">
        <w:rPr>
          <w:rFonts w:cs="Marianne"/>
        </w:rPr>
        <w:t>à</w:t>
      </w:r>
      <w:r>
        <w:t xml:space="preserve"> remettre par le titulaire</w:t>
      </w:r>
      <w:r>
        <w:tab/>
      </w:r>
      <w:r>
        <w:fldChar w:fldCharType="begin"/>
      </w:r>
      <w:r>
        <w:instrText xml:space="preserve"> PAGEREF _Toc167956963 \h </w:instrText>
      </w:r>
      <w:r>
        <w:fldChar w:fldCharType="separate"/>
      </w:r>
      <w:r w:rsidR="002A4C40">
        <w:t>10</w:t>
      </w:r>
      <w:r>
        <w:fldChar w:fldCharType="end"/>
      </w:r>
    </w:p>
    <w:p w14:paraId="7D381A3D" w14:textId="39A9E868" w:rsidR="006C2D48" w:rsidRDefault="006C2D48">
      <w:pPr>
        <w:pStyle w:val="TM1"/>
        <w:rPr>
          <w:rFonts w:asciiTheme="minorHAnsi" w:eastAsiaTheme="minorEastAsia" w:hAnsiTheme="minorHAnsi" w:cstheme="minorBidi"/>
          <w:kern w:val="2"/>
          <w:sz w:val="24"/>
          <w:szCs w:val="24"/>
          <w14:ligatures w14:val="standardContextual"/>
        </w:rPr>
      </w:pPr>
      <w:r>
        <w:t>Article 7:</w:t>
      </w:r>
      <w:r>
        <w:rPr>
          <w:rFonts w:asciiTheme="minorHAnsi" w:eastAsiaTheme="minorEastAsia" w:hAnsiTheme="minorHAnsi" w:cstheme="minorBidi"/>
          <w:kern w:val="2"/>
          <w:sz w:val="24"/>
          <w:szCs w:val="24"/>
          <w14:ligatures w14:val="standardContextual"/>
        </w:rPr>
        <w:tab/>
      </w:r>
      <w:r>
        <w:t xml:space="preserve">Documents </w:t>
      </w:r>
      <w:r w:rsidRPr="00862A3E">
        <w:rPr>
          <w:rFonts w:cs="Marianne"/>
        </w:rPr>
        <w:t>à</w:t>
      </w:r>
      <w:r>
        <w:t xml:space="preserve"> fournir par le pouvoir adjudicateur</w:t>
      </w:r>
      <w:r>
        <w:tab/>
      </w:r>
      <w:r>
        <w:fldChar w:fldCharType="begin"/>
      </w:r>
      <w:r>
        <w:instrText xml:space="preserve"> PAGEREF _Toc167956964 \h </w:instrText>
      </w:r>
      <w:r>
        <w:fldChar w:fldCharType="separate"/>
      </w:r>
      <w:r w:rsidR="002A4C40">
        <w:t>11</w:t>
      </w:r>
      <w:r>
        <w:fldChar w:fldCharType="end"/>
      </w:r>
    </w:p>
    <w:p w14:paraId="6C53960F" w14:textId="46459FA5" w:rsidR="006C2D48" w:rsidRDefault="006C2D48">
      <w:pPr>
        <w:pStyle w:val="TM1"/>
        <w:rPr>
          <w:rFonts w:asciiTheme="minorHAnsi" w:eastAsiaTheme="minorEastAsia" w:hAnsiTheme="minorHAnsi" w:cstheme="minorBidi"/>
          <w:kern w:val="2"/>
          <w:sz w:val="24"/>
          <w:szCs w:val="24"/>
          <w14:ligatures w14:val="standardContextual"/>
        </w:rPr>
      </w:pPr>
      <w:r>
        <w:t>Article 8:</w:t>
      </w:r>
      <w:r>
        <w:rPr>
          <w:rFonts w:asciiTheme="minorHAnsi" w:eastAsiaTheme="minorEastAsia" w:hAnsiTheme="minorHAnsi" w:cstheme="minorBidi"/>
          <w:kern w:val="2"/>
          <w:sz w:val="24"/>
          <w:szCs w:val="24"/>
          <w14:ligatures w14:val="standardContextual"/>
        </w:rPr>
        <w:tab/>
      </w:r>
      <w:r>
        <w:t>D</w:t>
      </w:r>
      <w:r w:rsidRPr="00862A3E">
        <w:rPr>
          <w:rFonts w:cs="Marianne"/>
        </w:rPr>
        <w:t>é</w:t>
      </w:r>
      <w:r>
        <w:t>lais et prolongation du d</w:t>
      </w:r>
      <w:r w:rsidRPr="00862A3E">
        <w:rPr>
          <w:rFonts w:cs="Marianne"/>
        </w:rPr>
        <w:t>é</w:t>
      </w:r>
      <w:r>
        <w:t>lai d</w:t>
      </w:r>
      <w:r w:rsidRPr="00862A3E">
        <w:rPr>
          <w:rFonts w:cs="Marianne"/>
        </w:rPr>
        <w:t>’</w:t>
      </w:r>
      <w:r>
        <w:t>ex</w:t>
      </w:r>
      <w:r w:rsidRPr="00862A3E">
        <w:rPr>
          <w:rFonts w:cs="Marianne"/>
        </w:rPr>
        <w:t>é</w:t>
      </w:r>
      <w:r>
        <w:t>cution</w:t>
      </w:r>
      <w:r>
        <w:tab/>
      </w:r>
      <w:r>
        <w:fldChar w:fldCharType="begin"/>
      </w:r>
      <w:r>
        <w:instrText xml:space="preserve"> PAGEREF _Toc167956965 \h </w:instrText>
      </w:r>
      <w:r>
        <w:fldChar w:fldCharType="separate"/>
      </w:r>
      <w:r w:rsidR="002A4C40">
        <w:t>11</w:t>
      </w:r>
      <w:r>
        <w:fldChar w:fldCharType="end"/>
      </w:r>
    </w:p>
    <w:p w14:paraId="5DB0C00C" w14:textId="780A49D1" w:rsidR="006C2D48" w:rsidRDefault="006C2D48">
      <w:pPr>
        <w:pStyle w:val="TM3"/>
        <w:rPr>
          <w:rFonts w:asciiTheme="minorHAnsi" w:eastAsiaTheme="minorEastAsia" w:hAnsiTheme="minorHAnsi" w:cstheme="minorBidi"/>
          <w:kern w:val="2"/>
          <w:sz w:val="24"/>
          <w:szCs w:val="24"/>
          <w14:ligatures w14:val="standardContextual"/>
        </w:rPr>
      </w:pPr>
      <w:r>
        <w:t>8.1 -</w:t>
      </w:r>
      <w:r>
        <w:rPr>
          <w:rFonts w:asciiTheme="minorHAnsi" w:eastAsiaTheme="minorEastAsia" w:hAnsiTheme="minorHAnsi" w:cstheme="minorBidi"/>
          <w:kern w:val="2"/>
          <w:sz w:val="24"/>
          <w:szCs w:val="24"/>
          <w14:ligatures w14:val="standardContextual"/>
        </w:rPr>
        <w:tab/>
      </w:r>
      <w:r>
        <w:t>Délais d’exécution</w:t>
      </w:r>
      <w:r>
        <w:tab/>
      </w:r>
      <w:r>
        <w:fldChar w:fldCharType="begin"/>
      </w:r>
      <w:r>
        <w:instrText xml:space="preserve"> PAGEREF _Toc167956966 \h </w:instrText>
      </w:r>
      <w:r>
        <w:fldChar w:fldCharType="separate"/>
      </w:r>
      <w:r w:rsidR="002A4C40">
        <w:t>11</w:t>
      </w:r>
      <w:r>
        <w:fldChar w:fldCharType="end"/>
      </w:r>
    </w:p>
    <w:p w14:paraId="60C47D46" w14:textId="3DBEBEB4" w:rsidR="006C2D48" w:rsidRDefault="006C2D48">
      <w:pPr>
        <w:pStyle w:val="TM3"/>
        <w:rPr>
          <w:rFonts w:asciiTheme="minorHAnsi" w:eastAsiaTheme="minorEastAsia" w:hAnsiTheme="minorHAnsi" w:cstheme="minorBidi"/>
          <w:kern w:val="2"/>
          <w:sz w:val="24"/>
          <w:szCs w:val="24"/>
          <w14:ligatures w14:val="standardContextual"/>
        </w:rPr>
      </w:pPr>
      <w:r>
        <w:t>8.2 -</w:t>
      </w:r>
      <w:r>
        <w:rPr>
          <w:rFonts w:asciiTheme="minorHAnsi" w:eastAsiaTheme="minorEastAsia" w:hAnsiTheme="minorHAnsi" w:cstheme="minorBidi"/>
          <w:kern w:val="2"/>
          <w:sz w:val="24"/>
          <w:szCs w:val="24"/>
          <w14:ligatures w14:val="standardContextual"/>
        </w:rPr>
        <w:tab/>
      </w:r>
      <w:r>
        <w:t>Délais d’acceptation des documents</w:t>
      </w:r>
      <w:r>
        <w:tab/>
      </w:r>
      <w:r>
        <w:fldChar w:fldCharType="begin"/>
      </w:r>
      <w:r>
        <w:instrText xml:space="preserve"> PAGEREF _Toc167956967 \h </w:instrText>
      </w:r>
      <w:r>
        <w:fldChar w:fldCharType="separate"/>
      </w:r>
      <w:r w:rsidR="002A4C40">
        <w:t>12</w:t>
      </w:r>
      <w:r>
        <w:fldChar w:fldCharType="end"/>
      </w:r>
    </w:p>
    <w:p w14:paraId="6D06DC5D" w14:textId="59A6C8E5" w:rsidR="006C2D48" w:rsidRDefault="006C2D48">
      <w:pPr>
        <w:pStyle w:val="TM3"/>
        <w:rPr>
          <w:rFonts w:asciiTheme="minorHAnsi" w:eastAsiaTheme="minorEastAsia" w:hAnsiTheme="minorHAnsi" w:cstheme="minorBidi"/>
          <w:kern w:val="2"/>
          <w:sz w:val="24"/>
          <w:szCs w:val="24"/>
          <w14:ligatures w14:val="standardContextual"/>
        </w:rPr>
      </w:pPr>
      <w:r>
        <w:t>8.3 -</w:t>
      </w:r>
      <w:r>
        <w:rPr>
          <w:rFonts w:asciiTheme="minorHAnsi" w:eastAsiaTheme="minorEastAsia" w:hAnsiTheme="minorHAnsi" w:cstheme="minorBidi"/>
          <w:kern w:val="2"/>
          <w:sz w:val="24"/>
          <w:szCs w:val="24"/>
          <w14:ligatures w14:val="standardContextual"/>
        </w:rPr>
        <w:tab/>
      </w:r>
      <w:r>
        <w:t>Prolongation des délais d’exécution</w:t>
      </w:r>
      <w:r>
        <w:tab/>
      </w:r>
      <w:r>
        <w:fldChar w:fldCharType="begin"/>
      </w:r>
      <w:r>
        <w:instrText xml:space="preserve"> PAGEREF _Toc167956968 \h </w:instrText>
      </w:r>
      <w:r>
        <w:fldChar w:fldCharType="separate"/>
      </w:r>
      <w:r w:rsidR="002A4C40">
        <w:t>12</w:t>
      </w:r>
      <w:r>
        <w:fldChar w:fldCharType="end"/>
      </w:r>
    </w:p>
    <w:p w14:paraId="3B40D83E" w14:textId="6E75DA4C" w:rsidR="006C2D48" w:rsidRDefault="006C2D48">
      <w:pPr>
        <w:pStyle w:val="TM1"/>
        <w:rPr>
          <w:rFonts w:asciiTheme="minorHAnsi" w:eastAsiaTheme="minorEastAsia" w:hAnsiTheme="minorHAnsi" w:cstheme="minorBidi"/>
          <w:kern w:val="2"/>
          <w:sz w:val="24"/>
          <w:szCs w:val="24"/>
          <w14:ligatures w14:val="standardContextual"/>
        </w:rPr>
      </w:pPr>
      <w:r>
        <w:t>Article 9:</w:t>
      </w:r>
      <w:r>
        <w:rPr>
          <w:rFonts w:asciiTheme="minorHAnsi" w:eastAsiaTheme="minorEastAsia" w:hAnsiTheme="minorHAnsi" w:cstheme="minorBidi"/>
          <w:kern w:val="2"/>
          <w:sz w:val="24"/>
          <w:szCs w:val="24"/>
          <w14:ligatures w14:val="standardContextual"/>
        </w:rPr>
        <w:tab/>
      </w:r>
      <w:r>
        <w:t>P</w:t>
      </w:r>
      <w:r w:rsidRPr="00862A3E">
        <w:rPr>
          <w:rFonts w:cs="Marianne"/>
        </w:rPr>
        <w:t>é</w:t>
      </w:r>
      <w:r>
        <w:t>nalit</w:t>
      </w:r>
      <w:r w:rsidRPr="00862A3E">
        <w:rPr>
          <w:rFonts w:cs="Marianne"/>
        </w:rPr>
        <w:t>é</w:t>
      </w:r>
      <w:r>
        <w:t>s pour retard</w:t>
      </w:r>
      <w:r>
        <w:tab/>
      </w:r>
      <w:r>
        <w:fldChar w:fldCharType="begin"/>
      </w:r>
      <w:r>
        <w:instrText xml:space="preserve"> PAGEREF _Toc167956969 \h </w:instrText>
      </w:r>
      <w:r>
        <w:fldChar w:fldCharType="separate"/>
      </w:r>
      <w:r w:rsidR="002A4C40">
        <w:t>12</w:t>
      </w:r>
      <w:r>
        <w:fldChar w:fldCharType="end"/>
      </w:r>
    </w:p>
    <w:p w14:paraId="41B49120" w14:textId="3A447F09" w:rsidR="006C2D48" w:rsidRDefault="006C2D48">
      <w:pPr>
        <w:pStyle w:val="TM2"/>
        <w:rPr>
          <w:rFonts w:asciiTheme="minorHAnsi" w:eastAsiaTheme="minorEastAsia" w:hAnsiTheme="minorHAnsi" w:cstheme="minorBidi"/>
          <w:kern w:val="2"/>
          <w:sz w:val="24"/>
          <w:szCs w:val="24"/>
          <w14:ligatures w14:val="standardContextual"/>
        </w:rPr>
      </w:pPr>
      <w:r>
        <w:t>CHAPITRE III -</w:t>
      </w:r>
      <w:r>
        <w:rPr>
          <w:rFonts w:asciiTheme="minorHAnsi" w:eastAsiaTheme="minorEastAsia" w:hAnsiTheme="minorHAnsi" w:cstheme="minorBidi"/>
          <w:kern w:val="2"/>
          <w:sz w:val="24"/>
          <w:szCs w:val="24"/>
          <w14:ligatures w14:val="standardContextual"/>
        </w:rPr>
        <w:tab/>
      </w:r>
      <w:r>
        <w:t>PRIX ET REGLEMENT</w:t>
      </w:r>
      <w:r>
        <w:tab/>
      </w:r>
      <w:r>
        <w:fldChar w:fldCharType="begin"/>
      </w:r>
      <w:r>
        <w:instrText xml:space="preserve"> PAGEREF _Toc167956970 \h </w:instrText>
      </w:r>
      <w:r>
        <w:fldChar w:fldCharType="separate"/>
      </w:r>
      <w:r w:rsidR="002A4C40">
        <w:t>14</w:t>
      </w:r>
      <w:r>
        <w:fldChar w:fldCharType="end"/>
      </w:r>
    </w:p>
    <w:p w14:paraId="473040DB" w14:textId="70CA459F" w:rsidR="006C2D48" w:rsidRDefault="006C2D48">
      <w:pPr>
        <w:pStyle w:val="TM1"/>
        <w:rPr>
          <w:rFonts w:asciiTheme="minorHAnsi" w:eastAsiaTheme="minorEastAsia" w:hAnsiTheme="minorHAnsi" w:cstheme="minorBidi"/>
          <w:kern w:val="2"/>
          <w:sz w:val="24"/>
          <w:szCs w:val="24"/>
          <w14:ligatures w14:val="standardContextual"/>
        </w:rPr>
      </w:pPr>
      <w:r>
        <w:t>Article 10:</w:t>
      </w:r>
      <w:r>
        <w:rPr>
          <w:rFonts w:asciiTheme="minorHAnsi" w:eastAsiaTheme="minorEastAsia" w:hAnsiTheme="minorHAnsi" w:cstheme="minorBidi"/>
          <w:kern w:val="2"/>
          <w:sz w:val="24"/>
          <w:szCs w:val="24"/>
          <w14:ligatures w14:val="standardContextual"/>
        </w:rPr>
        <w:tab/>
      </w:r>
      <w:r>
        <w:t>Prix</w:t>
      </w:r>
      <w:r>
        <w:tab/>
      </w:r>
      <w:r>
        <w:fldChar w:fldCharType="begin"/>
      </w:r>
      <w:r>
        <w:instrText xml:space="preserve"> PAGEREF _Toc167956971 \h </w:instrText>
      </w:r>
      <w:r>
        <w:fldChar w:fldCharType="separate"/>
      </w:r>
      <w:r w:rsidR="002A4C40">
        <w:t>14</w:t>
      </w:r>
      <w:r>
        <w:fldChar w:fldCharType="end"/>
      </w:r>
    </w:p>
    <w:p w14:paraId="2134EF4C" w14:textId="1ADDDE4C" w:rsidR="006C2D48" w:rsidRDefault="006C2D48">
      <w:pPr>
        <w:pStyle w:val="TM3"/>
        <w:rPr>
          <w:rFonts w:asciiTheme="minorHAnsi" w:eastAsiaTheme="minorEastAsia" w:hAnsiTheme="minorHAnsi" w:cstheme="minorBidi"/>
          <w:kern w:val="2"/>
          <w:sz w:val="24"/>
          <w:szCs w:val="24"/>
          <w14:ligatures w14:val="standardContextual"/>
        </w:rPr>
      </w:pPr>
      <w:r>
        <w:t>10.1 -</w:t>
      </w:r>
      <w:r>
        <w:rPr>
          <w:rFonts w:asciiTheme="minorHAnsi" w:eastAsiaTheme="minorEastAsia" w:hAnsiTheme="minorHAnsi" w:cstheme="minorBidi"/>
          <w:kern w:val="2"/>
          <w:sz w:val="24"/>
          <w:szCs w:val="24"/>
          <w14:ligatures w14:val="standardContextual"/>
        </w:rPr>
        <w:tab/>
      </w:r>
      <w:r>
        <w:t>Contenu et conditions d’établissement des prix</w:t>
      </w:r>
      <w:r>
        <w:tab/>
      </w:r>
      <w:r>
        <w:fldChar w:fldCharType="begin"/>
      </w:r>
      <w:r>
        <w:instrText xml:space="preserve"> PAGEREF _Toc167956972 \h </w:instrText>
      </w:r>
      <w:r>
        <w:fldChar w:fldCharType="separate"/>
      </w:r>
      <w:r w:rsidR="002A4C40">
        <w:t>14</w:t>
      </w:r>
      <w:r>
        <w:fldChar w:fldCharType="end"/>
      </w:r>
    </w:p>
    <w:p w14:paraId="06CCF301" w14:textId="4CA5D510" w:rsidR="006C2D48" w:rsidRDefault="006C2D48">
      <w:pPr>
        <w:pStyle w:val="TM3"/>
        <w:rPr>
          <w:rFonts w:asciiTheme="minorHAnsi" w:eastAsiaTheme="minorEastAsia" w:hAnsiTheme="minorHAnsi" w:cstheme="minorBidi"/>
          <w:kern w:val="2"/>
          <w:sz w:val="24"/>
          <w:szCs w:val="24"/>
          <w14:ligatures w14:val="standardContextual"/>
        </w:rPr>
      </w:pPr>
      <w:r>
        <w:t>10.2 -</w:t>
      </w:r>
      <w:r>
        <w:rPr>
          <w:rFonts w:asciiTheme="minorHAnsi" w:eastAsiaTheme="minorEastAsia" w:hAnsiTheme="minorHAnsi" w:cstheme="minorBidi"/>
          <w:kern w:val="2"/>
          <w:sz w:val="24"/>
          <w:szCs w:val="24"/>
          <w14:ligatures w14:val="standardContextual"/>
        </w:rPr>
        <w:tab/>
      </w:r>
      <w:r>
        <w:t>Variation des prix</w:t>
      </w:r>
      <w:r>
        <w:tab/>
      </w:r>
      <w:r>
        <w:fldChar w:fldCharType="begin"/>
      </w:r>
      <w:r>
        <w:instrText xml:space="preserve"> PAGEREF _Toc167956973 \h </w:instrText>
      </w:r>
      <w:r>
        <w:fldChar w:fldCharType="separate"/>
      </w:r>
      <w:r w:rsidR="002A4C40">
        <w:t>14</w:t>
      </w:r>
      <w:r>
        <w:fldChar w:fldCharType="end"/>
      </w:r>
    </w:p>
    <w:p w14:paraId="7F933045" w14:textId="10EB9D48" w:rsidR="006C2D48" w:rsidRDefault="006C2D48">
      <w:pPr>
        <w:pStyle w:val="TM3"/>
        <w:rPr>
          <w:rFonts w:asciiTheme="minorHAnsi" w:eastAsiaTheme="minorEastAsia" w:hAnsiTheme="minorHAnsi" w:cstheme="minorBidi"/>
          <w:kern w:val="2"/>
          <w:sz w:val="24"/>
          <w:szCs w:val="24"/>
          <w14:ligatures w14:val="standardContextual"/>
        </w:rPr>
      </w:pPr>
      <w:r>
        <w:t>10.3 -</w:t>
      </w:r>
      <w:r>
        <w:rPr>
          <w:rFonts w:asciiTheme="minorHAnsi" w:eastAsiaTheme="minorEastAsia" w:hAnsiTheme="minorHAnsi" w:cstheme="minorBidi"/>
          <w:kern w:val="2"/>
          <w:sz w:val="24"/>
          <w:szCs w:val="24"/>
          <w14:ligatures w14:val="standardContextual"/>
        </w:rPr>
        <w:tab/>
      </w:r>
      <w:r>
        <w:t>Taxe sur la valeur ajoutée (TVA)</w:t>
      </w:r>
      <w:r>
        <w:tab/>
      </w:r>
      <w:r>
        <w:fldChar w:fldCharType="begin"/>
      </w:r>
      <w:r>
        <w:instrText xml:space="preserve"> PAGEREF _Toc167956974 \h </w:instrText>
      </w:r>
      <w:r>
        <w:fldChar w:fldCharType="separate"/>
      </w:r>
      <w:r w:rsidR="002A4C40">
        <w:t>15</w:t>
      </w:r>
      <w:r>
        <w:fldChar w:fldCharType="end"/>
      </w:r>
    </w:p>
    <w:p w14:paraId="4CAFCF23" w14:textId="39FD9E29" w:rsidR="006C2D48" w:rsidRDefault="006C2D48">
      <w:pPr>
        <w:pStyle w:val="TM1"/>
        <w:rPr>
          <w:rFonts w:asciiTheme="minorHAnsi" w:eastAsiaTheme="minorEastAsia" w:hAnsiTheme="minorHAnsi" w:cstheme="minorBidi"/>
          <w:kern w:val="2"/>
          <w:sz w:val="24"/>
          <w:szCs w:val="24"/>
          <w14:ligatures w14:val="standardContextual"/>
        </w:rPr>
      </w:pPr>
      <w:r>
        <w:t>Article 11:</w:t>
      </w:r>
      <w:r>
        <w:rPr>
          <w:rFonts w:asciiTheme="minorHAnsi" w:eastAsiaTheme="minorEastAsia" w:hAnsiTheme="minorHAnsi" w:cstheme="minorBidi"/>
          <w:kern w:val="2"/>
          <w:sz w:val="24"/>
          <w:szCs w:val="24"/>
          <w14:ligatures w14:val="standardContextual"/>
        </w:rPr>
        <w:tab/>
      </w:r>
      <w:r>
        <w:t>Modalit</w:t>
      </w:r>
      <w:r w:rsidRPr="00862A3E">
        <w:rPr>
          <w:rFonts w:cs="Marianne"/>
        </w:rPr>
        <w:t>é</w:t>
      </w:r>
      <w:r>
        <w:t>s de r</w:t>
      </w:r>
      <w:r w:rsidRPr="00862A3E">
        <w:rPr>
          <w:rFonts w:cs="Marianne"/>
        </w:rPr>
        <w:t>è</w:t>
      </w:r>
      <w:r>
        <w:t>glement</w:t>
      </w:r>
      <w:r>
        <w:tab/>
      </w:r>
      <w:r>
        <w:fldChar w:fldCharType="begin"/>
      </w:r>
      <w:r>
        <w:instrText xml:space="preserve"> PAGEREF _Toc167956975 \h </w:instrText>
      </w:r>
      <w:r>
        <w:fldChar w:fldCharType="separate"/>
      </w:r>
      <w:r w:rsidR="002A4C40">
        <w:t>15</w:t>
      </w:r>
      <w:r>
        <w:fldChar w:fldCharType="end"/>
      </w:r>
    </w:p>
    <w:p w14:paraId="0FAA462A" w14:textId="51A95DEA" w:rsidR="006C2D48" w:rsidRDefault="006C2D48">
      <w:pPr>
        <w:pStyle w:val="TM3"/>
        <w:rPr>
          <w:rFonts w:asciiTheme="minorHAnsi" w:eastAsiaTheme="minorEastAsia" w:hAnsiTheme="minorHAnsi" w:cstheme="minorBidi"/>
          <w:kern w:val="2"/>
          <w:sz w:val="24"/>
          <w:szCs w:val="24"/>
          <w14:ligatures w14:val="standardContextual"/>
        </w:rPr>
      </w:pPr>
      <w:r>
        <w:t>11.1 -</w:t>
      </w:r>
      <w:r>
        <w:rPr>
          <w:rFonts w:asciiTheme="minorHAnsi" w:eastAsiaTheme="minorEastAsia" w:hAnsiTheme="minorHAnsi" w:cstheme="minorBidi"/>
          <w:kern w:val="2"/>
          <w:sz w:val="24"/>
          <w:szCs w:val="24"/>
          <w14:ligatures w14:val="standardContextual"/>
        </w:rPr>
        <w:tab/>
      </w:r>
      <w:r>
        <w:t>Répartition des paiements</w:t>
      </w:r>
      <w:r>
        <w:tab/>
      </w:r>
      <w:r>
        <w:fldChar w:fldCharType="begin"/>
      </w:r>
      <w:r>
        <w:instrText xml:space="preserve"> PAGEREF _Toc167956976 \h </w:instrText>
      </w:r>
      <w:r>
        <w:fldChar w:fldCharType="separate"/>
      </w:r>
      <w:r w:rsidR="002A4C40">
        <w:t>15</w:t>
      </w:r>
      <w:r>
        <w:fldChar w:fldCharType="end"/>
      </w:r>
    </w:p>
    <w:p w14:paraId="12526193" w14:textId="6984BDBC" w:rsidR="006C2D48" w:rsidRDefault="006C2D48">
      <w:pPr>
        <w:pStyle w:val="TM3"/>
        <w:rPr>
          <w:rFonts w:asciiTheme="minorHAnsi" w:eastAsiaTheme="minorEastAsia" w:hAnsiTheme="minorHAnsi" w:cstheme="minorBidi"/>
          <w:kern w:val="2"/>
          <w:sz w:val="24"/>
          <w:szCs w:val="24"/>
          <w14:ligatures w14:val="standardContextual"/>
        </w:rPr>
      </w:pPr>
      <w:r>
        <w:t>11.2 -</w:t>
      </w:r>
      <w:r>
        <w:rPr>
          <w:rFonts w:asciiTheme="minorHAnsi" w:eastAsiaTheme="minorEastAsia" w:hAnsiTheme="minorHAnsi" w:cstheme="minorBidi"/>
          <w:kern w:val="2"/>
          <w:sz w:val="24"/>
          <w:szCs w:val="24"/>
          <w14:ligatures w14:val="standardContextual"/>
        </w:rPr>
        <w:tab/>
      </w:r>
      <w:r>
        <w:t>Module de gestion financière</w:t>
      </w:r>
      <w:r>
        <w:tab/>
      </w:r>
      <w:r>
        <w:fldChar w:fldCharType="begin"/>
      </w:r>
      <w:r>
        <w:instrText xml:space="preserve"> PAGEREF _Toc167956977 \h </w:instrText>
      </w:r>
      <w:r>
        <w:fldChar w:fldCharType="separate"/>
      </w:r>
      <w:r w:rsidR="002A4C40">
        <w:t>15</w:t>
      </w:r>
      <w:r>
        <w:fldChar w:fldCharType="end"/>
      </w:r>
    </w:p>
    <w:p w14:paraId="7D75ED3C" w14:textId="246FCC6F" w:rsidR="006C2D48" w:rsidRDefault="006C2D48">
      <w:pPr>
        <w:pStyle w:val="TM3"/>
        <w:rPr>
          <w:rFonts w:asciiTheme="minorHAnsi" w:eastAsiaTheme="minorEastAsia" w:hAnsiTheme="minorHAnsi" w:cstheme="minorBidi"/>
          <w:kern w:val="2"/>
          <w:sz w:val="24"/>
          <w:szCs w:val="24"/>
          <w14:ligatures w14:val="standardContextual"/>
        </w:rPr>
      </w:pPr>
      <w:r>
        <w:t>11.3 -</w:t>
      </w:r>
      <w:r>
        <w:rPr>
          <w:rFonts w:asciiTheme="minorHAnsi" w:eastAsiaTheme="minorEastAsia" w:hAnsiTheme="minorHAnsi" w:cstheme="minorBidi"/>
          <w:kern w:val="2"/>
          <w:sz w:val="24"/>
          <w:szCs w:val="24"/>
          <w14:ligatures w14:val="standardContextual"/>
        </w:rPr>
        <w:tab/>
      </w:r>
      <w:r>
        <w:t>Avance</w:t>
      </w:r>
      <w:r>
        <w:tab/>
      </w:r>
      <w:r>
        <w:fldChar w:fldCharType="begin"/>
      </w:r>
      <w:r>
        <w:instrText xml:space="preserve"> PAGEREF _Toc167956978 \h </w:instrText>
      </w:r>
      <w:r>
        <w:fldChar w:fldCharType="separate"/>
      </w:r>
      <w:r w:rsidR="002A4C40">
        <w:t>15</w:t>
      </w:r>
      <w:r>
        <w:fldChar w:fldCharType="end"/>
      </w:r>
    </w:p>
    <w:p w14:paraId="301B16C7" w14:textId="700290D1" w:rsidR="006C2D48" w:rsidRDefault="006C2D48">
      <w:pPr>
        <w:pStyle w:val="TM3"/>
        <w:rPr>
          <w:rFonts w:asciiTheme="minorHAnsi" w:eastAsiaTheme="minorEastAsia" w:hAnsiTheme="minorHAnsi" w:cstheme="minorBidi"/>
          <w:kern w:val="2"/>
          <w:sz w:val="24"/>
          <w:szCs w:val="24"/>
          <w14:ligatures w14:val="standardContextual"/>
        </w:rPr>
      </w:pPr>
      <w:r>
        <w:t>11.4 -</w:t>
      </w:r>
      <w:r>
        <w:rPr>
          <w:rFonts w:asciiTheme="minorHAnsi" w:eastAsiaTheme="minorEastAsia" w:hAnsiTheme="minorHAnsi" w:cstheme="minorBidi"/>
          <w:kern w:val="2"/>
          <w:sz w:val="24"/>
          <w:szCs w:val="24"/>
          <w14:ligatures w14:val="standardContextual"/>
        </w:rPr>
        <w:tab/>
      </w:r>
      <w:r>
        <w:t>Règlement des comptes</w:t>
      </w:r>
      <w:r>
        <w:tab/>
      </w:r>
      <w:r>
        <w:fldChar w:fldCharType="begin"/>
      </w:r>
      <w:r>
        <w:instrText xml:space="preserve"> PAGEREF _Toc167956979 \h </w:instrText>
      </w:r>
      <w:r>
        <w:fldChar w:fldCharType="separate"/>
      </w:r>
      <w:r w:rsidR="002A4C40">
        <w:t>16</w:t>
      </w:r>
      <w:r>
        <w:fldChar w:fldCharType="end"/>
      </w:r>
    </w:p>
    <w:p w14:paraId="1A458D10" w14:textId="2D7AA19B" w:rsidR="006C2D48" w:rsidRDefault="006C2D48">
      <w:pPr>
        <w:pStyle w:val="TM3"/>
        <w:rPr>
          <w:rFonts w:asciiTheme="minorHAnsi" w:eastAsiaTheme="minorEastAsia" w:hAnsiTheme="minorHAnsi" w:cstheme="minorBidi"/>
          <w:kern w:val="2"/>
          <w:sz w:val="24"/>
          <w:szCs w:val="24"/>
          <w14:ligatures w14:val="standardContextual"/>
        </w:rPr>
      </w:pPr>
      <w:r>
        <w:t>11.5 -</w:t>
      </w:r>
      <w:r>
        <w:rPr>
          <w:rFonts w:asciiTheme="minorHAnsi" w:eastAsiaTheme="minorEastAsia" w:hAnsiTheme="minorHAnsi" w:cstheme="minorBidi"/>
          <w:kern w:val="2"/>
          <w:sz w:val="24"/>
          <w:szCs w:val="24"/>
          <w14:ligatures w14:val="standardContextual"/>
        </w:rPr>
        <w:tab/>
      </w:r>
      <w:r>
        <w:t>Modalités de paiement</w:t>
      </w:r>
      <w:r>
        <w:tab/>
      </w:r>
      <w:r>
        <w:fldChar w:fldCharType="begin"/>
      </w:r>
      <w:r>
        <w:instrText xml:space="preserve"> PAGEREF _Toc167956980 \h </w:instrText>
      </w:r>
      <w:r>
        <w:fldChar w:fldCharType="separate"/>
      </w:r>
      <w:r w:rsidR="002A4C40">
        <w:t>16</w:t>
      </w:r>
      <w:r>
        <w:fldChar w:fldCharType="end"/>
      </w:r>
    </w:p>
    <w:p w14:paraId="79415E33" w14:textId="54967E91" w:rsidR="006C2D48" w:rsidRDefault="006C2D48">
      <w:pPr>
        <w:pStyle w:val="TM3"/>
        <w:rPr>
          <w:rFonts w:asciiTheme="minorHAnsi" w:eastAsiaTheme="minorEastAsia" w:hAnsiTheme="minorHAnsi" w:cstheme="minorBidi"/>
          <w:kern w:val="2"/>
          <w:sz w:val="24"/>
          <w:szCs w:val="24"/>
          <w14:ligatures w14:val="standardContextual"/>
        </w:rPr>
      </w:pPr>
      <w:r>
        <w:t>11.6 -</w:t>
      </w:r>
      <w:r>
        <w:rPr>
          <w:rFonts w:asciiTheme="minorHAnsi" w:eastAsiaTheme="minorEastAsia" w:hAnsiTheme="minorHAnsi" w:cstheme="minorBidi"/>
          <w:kern w:val="2"/>
          <w:sz w:val="24"/>
          <w:szCs w:val="24"/>
          <w14:ligatures w14:val="standardContextual"/>
        </w:rPr>
        <w:tab/>
      </w:r>
      <w:r>
        <w:t>Paiement des cotraitants et des sous-traitants</w:t>
      </w:r>
      <w:r>
        <w:tab/>
      </w:r>
      <w:r>
        <w:fldChar w:fldCharType="begin"/>
      </w:r>
      <w:r>
        <w:instrText xml:space="preserve"> PAGEREF _Toc167956981 \h </w:instrText>
      </w:r>
      <w:r>
        <w:fldChar w:fldCharType="separate"/>
      </w:r>
      <w:r w:rsidR="002A4C40">
        <w:t>17</w:t>
      </w:r>
      <w:r>
        <w:fldChar w:fldCharType="end"/>
      </w:r>
    </w:p>
    <w:p w14:paraId="5BC7BDFE" w14:textId="2C82508D" w:rsidR="006C2D48" w:rsidRDefault="006C2D48">
      <w:pPr>
        <w:pStyle w:val="TM3"/>
        <w:rPr>
          <w:rFonts w:asciiTheme="minorHAnsi" w:eastAsiaTheme="minorEastAsia" w:hAnsiTheme="minorHAnsi" w:cstheme="minorBidi"/>
          <w:kern w:val="2"/>
          <w:sz w:val="24"/>
          <w:szCs w:val="24"/>
          <w14:ligatures w14:val="standardContextual"/>
        </w:rPr>
      </w:pPr>
      <w:r>
        <w:t>11.7 -</w:t>
      </w:r>
      <w:r>
        <w:rPr>
          <w:rFonts w:asciiTheme="minorHAnsi" w:eastAsiaTheme="minorEastAsia" w:hAnsiTheme="minorHAnsi" w:cstheme="minorBidi"/>
          <w:kern w:val="2"/>
          <w:sz w:val="24"/>
          <w:szCs w:val="24"/>
          <w14:ligatures w14:val="standardContextual"/>
        </w:rPr>
        <w:tab/>
      </w:r>
      <w:r>
        <w:t>Solde</w:t>
      </w:r>
      <w:r>
        <w:tab/>
      </w:r>
      <w:r>
        <w:fldChar w:fldCharType="begin"/>
      </w:r>
      <w:r>
        <w:instrText xml:space="preserve"> PAGEREF _Toc167956982 \h </w:instrText>
      </w:r>
      <w:r>
        <w:fldChar w:fldCharType="separate"/>
      </w:r>
      <w:r w:rsidR="002A4C40">
        <w:t>17</w:t>
      </w:r>
      <w:r>
        <w:fldChar w:fldCharType="end"/>
      </w:r>
    </w:p>
    <w:p w14:paraId="18D08FAB" w14:textId="1E58FCD4" w:rsidR="006C2D48" w:rsidRDefault="006C2D48">
      <w:pPr>
        <w:pStyle w:val="TM3"/>
        <w:rPr>
          <w:rFonts w:asciiTheme="minorHAnsi" w:eastAsiaTheme="minorEastAsia" w:hAnsiTheme="minorHAnsi" w:cstheme="minorBidi"/>
          <w:kern w:val="2"/>
          <w:sz w:val="24"/>
          <w:szCs w:val="24"/>
          <w14:ligatures w14:val="standardContextual"/>
        </w:rPr>
      </w:pPr>
      <w:r>
        <w:t>11.8 -</w:t>
      </w:r>
      <w:r>
        <w:rPr>
          <w:rFonts w:asciiTheme="minorHAnsi" w:eastAsiaTheme="minorEastAsia" w:hAnsiTheme="minorHAnsi" w:cstheme="minorBidi"/>
          <w:kern w:val="2"/>
          <w:sz w:val="24"/>
          <w:szCs w:val="24"/>
          <w14:ligatures w14:val="standardContextual"/>
        </w:rPr>
        <w:tab/>
      </w:r>
      <w:r>
        <w:t>Délai de paiements</w:t>
      </w:r>
      <w:r>
        <w:tab/>
      </w:r>
      <w:r>
        <w:fldChar w:fldCharType="begin"/>
      </w:r>
      <w:r>
        <w:instrText xml:space="preserve"> PAGEREF _Toc167956983 \h </w:instrText>
      </w:r>
      <w:r>
        <w:fldChar w:fldCharType="separate"/>
      </w:r>
      <w:r w:rsidR="002A4C40">
        <w:t>18</w:t>
      </w:r>
      <w:r>
        <w:fldChar w:fldCharType="end"/>
      </w:r>
    </w:p>
    <w:p w14:paraId="14245729" w14:textId="56E80F0E" w:rsidR="006C2D48" w:rsidRDefault="006C2D48">
      <w:pPr>
        <w:pStyle w:val="TM2"/>
        <w:rPr>
          <w:rFonts w:asciiTheme="minorHAnsi" w:eastAsiaTheme="minorEastAsia" w:hAnsiTheme="minorHAnsi" w:cstheme="minorBidi"/>
          <w:kern w:val="2"/>
          <w:sz w:val="24"/>
          <w:szCs w:val="24"/>
          <w14:ligatures w14:val="standardContextual"/>
        </w:rPr>
      </w:pPr>
      <w:r>
        <w:t>CHAPITRE IV -</w:t>
      </w:r>
      <w:r>
        <w:rPr>
          <w:rFonts w:asciiTheme="minorHAnsi" w:eastAsiaTheme="minorEastAsia" w:hAnsiTheme="minorHAnsi" w:cstheme="minorBidi"/>
          <w:kern w:val="2"/>
          <w:sz w:val="24"/>
          <w:szCs w:val="24"/>
          <w14:ligatures w14:val="standardContextual"/>
        </w:rPr>
        <w:tab/>
      </w:r>
      <w:r>
        <w:t>PROTECTION DES PARTIES APPORTEE PAR L’ACCORD-CADRE</w:t>
      </w:r>
      <w:r>
        <w:tab/>
      </w:r>
      <w:r>
        <w:fldChar w:fldCharType="begin"/>
      </w:r>
      <w:r>
        <w:instrText xml:space="preserve"> PAGEREF _Toc167956984 \h </w:instrText>
      </w:r>
      <w:r>
        <w:fldChar w:fldCharType="separate"/>
      </w:r>
      <w:r w:rsidR="002A4C40">
        <w:t>20</w:t>
      </w:r>
      <w:r>
        <w:fldChar w:fldCharType="end"/>
      </w:r>
    </w:p>
    <w:p w14:paraId="513070AC" w14:textId="1F967536" w:rsidR="006C2D48" w:rsidRDefault="006C2D48">
      <w:pPr>
        <w:pStyle w:val="TM1"/>
        <w:rPr>
          <w:rFonts w:asciiTheme="minorHAnsi" w:eastAsiaTheme="minorEastAsia" w:hAnsiTheme="minorHAnsi" w:cstheme="minorBidi"/>
          <w:kern w:val="2"/>
          <w:sz w:val="24"/>
          <w:szCs w:val="24"/>
          <w14:ligatures w14:val="standardContextual"/>
        </w:rPr>
      </w:pPr>
      <w:r>
        <w:t>Article 12:</w:t>
      </w:r>
      <w:r>
        <w:rPr>
          <w:rFonts w:asciiTheme="minorHAnsi" w:eastAsiaTheme="minorEastAsia" w:hAnsiTheme="minorHAnsi" w:cstheme="minorBidi"/>
          <w:kern w:val="2"/>
          <w:sz w:val="24"/>
          <w:szCs w:val="24"/>
          <w14:ligatures w14:val="standardContextual"/>
        </w:rPr>
        <w:tab/>
      </w:r>
      <w:r>
        <w:t>Conditions particuli</w:t>
      </w:r>
      <w:r w:rsidRPr="00862A3E">
        <w:rPr>
          <w:rFonts w:cs="Marianne"/>
        </w:rPr>
        <w:t>è</w:t>
      </w:r>
      <w:r>
        <w:t>res d</w:t>
      </w:r>
      <w:r w:rsidRPr="00862A3E">
        <w:rPr>
          <w:rFonts w:cs="Marianne"/>
        </w:rPr>
        <w:t>’</w:t>
      </w:r>
      <w:r>
        <w:t>intervention</w:t>
      </w:r>
      <w:r>
        <w:tab/>
      </w:r>
      <w:r>
        <w:fldChar w:fldCharType="begin"/>
      </w:r>
      <w:r>
        <w:instrText xml:space="preserve"> PAGEREF _Toc167956985 \h </w:instrText>
      </w:r>
      <w:r>
        <w:fldChar w:fldCharType="separate"/>
      </w:r>
      <w:r w:rsidR="002A4C40">
        <w:t>20</w:t>
      </w:r>
      <w:r>
        <w:fldChar w:fldCharType="end"/>
      </w:r>
    </w:p>
    <w:p w14:paraId="4A5F59D7" w14:textId="6A1B6C63" w:rsidR="006C2D48" w:rsidRDefault="006C2D48">
      <w:pPr>
        <w:pStyle w:val="TM1"/>
        <w:rPr>
          <w:rFonts w:asciiTheme="minorHAnsi" w:eastAsiaTheme="minorEastAsia" w:hAnsiTheme="minorHAnsi" w:cstheme="minorBidi"/>
          <w:kern w:val="2"/>
          <w:sz w:val="24"/>
          <w:szCs w:val="24"/>
          <w14:ligatures w14:val="standardContextual"/>
        </w:rPr>
      </w:pPr>
      <w:r>
        <w:t>Article 13:</w:t>
      </w:r>
      <w:r>
        <w:rPr>
          <w:rFonts w:asciiTheme="minorHAnsi" w:eastAsiaTheme="minorEastAsia" w:hAnsiTheme="minorHAnsi" w:cstheme="minorBidi"/>
          <w:kern w:val="2"/>
          <w:sz w:val="24"/>
          <w:szCs w:val="24"/>
          <w14:ligatures w14:val="standardContextual"/>
        </w:rPr>
        <w:tab/>
      </w:r>
      <w:r>
        <w:t>Propri</w:t>
      </w:r>
      <w:r w:rsidRPr="00862A3E">
        <w:rPr>
          <w:rFonts w:cs="Marianne"/>
        </w:rPr>
        <w:t>é</w:t>
      </w:r>
      <w:r>
        <w:t>t</w:t>
      </w:r>
      <w:r w:rsidRPr="00862A3E">
        <w:rPr>
          <w:rFonts w:cs="Marianne"/>
        </w:rPr>
        <w:t>é</w:t>
      </w:r>
      <w:r>
        <w:t xml:space="preserve"> intellectuelle</w:t>
      </w:r>
      <w:r>
        <w:tab/>
      </w:r>
      <w:r>
        <w:fldChar w:fldCharType="begin"/>
      </w:r>
      <w:r>
        <w:instrText xml:space="preserve"> PAGEREF _Toc167956986 \h </w:instrText>
      </w:r>
      <w:r>
        <w:fldChar w:fldCharType="separate"/>
      </w:r>
      <w:r w:rsidR="002A4C40">
        <w:t>20</w:t>
      </w:r>
      <w:r>
        <w:fldChar w:fldCharType="end"/>
      </w:r>
    </w:p>
    <w:p w14:paraId="47066166" w14:textId="3919EEA7" w:rsidR="006C2D48" w:rsidRDefault="006C2D48">
      <w:pPr>
        <w:pStyle w:val="TM1"/>
        <w:rPr>
          <w:rFonts w:asciiTheme="minorHAnsi" w:eastAsiaTheme="minorEastAsia" w:hAnsiTheme="minorHAnsi" w:cstheme="minorBidi"/>
          <w:kern w:val="2"/>
          <w:sz w:val="24"/>
          <w:szCs w:val="24"/>
          <w14:ligatures w14:val="standardContextual"/>
        </w:rPr>
      </w:pPr>
      <w:r>
        <w:t>Article 14:</w:t>
      </w:r>
      <w:r>
        <w:rPr>
          <w:rFonts w:asciiTheme="minorHAnsi" w:eastAsiaTheme="minorEastAsia" w:hAnsiTheme="minorHAnsi" w:cstheme="minorBidi"/>
          <w:kern w:val="2"/>
          <w:sz w:val="24"/>
          <w:szCs w:val="24"/>
          <w14:ligatures w14:val="standardContextual"/>
        </w:rPr>
        <w:tab/>
      </w:r>
      <w:r>
        <w:t>Assurances</w:t>
      </w:r>
      <w:r>
        <w:tab/>
      </w:r>
      <w:r>
        <w:fldChar w:fldCharType="begin"/>
      </w:r>
      <w:r>
        <w:instrText xml:space="preserve"> PAGEREF _Toc167956987 \h </w:instrText>
      </w:r>
      <w:r>
        <w:fldChar w:fldCharType="separate"/>
      </w:r>
      <w:r w:rsidR="002A4C40">
        <w:t>20</w:t>
      </w:r>
      <w:r>
        <w:fldChar w:fldCharType="end"/>
      </w:r>
    </w:p>
    <w:p w14:paraId="5AD36D28" w14:textId="32E54A98" w:rsidR="006C2D48" w:rsidRDefault="006C2D48">
      <w:pPr>
        <w:pStyle w:val="TM3"/>
        <w:rPr>
          <w:rFonts w:asciiTheme="minorHAnsi" w:eastAsiaTheme="minorEastAsia" w:hAnsiTheme="minorHAnsi" w:cstheme="minorBidi"/>
          <w:kern w:val="2"/>
          <w:sz w:val="24"/>
          <w:szCs w:val="24"/>
          <w14:ligatures w14:val="standardContextual"/>
        </w:rPr>
      </w:pPr>
      <w:r>
        <w:t>14.1 -</w:t>
      </w:r>
      <w:r>
        <w:rPr>
          <w:rFonts w:asciiTheme="minorHAnsi" w:eastAsiaTheme="minorEastAsia" w:hAnsiTheme="minorHAnsi" w:cstheme="minorBidi"/>
          <w:kern w:val="2"/>
          <w:sz w:val="24"/>
          <w:szCs w:val="24"/>
          <w14:ligatures w14:val="standardContextual"/>
        </w:rPr>
        <w:tab/>
      </w:r>
      <w:r>
        <w:t>Responsabilité civile</w:t>
      </w:r>
      <w:r>
        <w:tab/>
      </w:r>
      <w:r>
        <w:fldChar w:fldCharType="begin"/>
      </w:r>
      <w:r>
        <w:instrText xml:space="preserve"> PAGEREF _Toc167956988 \h </w:instrText>
      </w:r>
      <w:r>
        <w:fldChar w:fldCharType="separate"/>
      </w:r>
      <w:r w:rsidR="002A4C40">
        <w:t>20</w:t>
      </w:r>
      <w:r>
        <w:fldChar w:fldCharType="end"/>
      </w:r>
    </w:p>
    <w:p w14:paraId="7C0F6EF8" w14:textId="216B7F77" w:rsidR="006C2D48" w:rsidRDefault="006C2D48">
      <w:pPr>
        <w:pStyle w:val="TM3"/>
        <w:rPr>
          <w:rFonts w:asciiTheme="minorHAnsi" w:eastAsiaTheme="minorEastAsia" w:hAnsiTheme="minorHAnsi" w:cstheme="minorBidi"/>
          <w:kern w:val="2"/>
          <w:sz w:val="24"/>
          <w:szCs w:val="24"/>
          <w14:ligatures w14:val="standardContextual"/>
        </w:rPr>
      </w:pPr>
      <w:r>
        <w:t>14.2 -</w:t>
      </w:r>
      <w:r>
        <w:rPr>
          <w:rFonts w:asciiTheme="minorHAnsi" w:eastAsiaTheme="minorEastAsia" w:hAnsiTheme="minorHAnsi" w:cstheme="minorBidi"/>
          <w:kern w:val="2"/>
          <w:sz w:val="24"/>
          <w:szCs w:val="24"/>
          <w14:ligatures w14:val="standardContextual"/>
        </w:rPr>
        <w:tab/>
      </w:r>
      <w:r>
        <w:t>Assurances</w:t>
      </w:r>
      <w:r>
        <w:tab/>
      </w:r>
      <w:r>
        <w:fldChar w:fldCharType="begin"/>
      </w:r>
      <w:r>
        <w:instrText xml:space="preserve"> PAGEREF _Toc167956989 \h </w:instrText>
      </w:r>
      <w:r>
        <w:fldChar w:fldCharType="separate"/>
      </w:r>
      <w:r w:rsidR="002A4C40">
        <w:t>20</w:t>
      </w:r>
      <w:r>
        <w:fldChar w:fldCharType="end"/>
      </w:r>
    </w:p>
    <w:p w14:paraId="77211F52" w14:textId="3405AE54" w:rsidR="006C2D48" w:rsidRDefault="006C2D48">
      <w:pPr>
        <w:pStyle w:val="TM1"/>
        <w:rPr>
          <w:rFonts w:asciiTheme="minorHAnsi" w:eastAsiaTheme="minorEastAsia" w:hAnsiTheme="minorHAnsi" w:cstheme="minorBidi"/>
          <w:kern w:val="2"/>
          <w:sz w:val="24"/>
          <w:szCs w:val="24"/>
          <w14:ligatures w14:val="standardContextual"/>
        </w:rPr>
      </w:pPr>
      <w:r>
        <w:t>Article 15:</w:t>
      </w:r>
      <w:r>
        <w:rPr>
          <w:rFonts w:asciiTheme="minorHAnsi" w:eastAsiaTheme="minorEastAsia" w:hAnsiTheme="minorHAnsi" w:cstheme="minorBidi"/>
          <w:kern w:val="2"/>
          <w:sz w:val="24"/>
          <w:szCs w:val="24"/>
          <w14:ligatures w14:val="standardContextual"/>
        </w:rPr>
        <w:tab/>
      </w:r>
      <w:r>
        <w:t>: DISPOSITIONS RELATIVES AU TRAVAIL DISSIMULE</w:t>
      </w:r>
      <w:r>
        <w:tab/>
      </w:r>
      <w:r>
        <w:fldChar w:fldCharType="begin"/>
      </w:r>
      <w:r>
        <w:instrText xml:space="preserve"> PAGEREF _Toc167956990 \h </w:instrText>
      </w:r>
      <w:r>
        <w:fldChar w:fldCharType="separate"/>
      </w:r>
      <w:r w:rsidR="002A4C40">
        <w:t>21</w:t>
      </w:r>
      <w:r>
        <w:fldChar w:fldCharType="end"/>
      </w:r>
    </w:p>
    <w:p w14:paraId="4CBB771D" w14:textId="58FDABE6" w:rsidR="006C2D48" w:rsidRDefault="006C2D48">
      <w:pPr>
        <w:pStyle w:val="TM1"/>
        <w:rPr>
          <w:rFonts w:asciiTheme="minorHAnsi" w:eastAsiaTheme="minorEastAsia" w:hAnsiTheme="minorHAnsi" w:cstheme="minorBidi"/>
          <w:kern w:val="2"/>
          <w:sz w:val="24"/>
          <w:szCs w:val="24"/>
          <w14:ligatures w14:val="standardContextual"/>
        </w:rPr>
      </w:pPr>
      <w:r>
        <w:t>Article 16:</w:t>
      </w:r>
      <w:r>
        <w:rPr>
          <w:rFonts w:asciiTheme="minorHAnsi" w:eastAsiaTheme="minorEastAsia" w:hAnsiTheme="minorHAnsi" w:cstheme="minorBidi"/>
          <w:kern w:val="2"/>
          <w:sz w:val="24"/>
          <w:szCs w:val="24"/>
          <w14:ligatures w14:val="standardContextual"/>
        </w:rPr>
        <w:tab/>
      </w:r>
      <w:r>
        <w:t>: DISPOSITIONS RELATIVES AUX TRAVAILLEURS DETACHES</w:t>
      </w:r>
      <w:r>
        <w:tab/>
      </w:r>
      <w:r>
        <w:fldChar w:fldCharType="begin"/>
      </w:r>
      <w:r>
        <w:instrText xml:space="preserve"> PAGEREF _Toc167956991 \h </w:instrText>
      </w:r>
      <w:r>
        <w:fldChar w:fldCharType="separate"/>
      </w:r>
      <w:r w:rsidR="002A4C40">
        <w:t>21</w:t>
      </w:r>
      <w:r>
        <w:fldChar w:fldCharType="end"/>
      </w:r>
    </w:p>
    <w:p w14:paraId="4ED563C8" w14:textId="16B8792A" w:rsidR="006C2D48" w:rsidRDefault="006C2D48">
      <w:pPr>
        <w:pStyle w:val="TM1"/>
        <w:rPr>
          <w:rFonts w:asciiTheme="minorHAnsi" w:eastAsiaTheme="minorEastAsia" w:hAnsiTheme="minorHAnsi" w:cstheme="minorBidi"/>
          <w:kern w:val="2"/>
          <w:sz w:val="24"/>
          <w:szCs w:val="24"/>
          <w14:ligatures w14:val="standardContextual"/>
        </w:rPr>
      </w:pPr>
      <w:r>
        <w:t>Article 17:</w:t>
      </w:r>
      <w:r>
        <w:rPr>
          <w:rFonts w:asciiTheme="minorHAnsi" w:eastAsiaTheme="minorEastAsia" w:hAnsiTheme="minorHAnsi" w:cstheme="minorBidi"/>
          <w:kern w:val="2"/>
          <w:sz w:val="24"/>
          <w:szCs w:val="24"/>
          <w14:ligatures w14:val="standardContextual"/>
        </w:rPr>
        <w:tab/>
      </w:r>
      <w:r>
        <w:t>Arrêt de l’exécution de l’accord cadre</w:t>
      </w:r>
      <w:r>
        <w:tab/>
      </w:r>
      <w:r>
        <w:fldChar w:fldCharType="begin"/>
      </w:r>
      <w:r>
        <w:instrText xml:space="preserve"> PAGEREF _Toc167956992 \h </w:instrText>
      </w:r>
      <w:r>
        <w:fldChar w:fldCharType="separate"/>
      </w:r>
      <w:r w:rsidR="002A4C40">
        <w:t>21</w:t>
      </w:r>
      <w:r>
        <w:fldChar w:fldCharType="end"/>
      </w:r>
    </w:p>
    <w:p w14:paraId="6B61DE19" w14:textId="0AB6E745" w:rsidR="006C2D48" w:rsidRDefault="006C2D48">
      <w:pPr>
        <w:pStyle w:val="TM1"/>
        <w:rPr>
          <w:rFonts w:asciiTheme="minorHAnsi" w:eastAsiaTheme="minorEastAsia" w:hAnsiTheme="minorHAnsi" w:cstheme="minorBidi"/>
          <w:kern w:val="2"/>
          <w:sz w:val="24"/>
          <w:szCs w:val="24"/>
          <w14:ligatures w14:val="standardContextual"/>
        </w:rPr>
      </w:pPr>
      <w:r>
        <w:t>Article 18:</w:t>
      </w:r>
      <w:r>
        <w:rPr>
          <w:rFonts w:asciiTheme="minorHAnsi" w:eastAsiaTheme="minorEastAsia" w:hAnsiTheme="minorHAnsi" w:cstheme="minorBidi"/>
          <w:kern w:val="2"/>
          <w:sz w:val="24"/>
          <w:szCs w:val="24"/>
          <w14:ligatures w14:val="standardContextual"/>
        </w:rPr>
        <w:tab/>
      </w:r>
      <w:r>
        <w:t>R</w:t>
      </w:r>
      <w:r w:rsidRPr="00862A3E">
        <w:rPr>
          <w:rFonts w:cs="Marianne"/>
        </w:rPr>
        <w:t>é</w:t>
      </w:r>
      <w:r>
        <w:t>siliation de l’accord-cadre</w:t>
      </w:r>
      <w:r>
        <w:tab/>
      </w:r>
      <w:r>
        <w:fldChar w:fldCharType="begin"/>
      </w:r>
      <w:r>
        <w:instrText xml:space="preserve"> PAGEREF _Toc167956993 \h </w:instrText>
      </w:r>
      <w:r>
        <w:fldChar w:fldCharType="separate"/>
      </w:r>
      <w:r w:rsidR="002A4C40">
        <w:t>22</w:t>
      </w:r>
      <w:r>
        <w:fldChar w:fldCharType="end"/>
      </w:r>
    </w:p>
    <w:p w14:paraId="24925B3F" w14:textId="3E0CF53C" w:rsidR="006C2D48" w:rsidRDefault="006C2D48">
      <w:pPr>
        <w:pStyle w:val="TM1"/>
        <w:rPr>
          <w:rFonts w:asciiTheme="minorHAnsi" w:eastAsiaTheme="minorEastAsia" w:hAnsiTheme="minorHAnsi" w:cstheme="minorBidi"/>
          <w:kern w:val="2"/>
          <w:sz w:val="24"/>
          <w:szCs w:val="24"/>
          <w14:ligatures w14:val="standardContextual"/>
        </w:rPr>
      </w:pPr>
      <w:r>
        <w:t>Article 18 : Règlement des différends</w:t>
      </w:r>
      <w:r>
        <w:tab/>
      </w:r>
      <w:r>
        <w:fldChar w:fldCharType="begin"/>
      </w:r>
      <w:r>
        <w:instrText xml:space="preserve"> PAGEREF _Toc167956994 \h </w:instrText>
      </w:r>
      <w:r>
        <w:fldChar w:fldCharType="separate"/>
      </w:r>
      <w:r w:rsidR="002A4C40">
        <w:t>22</w:t>
      </w:r>
      <w:r>
        <w:fldChar w:fldCharType="end"/>
      </w:r>
    </w:p>
    <w:p w14:paraId="1DC34499" w14:textId="1228C263" w:rsidR="006C2D48" w:rsidRDefault="006C2D48">
      <w:pPr>
        <w:pStyle w:val="TM1"/>
        <w:rPr>
          <w:rFonts w:asciiTheme="minorHAnsi" w:eastAsiaTheme="minorEastAsia" w:hAnsiTheme="minorHAnsi" w:cstheme="minorBidi"/>
          <w:kern w:val="2"/>
          <w:sz w:val="24"/>
          <w:szCs w:val="24"/>
          <w14:ligatures w14:val="standardContextual"/>
        </w:rPr>
      </w:pPr>
      <w:r>
        <w:t>Article 19 D</w:t>
      </w:r>
      <w:r w:rsidRPr="00862A3E">
        <w:rPr>
          <w:rFonts w:cs="Marianne"/>
        </w:rPr>
        <w:t>é</w:t>
      </w:r>
      <w:r>
        <w:t>rogations aux documents g</w:t>
      </w:r>
      <w:r w:rsidRPr="00862A3E">
        <w:rPr>
          <w:rFonts w:cs="Marianne"/>
        </w:rPr>
        <w:t>é</w:t>
      </w:r>
      <w:r>
        <w:t>n</w:t>
      </w:r>
      <w:r w:rsidRPr="00862A3E">
        <w:rPr>
          <w:rFonts w:cs="Marianne"/>
        </w:rPr>
        <w:t>é</w:t>
      </w:r>
      <w:r>
        <w:t>raux</w:t>
      </w:r>
      <w:r>
        <w:tab/>
      </w:r>
      <w:r>
        <w:fldChar w:fldCharType="begin"/>
      </w:r>
      <w:r>
        <w:instrText xml:space="preserve"> PAGEREF _Toc167956995 \h </w:instrText>
      </w:r>
      <w:r>
        <w:fldChar w:fldCharType="separate"/>
      </w:r>
      <w:r w:rsidR="002A4C40">
        <w:t>22</w:t>
      </w:r>
      <w:r>
        <w:fldChar w:fldCharType="end"/>
      </w:r>
    </w:p>
    <w:p w14:paraId="41E93973" w14:textId="2EBF3887" w:rsidR="00783488" w:rsidRPr="00692A1A" w:rsidRDefault="00611474" w:rsidP="003B54C7">
      <w:pPr>
        <w:pStyle w:val="Titre2"/>
        <w:numPr>
          <w:ilvl w:val="0"/>
          <w:numId w:val="0"/>
        </w:numPr>
        <w:jc w:val="both"/>
      </w:pPr>
      <w:r>
        <w:fldChar w:fldCharType="end"/>
      </w:r>
      <w:r>
        <w:br w:type="page"/>
      </w:r>
      <w:bookmarkStart w:id="1" w:name="_Toc499903651"/>
      <w:bookmarkStart w:id="2" w:name="_Toc167956948"/>
      <w:r w:rsidR="00783488" w:rsidRPr="00692A1A">
        <w:lastRenderedPageBreak/>
        <w:t>CHAPITRE I</w:t>
      </w:r>
      <w:r w:rsidR="00783488" w:rsidRPr="00692A1A">
        <w:rPr>
          <w:rFonts w:ascii="Calibri" w:hAnsi="Calibri" w:cs="Calibri"/>
        </w:rPr>
        <w:t> </w:t>
      </w:r>
      <w:r w:rsidR="00783488" w:rsidRPr="00692A1A">
        <w:t>: GENERALITES</w:t>
      </w:r>
      <w:bookmarkEnd w:id="0"/>
      <w:bookmarkEnd w:id="1"/>
      <w:bookmarkEnd w:id="2"/>
    </w:p>
    <w:p w14:paraId="61C1E850" w14:textId="7EDA7E47" w:rsidR="00F37BB4" w:rsidRPr="00692A1A" w:rsidRDefault="00122716" w:rsidP="00980240">
      <w:pPr>
        <w:pStyle w:val="Titre1"/>
      </w:pPr>
      <w:bookmarkStart w:id="3" w:name="_Toc139883248"/>
      <w:bookmarkStart w:id="4" w:name="_Toc142376055"/>
      <w:bookmarkStart w:id="5" w:name="_Toc142492128"/>
      <w:bookmarkStart w:id="6" w:name="_Toc167956949"/>
      <w:bookmarkStart w:id="7" w:name="_Toc114385021"/>
      <w:bookmarkEnd w:id="3"/>
      <w:bookmarkEnd w:id="4"/>
      <w:bookmarkEnd w:id="5"/>
      <w:r w:rsidRPr="00692A1A">
        <w:t>Objet de l’accord-cadre</w:t>
      </w:r>
      <w:bookmarkEnd w:id="6"/>
    </w:p>
    <w:p w14:paraId="24861555" w14:textId="1F2B5D7C" w:rsidR="00F37BB4" w:rsidRPr="003B54C7" w:rsidRDefault="00F37BB4" w:rsidP="003B54C7">
      <w:pPr>
        <w:spacing w:before="80"/>
      </w:pPr>
      <w:r w:rsidRPr="003B54C7">
        <w:t>L'Agence Publique pour l'Immobilier de la Justice (APIJ) est un établissement</w:t>
      </w:r>
      <w:r w:rsidRPr="003B54C7">
        <w:rPr>
          <w:rFonts w:ascii="Calibri" w:hAnsi="Calibri" w:cs="Calibri"/>
        </w:rPr>
        <w:t> </w:t>
      </w:r>
      <w:r w:rsidRPr="003B54C7">
        <w:t>public administratif sp</w:t>
      </w:r>
      <w:r w:rsidRPr="003B54C7">
        <w:rPr>
          <w:rFonts w:cs="Marianne"/>
        </w:rPr>
        <w:t>é</w:t>
      </w:r>
      <w:r w:rsidRPr="003B54C7">
        <w:t>cialis</w:t>
      </w:r>
      <w:r w:rsidRPr="003B54C7">
        <w:rPr>
          <w:rFonts w:cs="Marianne"/>
        </w:rPr>
        <w:t>é</w:t>
      </w:r>
      <w:r w:rsidRPr="003B54C7">
        <w:t>, plac</w:t>
      </w:r>
      <w:r w:rsidRPr="003B54C7">
        <w:rPr>
          <w:rFonts w:cs="Marianne"/>
        </w:rPr>
        <w:t>é</w:t>
      </w:r>
      <w:r w:rsidRPr="003B54C7">
        <w:t xml:space="preserve"> sous tutelle du ministère de la Justice, qui lui confie la conception et la construction des grands projets immobiliers relevant des différentes directions du ministère (services judiciaires, administration pénitentiaire…). </w:t>
      </w:r>
      <w:r w:rsidR="00C321DB">
        <w:t>Depuis 2020, l’APIJ peut se voir confier des opérations pour le compte d’autres ministères.</w:t>
      </w:r>
    </w:p>
    <w:p w14:paraId="6895B09D" w14:textId="00F8B908" w:rsidR="00C321DB" w:rsidRPr="005A6C8E" w:rsidRDefault="00C321DB" w:rsidP="00C321DB">
      <w:r w:rsidRPr="005A6C8E">
        <w:t xml:space="preserve">Le présent cahier </w:t>
      </w:r>
      <w:r w:rsidR="006574C4">
        <w:t xml:space="preserve">des clauses particulières (CCP) porte sur </w:t>
      </w:r>
      <w:r w:rsidR="006574C4" w:rsidRPr="006574C4">
        <w:t>un accord-cadre de coordination en matière de sécurité &amp; de protection de la santé (CSPS)</w:t>
      </w:r>
      <w:r w:rsidRPr="005A6C8E">
        <w:t xml:space="preserve"> dans le cadre </w:t>
      </w:r>
      <w:bookmarkStart w:id="8" w:name="_Hlk142032177"/>
      <w:r w:rsidRPr="005A6C8E">
        <w:t xml:space="preserve">des </w:t>
      </w:r>
      <w:r>
        <w:t xml:space="preserve">travaux réalisés sous maîtrise d’ouvrage APIJ en </w:t>
      </w:r>
      <w:r w:rsidR="004D098F">
        <w:t>Martinique</w:t>
      </w:r>
      <w:r>
        <w:t xml:space="preserve"> pour un montant de travaux inférieur à 1 500 000€ HT, principalement en site occupé.</w:t>
      </w:r>
      <w:bookmarkEnd w:id="8"/>
    </w:p>
    <w:p w14:paraId="1431EE85" w14:textId="305E7FFC" w:rsidR="00F37BB4" w:rsidRDefault="00611474" w:rsidP="003B54C7">
      <w:pPr>
        <w:spacing w:before="80"/>
      </w:pPr>
      <w:r w:rsidRPr="003B54C7">
        <w:t>Il est précisé que les travaux pourront être réalisés par des entreprises en corps d’états séparés</w:t>
      </w:r>
      <w:r w:rsidR="001455B9">
        <w:t>, groupement d’entreprise ou entreprise générale</w:t>
      </w:r>
      <w:r w:rsidRPr="003B54C7">
        <w:t>.</w:t>
      </w:r>
    </w:p>
    <w:p w14:paraId="3EA029A7" w14:textId="634DA32C" w:rsidR="00DB738A" w:rsidRDefault="00DB738A" w:rsidP="00DB738A">
      <w:pPr>
        <w:spacing w:before="80" w:after="0" w:line="240" w:lineRule="auto"/>
      </w:pPr>
      <w:r w:rsidRPr="006574C4">
        <w:t>La nature des prestations objet du présent accord cadre est décrite dans le présent CCP</w:t>
      </w:r>
      <w:r w:rsidR="006C2D48">
        <w:t>.</w:t>
      </w:r>
    </w:p>
    <w:p w14:paraId="3E62F685" w14:textId="77777777" w:rsidR="006C2D48" w:rsidRPr="006574C4" w:rsidRDefault="006C2D48" w:rsidP="00DB738A">
      <w:pPr>
        <w:spacing w:before="80" w:after="0" w:line="240" w:lineRule="auto"/>
      </w:pPr>
    </w:p>
    <w:p w14:paraId="1A6ABAAD" w14:textId="0DE0C92B" w:rsidR="00783488" w:rsidRPr="00980240" w:rsidRDefault="00454BCE" w:rsidP="00980240">
      <w:pPr>
        <w:pStyle w:val="Titre1"/>
      </w:pPr>
      <w:r>
        <w:rPr>
          <w:rFonts w:ascii="Calibri" w:hAnsi="Calibri" w:cs="Calibri"/>
        </w:rPr>
        <w:t> </w:t>
      </w:r>
      <w:bookmarkStart w:id="9" w:name="_Toc167956950"/>
      <w:bookmarkEnd w:id="7"/>
      <w:r w:rsidR="005D3F0F">
        <w:t>Caractéristiques de</w:t>
      </w:r>
      <w:r w:rsidR="00C53DFD" w:rsidRPr="00980240">
        <w:t xml:space="preserve"> l’accord-cadre</w:t>
      </w:r>
      <w:bookmarkEnd w:id="9"/>
    </w:p>
    <w:p w14:paraId="0CF7E365" w14:textId="77777777" w:rsidR="006574C4" w:rsidRPr="006C2D48" w:rsidRDefault="006574C4" w:rsidP="006574C4">
      <w:pPr>
        <w:spacing w:before="80" w:after="0" w:line="240" w:lineRule="auto"/>
        <w:rPr>
          <w:b/>
          <w:bCs/>
        </w:rPr>
      </w:pPr>
      <w:bookmarkStart w:id="10" w:name="_Toc114385022"/>
      <w:r w:rsidRPr="006C2D48">
        <w:rPr>
          <w:b/>
          <w:bCs/>
        </w:rPr>
        <w:t>2.1. Nature de l’accord cadre</w:t>
      </w:r>
    </w:p>
    <w:p w14:paraId="1CDB47A0" w14:textId="77777777" w:rsidR="006574C4" w:rsidRPr="006574C4" w:rsidRDefault="006574C4" w:rsidP="006574C4">
      <w:pPr>
        <w:spacing w:before="80" w:after="0" w:line="240" w:lineRule="auto"/>
      </w:pPr>
    </w:p>
    <w:p w14:paraId="6157EACF" w14:textId="78F79DA0" w:rsidR="005D3F0F" w:rsidRPr="006574C4" w:rsidRDefault="006574C4" w:rsidP="006574C4">
      <w:pPr>
        <w:spacing w:before="80" w:after="0" w:line="240" w:lineRule="auto"/>
      </w:pPr>
      <w:r w:rsidRPr="006574C4">
        <w:t>Le présent marché public est un accord-cadre mono-attributaire</w:t>
      </w:r>
      <w:r w:rsidR="005D3F0F">
        <w:t xml:space="preserve"> au sens de l’article L2125-1 du code de la commande publique.</w:t>
      </w:r>
      <w:r w:rsidRPr="006574C4">
        <w:t xml:space="preserve"> </w:t>
      </w:r>
      <w:r w:rsidR="005D3F0F">
        <w:t xml:space="preserve">Il s’exécutera par émission de bons de commande et marchés subséquents dans les conditions décrites respectivement aux articles R2162-7 et suivants (marchés subséquents) et R2162-13 et suivants (bon de commande) du code précité. </w:t>
      </w:r>
    </w:p>
    <w:p w14:paraId="49551BF4" w14:textId="6430CE66" w:rsidR="005D3F0F" w:rsidRDefault="005D3F0F" w:rsidP="005D3F0F">
      <w:pPr>
        <w:spacing w:before="80" w:after="0" w:line="240" w:lineRule="auto"/>
        <w:rPr>
          <w:szCs w:val="18"/>
        </w:rPr>
      </w:pPr>
      <w:r w:rsidRPr="00076F86">
        <w:rPr>
          <w:szCs w:val="18"/>
        </w:rPr>
        <w:t xml:space="preserve">Il s’exécute au fur et à mesure de la survenue du besoin, par l’émission de bons de commande ou marchés subséquents pour les missions en lien avec l’objet de l’accord-cadre et dont les caractéristiques et les modalités d’exécution sont définis aux articles </w:t>
      </w:r>
      <w:r>
        <w:rPr>
          <w:szCs w:val="18"/>
        </w:rPr>
        <w:t>5 et 6 du présent CCP</w:t>
      </w:r>
      <w:r w:rsidRPr="00076F86">
        <w:rPr>
          <w:szCs w:val="18"/>
        </w:rPr>
        <w:t>.</w:t>
      </w:r>
    </w:p>
    <w:p w14:paraId="3FF8D305" w14:textId="77777777" w:rsidR="005D3F0F" w:rsidRDefault="005D3F0F" w:rsidP="005D3F0F">
      <w:pPr>
        <w:spacing w:before="80" w:after="0" w:line="240" w:lineRule="auto"/>
        <w:rPr>
          <w:szCs w:val="18"/>
        </w:rPr>
      </w:pPr>
    </w:p>
    <w:p w14:paraId="5D2AC485" w14:textId="2D212566" w:rsidR="005D3F0F" w:rsidRPr="006C2D48" w:rsidRDefault="005D3F0F" w:rsidP="006C2D48">
      <w:pPr>
        <w:spacing w:before="80" w:after="0" w:line="240" w:lineRule="auto"/>
        <w:rPr>
          <w:b/>
          <w:bCs/>
        </w:rPr>
      </w:pPr>
      <w:r w:rsidRPr="006C2D48">
        <w:rPr>
          <w:b/>
          <w:bCs/>
        </w:rPr>
        <w:t>2.2 Montant de l’accord-cadre</w:t>
      </w:r>
    </w:p>
    <w:p w14:paraId="6FB746B9" w14:textId="77777777" w:rsidR="006574C4" w:rsidRPr="006574C4" w:rsidRDefault="006574C4" w:rsidP="006574C4">
      <w:pPr>
        <w:spacing w:before="80" w:after="0" w:line="240" w:lineRule="auto"/>
      </w:pPr>
    </w:p>
    <w:p w14:paraId="5D4288E6" w14:textId="77777777" w:rsidR="005D3F0F" w:rsidRDefault="005D3F0F" w:rsidP="005D3F0F">
      <w:r w:rsidRPr="005A3995">
        <w:t xml:space="preserve">Pour la durée totale de l’accord-cadre, il </w:t>
      </w:r>
      <w:r>
        <w:t xml:space="preserve">a été </w:t>
      </w:r>
      <w:r w:rsidRPr="005A3995">
        <w:t>fixé les montants suivants</w:t>
      </w:r>
      <w:r w:rsidRPr="005A3995">
        <w:rPr>
          <w:rFonts w:ascii="Calibri" w:hAnsi="Calibri" w:cs="Calibri"/>
        </w:rPr>
        <w:t> </w:t>
      </w:r>
      <w:r w:rsidRPr="005A3995">
        <w:t>:</w:t>
      </w:r>
    </w:p>
    <w:p w14:paraId="3E002CD3" w14:textId="77777777" w:rsidR="005D3F0F" w:rsidRDefault="005D3F0F" w:rsidP="005D3F0F">
      <w:pPr>
        <w:pStyle w:val="Paragraphedeliste"/>
        <w:numPr>
          <w:ilvl w:val="0"/>
          <w:numId w:val="20"/>
        </w:numPr>
      </w:pPr>
      <w:r>
        <w:t xml:space="preserve">Sans montant minimum </w:t>
      </w:r>
    </w:p>
    <w:p w14:paraId="6413B676" w14:textId="040BA53C" w:rsidR="005D3F0F" w:rsidRPr="005A3995" w:rsidRDefault="005D3F0F" w:rsidP="006C2D48">
      <w:pPr>
        <w:pStyle w:val="Paragraphedeliste"/>
        <w:numPr>
          <w:ilvl w:val="0"/>
          <w:numId w:val="20"/>
        </w:numPr>
      </w:pPr>
      <w:r>
        <w:t>Montant maximum sur toute la durée de l’accord-cadre</w:t>
      </w:r>
      <w:r>
        <w:rPr>
          <w:rFonts w:ascii="Calibri" w:hAnsi="Calibri" w:cs="Calibri"/>
        </w:rPr>
        <w:t> </w:t>
      </w:r>
      <w:r>
        <w:t>: 139</w:t>
      </w:r>
      <w:r>
        <w:rPr>
          <w:rFonts w:ascii="Calibri" w:hAnsi="Calibri" w:cs="Calibri"/>
        </w:rPr>
        <w:t> </w:t>
      </w:r>
      <w:r>
        <w:t>000 € HT</w:t>
      </w:r>
      <w:r w:rsidRPr="005A3995">
        <w:t xml:space="preserve"> </w:t>
      </w:r>
    </w:p>
    <w:p w14:paraId="43CC5AA6" w14:textId="77777777" w:rsidR="006574C4" w:rsidRPr="006574C4" w:rsidRDefault="006574C4" w:rsidP="006574C4">
      <w:pPr>
        <w:spacing w:before="80" w:after="0" w:line="240" w:lineRule="auto"/>
      </w:pPr>
    </w:p>
    <w:p w14:paraId="11BE627B" w14:textId="7AF98CFA" w:rsidR="006574C4" w:rsidRPr="006C2D48" w:rsidRDefault="006574C4" w:rsidP="006574C4">
      <w:pPr>
        <w:spacing w:before="80" w:after="0" w:line="240" w:lineRule="auto"/>
        <w:rPr>
          <w:b/>
          <w:bCs/>
        </w:rPr>
      </w:pPr>
      <w:r w:rsidRPr="006C2D48">
        <w:rPr>
          <w:b/>
          <w:bCs/>
        </w:rPr>
        <w:t>2.</w:t>
      </w:r>
      <w:r w:rsidR="005D3F0F" w:rsidRPr="006C2D48">
        <w:rPr>
          <w:b/>
          <w:bCs/>
        </w:rPr>
        <w:t>3</w:t>
      </w:r>
      <w:r w:rsidRPr="006C2D48">
        <w:rPr>
          <w:b/>
          <w:bCs/>
        </w:rPr>
        <w:t>. Durée de l’accord-cadre</w:t>
      </w:r>
    </w:p>
    <w:p w14:paraId="4FD4C9CC" w14:textId="29B45CCD" w:rsidR="006574C4" w:rsidRPr="006574C4" w:rsidRDefault="006574C4" w:rsidP="006574C4">
      <w:pPr>
        <w:spacing w:before="80" w:after="0" w:line="240" w:lineRule="auto"/>
      </w:pPr>
      <w:r w:rsidRPr="006574C4">
        <w:t xml:space="preserve">La durée de l’accord-cadre est indiquée à l’article </w:t>
      </w:r>
      <w:r w:rsidR="005D3F0F">
        <w:t>5</w:t>
      </w:r>
      <w:r w:rsidR="005D3F0F" w:rsidRPr="006574C4">
        <w:t xml:space="preserve"> </w:t>
      </w:r>
      <w:r w:rsidRPr="006574C4">
        <w:t>de l’acte d’engagement.</w:t>
      </w:r>
    </w:p>
    <w:p w14:paraId="314E6B08" w14:textId="77777777" w:rsidR="006574C4" w:rsidRPr="006574C4" w:rsidRDefault="006574C4" w:rsidP="006574C4">
      <w:pPr>
        <w:spacing w:before="80" w:after="0" w:line="240" w:lineRule="auto"/>
      </w:pPr>
    </w:p>
    <w:p w14:paraId="0CAF8855" w14:textId="77777777" w:rsidR="006574C4" w:rsidRDefault="006574C4" w:rsidP="006574C4">
      <w:pPr>
        <w:spacing w:before="80" w:after="0" w:line="240" w:lineRule="auto"/>
      </w:pPr>
    </w:p>
    <w:p w14:paraId="1C67F262" w14:textId="77777777" w:rsidR="00DB738A" w:rsidRPr="006574C4" w:rsidRDefault="00DB738A" w:rsidP="006574C4">
      <w:pPr>
        <w:spacing w:before="80" w:after="0" w:line="240" w:lineRule="auto"/>
      </w:pPr>
    </w:p>
    <w:p w14:paraId="10D09C40" w14:textId="20E61E90" w:rsidR="00783488" w:rsidRPr="00981B53" w:rsidRDefault="00454BCE" w:rsidP="00980240">
      <w:pPr>
        <w:pStyle w:val="Titre1"/>
      </w:pPr>
      <w:r>
        <w:rPr>
          <w:rFonts w:ascii="Calibri" w:hAnsi="Calibri" w:cs="Calibri"/>
        </w:rPr>
        <w:t> </w:t>
      </w:r>
      <w:bookmarkStart w:id="11" w:name="_Toc142376058"/>
      <w:bookmarkStart w:id="12" w:name="_Toc142492131"/>
      <w:bookmarkStart w:id="13" w:name="_Toc142376059"/>
      <w:bookmarkStart w:id="14" w:name="_Toc142492132"/>
      <w:bookmarkStart w:id="15" w:name="_Toc142376060"/>
      <w:bookmarkStart w:id="16" w:name="_Toc142492133"/>
      <w:bookmarkStart w:id="17" w:name="_Toc142376061"/>
      <w:bookmarkStart w:id="18" w:name="_Toc142492134"/>
      <w:bookmarkStart w:id="19" w:name="_Toc142376062"/>
      <w:bookmarkStart w:id="20" w:name="_Toc142492135"/>
      <w:bookmarkStart w:id="21" w:name="_Toc114385025"/>
      <w:bookmarkStart w:id="22" w:name="_Toc167956951"/>
      <w:bookmarkEnd w:id="10"/>
      <w:bookmarkEnd w:id="11"/>
      <w:bookmarkEnd w:id="12"/>
      <w:bookmarkEnd w:id="13"/>
      <w:bookmarkEnd w:id="14"/>
      <w:bookmarkEnd w:id="15"/>
      <w:bookmarkEnd w:id="16"/>
      <w:bookmarkEnd w:id="17"/>
      <w:bookmarkEnd w:id="18"/>
      <w:bookmarkEnd w:id="19"/>
      <w:bookmarkEnd w:id="20"/>
      <w:r w:rsidR="00783488" w:rsidRPr="00981B53">
        <w:t>Pi</w:t>
      </w:r>
      <w:r w:rsidR="00783488" w:rsidRPr="00981B53">
        <w:rPr>
          <w:rFonts w:cs="Marianne"/>
        </w:rPr>
        <w:t>è</w:t>
      </w:r>
      <w:r w:rsidR="00783488" w:rsidRPr="00981B53">
        <w:t xml:space="preserve">ces constitutives </w:t>
      </w:r>
      <w:bookmarkEnd w:id="21"/>
      <w:r w:rsidR="00C53DFD">
        <w:t>de l’accord-cadre</w:t>
      </w:r>
      <w:bookmarkEnd w:id="22"/>
    </w:p>
    <w:p w14:paraId="6BF40A26" w14:textId="77777777" w:rsidR="00DB738A" w:rsidRDefault="00DB738A" w:rsidP="007E64E0"/>
    <w:p w14:paraId="2E06FB4C" w14:textId="39CF9781" w:rsidR="00783488" w:rsidRDefault="008A4CA3" w:rsidP="007E64E0">
      <w:r w:rsidRPr="00047C88">
        <w:t>Par dérogation à l’article 4.1 du CCAG PI,</w:t>
      </w:r>
      <w:r>
        <w:t xml:space="preserve"> l</w:t>
      </w:r>
      <w:r w:rsidRPr="00981B53">
        <w:t>es</w:t>
      </w:r>
      <w:r w:rsidR="00783488" w:rsidRPr="00981B53">
        <w:t xml:space="preserve"> pièces contractuelles constitutives d</w:t>
      </w:r>
      <w:r w:rsidR="00C53DFD">
        <w:t xml:space="preserve">e l’accord-cadre </w:t>
      </w:r>
      <w:r w:rsidR="00783488" w:rsidRPr="00981B53">
        <w:t>sont par ordre de priorité décroissante</w:t>
      </w:r>
      <w:r w:rsidR="00454BCE">
        <w:rPr>
          <w:rFonts w:ascii="Calibri" w:hAnsi="Calibri" w:cs="Calibri"/>
        </w:rPr>
        <w:t> </w:t>
      </w:r>
      <w:r w:rsidR="00783488" w:rsidRPr="00981B53">
        <w:t>:</w:t>
      </w:r>
    </w:p>
    <w:p w14:paraId="045483F5" w14:textId="77777777" w:rsidR="007E64E0" w:rsidRDefault="007E64E0" w:rsidP="007E64E0"/>
    <w:p w14:paraId="5CE3675A" w14:textId="3326A304" w:rsidR="00092653" w:rsidRPr="006C2D48" w:rsidRDefault="00DA4D6D" w:rsidP="007E64E0">
      <w:pPr>
        <w:rPr>
          <w:u w:val="single"/>
        </w:rPr>
      </w:pPr>
      <w:r w:rsidRPr="006C2D48">
        <w:rPr>
          <w:u w:val="single"/>
        </w:rPr>
        <w:t>Pièces particulières</w:t>
      </w:r>
      <w:r w:rsidR="00454BCE" w:rsidRPr="006C2D48">
        <w:rPr>
          <w:rFonts w:ascii="Calibri" w:hAnsi="Calibri" w:cs="Calibri"/>
          <w:u w:val="single"/>
        </w:rPr>
        <w:t> </w:t>
      </w:r>
      <w:r w:rsidRPr="006C2D48">
        <w:rPr>
          <w:u w:val="single"/>
        </w:rPr>
        <w:t>:</w:t>
      </w:r>
    </w:p>
    <w:p w14:paraId="19171BC8" w14:textId="7DFA15A2" w:rsidR="006574C4" w:rsidRDefault="00D062C9" w:rsidP="008C021C">
      <w:pPr>
        <w:numPr>
          <w:ilvl w:val="0"/>
          <w:numId w:val="3"/>
        </w:numPr>
        <w:ind w:left="567" w:hanging="207"/>
      </w:pPr>
      <w:proofErr w:type="gramStart"/>
      <w:r w:rsidRPr="00D062C9">
        <w:t>l’acte</w:t>
      </w:r>
      <w:proofErr w:type="gramEnd"/>
      <w:r w:rsidRPr="00D062C9">
        <w:t xml:space="preserve"> d’engagement (</w:t>
      </w:r>
      <w:proofErr w:type="gramStart"/>
      <w:r w:rsidRPr="00D062C9">
        <w:t>AE)</w:t>
      </w:r>
      <w:r w:rsidR="003B54C7">
        <w:rPr>
          <w:rFonts w:ascii="Calibri" w:hAnsi="Calibri" w:cs="Calibri"/>
        </w:rPr>
        <w:t> </w:t>
      </w:r>
      <w:r w:rsidR="006574C4">
        <w:t xml:space="preserve"> et</w:t>
      </w:r>
      <w:proofErr w:type="gramEnd"/>
      <w:r w:rsidR="006574C4">
        <w:t xml:space="preserve"> ses annexe</w:t>
      </w:r>
      <w:r w:rsidR="000F27B2">
        <w:t>s</w:t>
      </w:r>
      <w:r w:rsidR="006574C4">
        <w:rPr>
          <w:rFonts w:ascii="Calibri" w:hAnsi="Calibri" w:cs="Calibri"/>
        </w:rPr>
        <w:t> </w:t>
      </w:r>
      <w:r w:rsidR="006574C4">
        <w:t xml:space="preserve">: </w:t>
      </w:r>
    </w:p>
    <w:p w14:paraId="3DB3ECFE" w14:textId="63907CCE" w:rsidR="006574C4" w:rsidRDefault="006574C4" w:rsidP="008C021C">
      <w:pPr>
        <w:pStyle w:val="ALINEA"/>
        <w:numPr>
          <w:ilvl w:val="1"/>
          <w:numId w:val="3"/>
        </w:numPr>
      </w:pPr>
      <w:r>
        <w:t>Annexe 1</w:t>
      </w:r>
      <w:r>
        <w:rPr>
          <w:rFonts w:ascii="Calibri" w:hAnsi="Calibri" w:cs="Calibri"/>
        </w:rPr>
        <w:t> </w:t>
      </w:r>
      <w:r>
        <w:t>:  l’acte spécial de sous-traitance</w:t>
      </w:r>
      <w:r w:rsidR="000F27B2">
        <w:t xml:space="preserve"> éventuel</w:t>
      </w:r>
      <w:r>
        <w:rPr>
          <w:rFonts w:ascii="Calibri" w:hAnsi="Calibri" w:cs="Calibri"/>
        </w:rPr>
        <w:t> </w:t>
      </w:r>
      <w:r>
        <w:t xml:space="preserve">; </w:t>
      </w:r>
    </w:p>
    <w:p w14:paraId="7CFED37B" w14:textId="0D227548" w:rsidR="006574C4" w:rsidRDefault="006574C4" w:rsidP="008C021C">
      <w:pPr>
        <w:pStyle w:val="ALINEA"/>
        <w:numPr>
          <w:ilvl w:val="1"/>
          <w:numId w:val="3"/>
        </w:numPr>
      </w:pPr>
      <w:r>
        <w:t xml:space="preserve">Annexe </w:t>
      </w:r>
      <w:r w:rsidR="000F27B2">
        <w:t>2</w:t>
      </w:r>
      <w:r w:rsidRPr="00BF277B">
        <w:rPr>
          <w:rFonts w:ascii="Calibri" w:hAnsi="Calibri" w:cs="Calibri"/>
        </w:rPr>
        <w:t> </w:t>
      </w:r>
      <w:r>
        <w:t xml:space="preserve">: </w:t>
      </w:r>
      <w:r w:rsidRPr="00BF277B">
        <w:t>Le bordereau de prix unitaires (BPU) ;</w:t>
      </w:r>
    </w:p>
    <w:p w14:paraId="505B77CA" w14:textId="77777777" w:rsidR="006574C4" w:rsidRPr="006574C4" w:rsidRDefault="006574C4" w:rsidP="006574C4">
      <w:pPr>
        <w:pStyle w:val="ALINEA"/>
      </w:pPr>
    </w:p>
    <w:p w14:paraId="098E799B" w14:textId="67E1B033" w:rsidR="00511275" w:rsidRPr="00511275" w:rsidRDefault="001F545A" w:rsidP="008C021C">
      <w:pPr>
        <w:numPr>
          <w:ilvl w:val="0"/>
          <w:numId w:val="3"/>
        </w:numPr>
        <w:ind w:left="567" w:hanging="207"/>
      </w:pPr>
      <w:proofErr w:type="gramStart"/>
      <w:r>
        <w:t>le</w:t>
      </w:r>
      <w:proofErr w:type="gramEnd"/>
      <w:r>
        <w:t xml:space="preserve"> présent cahier des clauses particulières (CC</w:t>
      </w:r>
      <w:r w:rsidR="00511275" w:rsidRPr="00D062C9">
        <w:t>P</w:t>
      </w:r>
      <w:r w:rsidR="00D607EA">
        <w:t>),</w:t>
      </w:r>
      <w:r w:rsidR="00DB738A">
        <w:t xml:space="preserve"> dont l’exemplaire original conservé dans les archives de l’administration fait </w:t>
      </w:r>
      <w:proofErr w:type="gramStart"/>
      <w:r w:rsidR="00DB738A">
        <w:t>seul foi</w:t>
      </w:r>
      <w:proofErr w:type="gramEnd"/>
      <w:r w:rsidR="00DB738A">
        <w:rPr>
          <w:rFonts w:ascii="Calibri" w:hAnsi="Calibri" w:cs="Calibri"/>
        </w:rPr>
        <w:t> </w:t>
      </w:r>
      <w:r w:rsidR="00DB738A">
        <w:t>;</w:t>
      </w:r>
    </w:p>
    <w:p w14:paraId="43C8E87E" w14:textId="26D910CE" w:rsidR="00D062C9" w:rsidRPr="00D062C9" w:rsidRDefault="00D062C9" w:rsidP="008C021C">
      <w:pPr>
        <w:numPr>
          <w:ilvl w:val="0"/>
          <w:numId w:val="3"/>
        </w:numPr>
        <w:ind w:left="567" w:hanging="207"/>
      </w:pPr>
      <w:proofErr w:type="gramStart"/>
      <w:r w:rsidRPr="00D062C9">
        <w:t>les</w:t>
      </w:r>
      <w:proofErr w:type="gramEnd"/>
      <w:r w:rsidRPr="00D062C9">
        <w:t xml:space="preserve"> bons de commande et marchés subséquents, y compris leurs annexes, au fur et à mesure de leur é</w:t>
      </w:r>
      <w:r w:rsidR="00D607EA">
        <w:t>mission,</w:t>
      </w:r>
    </w:p>
    <w:p w14:paraId="0D8C09D6" w14:textId="0F462623" w:rsidR="00D062C9" w:rsidRDefault="00D062C9" w:rsidP="008C021C">
      <w:pPr>
        <w:numPr>
          <w:ilvl w:val="0"/>
          <w:numId w:val="3"/>
        </w:numPr>
        <w:ind w:left="567" w:hanging="207"/>
      </w:pPr>
      <w:r w:rsidRPr="00D062C9">
        <w:t xml:space="preserve">Le mémoire </w:t>
      </w:r>
      <w:r w:rsidR="00D607EA">
        <w:t>technique du titulaire</w:t>
      </w:r>
      <w:r w:rsidRPr="00D062C9">
        <w:t>, dont les engagements ne sont contractuels que s’ils</w:t>
      </w:r>
      <w:r>
        <w:t xml:space="preserve"> v</w:t>
      </w:r>
      <w:r w:rsidR="001F545A">
        <w:t>ont au-delà des exigences du CCP</w:t>
      </w:r>
      <w:r>
        <w:t>,</w:t>
      </w:r>
    </w:p>
    <w:p w14:paraId="01A83EE8" w14:textId="22E8F685" w:rsidR="007A1850" w:rsidRDefault="00C321DB" w:rsidP="007A1850">
      <w:r w:rsidRPr="00C321DB">
        <w:t>•</w:t>
      </w:r>
      <w:r w:rsidRPr="00C321DB">
        <w:tab/>
        <w:t>Les tableaux d’appréciation des fréquences</w:t>
      </w:r>
      <w:r w:rsidR="00DB738A">
        <w:t xml:space="preserve"> </w:t>
      </w:r>
      <w:r w:rsidRPr="00C321DB">
        <w:t>;</w:t>
      </w:r>
    </w:p>
    <w:p w14:paraId="05804A97" w14:textId="0427A60C" w:rsidR="00273B83" w:rsidRPr="006C2D48" w:rsidRDefault="00273B83" w:rsidP="003B54C7">
      <w:pPr>
        <w:rPr>
          <w:u w:val="single"/>
        </w:rPr>
      </w:pPr>
      <w:r w:rsidRPr="006C2D48">
        <w:rPr>
          <w:u w:val="single"/>
        </w:rPr>
        <w:t>Pièces générales</w:t>
      </w:r>
      <w:r w:rsidR="00454BCE" w:rsidRPr="006C2D48">
        <w:rPr>
          <w:rFonts w:ascii="Calibri" w:hAnsi="Calibri" w:cs="Calibri"/>
          <w:u w:val="single"/>
        </w:rPr>
        <w:t> </w:t>
      </w:r>
      <w:r w:rsidRPr="006C2D48">
        <w:rPr>
          <w:u w:val="single"/>
        </w:rPr>
        <w:t>:</w:t>
      </w:r>
    </w:p>
    <w:p w14:paraId="751EFCE6" w14:textId="7831DCB6" w:rsidR="00996E00" w:rsidRDefault="00996E00" w:rsidP="008C021C">
      <w:pPr>
        <w:numPr>
          <w:ilvl w:val="0"/>
          <w:numId w:val="4"/>
        </w:numPr>
      </w:pPr>
      <w:r w:rsidRPr="00D41CDD">
        <w:t xml:space="preserve">Le cahier des clauses administratives générales applicables aux marchés publics de </w:t>
      </w:r>
      <w:r w:rsidR="00A506DB" w:rsidRPr="00D41CDD">
        <w:t>prestations intellectuelles</w:t>
      </w:r>
      <w:r w:rsidRPr="00D41CDD">
        <w:t xml:space="preserve"> (</w:t>
      </w:r>
      <w:r w:rsidR="006B6A08" w:rsidRPr="00A102A3">
        <w:t>CCAG-</w:t>
      </w:r>
      <w:r w:rsidR="006B6A08" w:rsidRPr="00723F8D">
        <w:t>PI</w:t>
      </w:r>
      <w:r w:rsidR="008A4CA3" w:rsidRPr="00047C88">
        <w:t xml:space="preserve">) </w:t>
      </w:r>
      <w:r w:rsidR="008A4CA3">
        <w:t>approuvé par l’arrêté du 30 mars 2021.</w:t>
      </w:r>
      <w:bookmarkStart w:id="23" w:name="_Toc114385026"/>
    </w:p>
    <w:p w14:paraId="3300360A" w14:textId="649A4647" w:rsidR="006574C4" w:rsidRPr="00BF09F9" w:rsidRDefault="006574C4" w:rsidP="008C021C">
      <w:pPr>
        <w:pStyle w:val="Paragraphedeliste"/>
        <w:numPr>
          <w:ilvl w:val="0"/>
          <w:numId w:val="4"/>
        </w:numPr>
      </w:pPr>
      <w:proofErr w:type="gramStart"/>
      <w:r w:rsidRPr="006574C4">
        <w:t>les</w:t>
      </w:r>
      <w:proofErr w:type="gramEnd"/>
      <w:r w:rsidRPr="006574C4">
        <w:t xml:space="preserve"> documents techniques et réglementaires applicables à l’opération.</w:t>
      </w:r>
    </w:p>
    <w:p w14:paraId="40D90362" w14:textId="454CC64E" w:rsidR="00783488" w:rsidRDefault="00454BCE" w:rsidP="00980240">
      <w:pPr>
        <w:pStyle w:val="Titre1"/>
        <w:rPr>
          <w:rFonts w:cs="Marianne"/>
        </w:rPr>
      </w:pPr>
      <w:r>
        <w:rPr>
          <w:rFonts w:ascii="Calibri" w:hAnsi="Calibri" w:cs="Calibri"/>
        </w:rPr>
        <w:t> </w:t>
      </w:r>
      <w:bookmarkStart w:id="24" w:name="_Toc167956952"/>
      <w:r w:rsidR="00783488" w:rsidRPr="00981B53">
        <w:t>Discr</w:t>
      </w:r>
      <w:r w:rsidR="00783488" w:rsidRPr="00981B53">
        <w:rPr>
          <w:rFonts w:cs="Marianne"/>
        </w:rPr>
        <w:t>é</w:t>
      </w:r>
      <w:r w:rsidR="00783488" w:rsidRPr="00981B53">
        <w:t>tion-S</w:t>
      </w:r>
      <w:r w:rsidR="00783488" w:rsidRPr="00981B53">
        <w:rPr>
          <w:rFonts w:cs="Marianne"/>
        </w:rPr>
        <w:t>é</w:t>
      </w:r>
      <w:r w:rsidR="00783488" w:rsidRPr="00981B53">
        <w:t>curit</w:t>
      </w:r>
      <w:r w:rsidR="00783488" w:rsidRPr="00981B53">
        <w:rPr>
          <w:rFonts w:cs="Marianne"/>
        </w:rPr>
        <w:t>é</w:t>
      </w:r>
      <w:bookmarkEnd w:id="23"/>
      <w:bookmarkEnd w:id="24"/>
    </w:p>
    <w:p w14:paraId="55BDB749" w14:textId="77777777" w:rsidR="00DB738A" w:rsidRDefault="00DB738A" w:rsidP="00D607EA"/>
    <w:p w14:paraId="5910722C" w14:textId="052774EF" w:rsidR="00D607EA" w:rsidRDefault="00D607EA" w:rsidP="00D607EA">
      <w:r>
        <w:t>Le titulaire du marché est tenu à une obligation de discrétion concernant tous les documents qui lui seront communiqués au cours de l’exécution du marché.</w:t>
      </w:r>
    </w:p>
    <w:p w14:paraId="66F8F526" w14:textId="77777777" w:rsidR="00D607EA" w:rsidRDefault="00D607EA" w:rsidP="00D607EA">
      <w:r>
        <w:t>Il devra veiller à les maintenir confidentiels en prenant toutes les mesures nécessaires.</w:t>
      </w:r>
    </w:p>
    <w:p w14:paraId="77E1939C" w14:textId="77777777" w:rsidR="00D607EA" w:rsidRDefault="00D607EA" w:rsidP="00D607EA">
      <w:r>
        <w:t>Le titulaire est tenu, ainsi que l’ensemble de son personnel et, le cas échéant, de ses sous-traitants et de ses fournisseurs, au secret professionnel et à l’obligation de discrétion pour tout ce qui concerne les faits, informations, fichiers, études, documents et décisions dont il a eu ou aura connaissance durant l’exécution du marché, dont la divulgation serait préjudiciable à la sécurité du projet. Sauf précision contraire du pouvoir adjudicateur, tous les documents remis au titulaire sont réputés confidentiels.</w:t>
      </w:r>
    </w:p>
    <w:p w14:paraId="23E8BB97" w14:textId="2D606E36" w:rsidR="00D607EA" w:rsidRDefault="00D607EA" w:rsidP="00D607EA">
      <w:r>
        <w:t>Le titulaire s’engage donc à respecter les obligations suivantes</w:t>
      </w:r>
      <w:r w:rsidR="00454BCE">
        <w:rPr>
          <w:rFonts w:ascii="Calibri" w:hAnsi="Calibri" w:cs="Calibri"/>
        </w:rPr>
        <w:t> </w:t>
      </w:r>
      <w:r>
        <w:t>:</w:t>
      </w:r>
    </w:p>
    <w:p w14:paraId="32714355" w14:textId="4B9D7D6A" w:rsidR="00D607EA" w:rsidRDefault="00D607EA" w:rsidP="008C021C">
      <w:pPr>
        <w:pStyle w:val="Paragraphedeliste"/>
        <w:numPr>
          <w:ilvl w:val="0"/>
          <w:numId w:val="12"/>
        </w:numPr>
      </w:pPr>
      <w:proofErr w:type="gramStart"/>
      <w:r>
        <w:t>s’interdire</w:t>
      </w:r>
      <w:proofErr w:type="gramEnd"/>
      <w:r>
        <w:t xml:space="preserve"> toute communication écrite ou verbale sur ces sujets et toute remise ou diffusion de documents à des tiers, sauf accord exprès du maître d’ouvrage</w:t>
      </w:r>
      <w:r w:rsidR="00454BCE" w:rsidRPr="00990D63">
        <w:rPr>
          <w:rFonts w:ascii="Calibri" w:hAnsi="Calibri" w:cs="Calibri"/>
        </w:rPr>
        <w:t> </w:t>
      </w:r>
      <w:r>
        <w:t>;</w:t>
      </w:r>
    </w:p>
    <w:p w14:paraId="3E30E58D" w14:textId="4F41D203" w:rsidR="00D607EA" w:rsidRDefault="00D607EA" w:rsidP="008C021C">
      <w:pPr>
        <w:pStyle w:val="Paragraphedeliste"/>
        <w:numPr>
          <w:ilvl w:val="0"/>
          <w:numId w:val="12"/>
        </w:numPr>
      </w:pPr>
      <w:proofErr w:type="gramStart"/>
      <w:r>
        <w:t>ne</w:t>
      </w:r>
      <w:proofErr w:type="gramEnd"/>
      <w:r>
        <w:t xml:space="preserve"> prendre aucune copie des documents et supports d</w:t>
      </w:r>
      <w:r w:rsidR="00454BCE">
        <w:t>’</w:t>
      </w:r>
      <w:r>
        <w:t>informations qui lui sont confiés, à l’exception de celles strictement nécessaires à l’exécution du marché, sauf accord exprès du maître d’ouvrage</w:t>
      </w:r>
      <w:r w:rsidR="00454BCE" w:rsidRPr="00990D63">
        <w:rPr>
          <w:rFonts w:ascii="Calibri" w:hAnsi="Calibri" w:cs="Calibri"/>
        </w:rPr>
        <w:t> </w:t>
      </w:r>
      <w:r>
        <w:t>;</w:t>
      </w:r>
    </w:p>
    <w:p w14:paraId="74E32B9C" w14:textId="5951658D" w:rsidR="00D607EA" w:rsidRDefault="00D607EA" w:rsidP="008C021C">
      <w:pPr>
        <w:pStyle w:val="Paragraphedeliste"/>
        <w:numPr>
          <w:ilvl w:val="0"/>
          <w:numId w:val="12"/>
        </w:numPr>
      </w:pPr>
      <w:proofErr w:type="gramStart"/>
      <w:r>
        <w:t>ne</w:t>
      </w:r>
      <w:proofErr w:type="gramEnd"/>
      <w:r>
        <w:t xml:space="preserve"> pas utiliser les documents et informations communiquées à des fins autres que celles spécifiées au présent marché, sauf accord exprès du maître d’ouvrage</w:t>
      </w:r>
      <w:r w:rsidR="00454BCE" w:rsidRPr="00990D63">
        <w:rPr>
          <w:rFonts w:ascii="Calibri" w:hAnsi="Calibri" w:cs="Calibri"/>
        </w:rPr>
        <w:t> </w:t>
      </w:r>
      <w:r>
        <w:t>;</w:t>
      </w:r>
    </w:p>
    <w:p w14:paraId="4A0CF443" w14:textId="1DC8F3BA" w:rsidR="00D607EA" w:rsidRDefault="00D607EA" w:rsidP="008C021C">
      <w:pPr>
        <w:pStyle w:val="Paragraphedeliste"/>
        <w:numPr>
          <w:ilvl w:val="0"/>
          <w:numId w:val="12"/>
        </w:numPr>
      </w:pPr>
      <w:proofErr w:type="gramStart"/>
      <w:r>
        <w:t>prendre</w:t>
      </w:r>
      <w:proofErr w:type="gramEnd"/>
      <w:r>
        <w:t xml:space="preserve"> les mesures permettant d</w:t>
      </w:r>
      <w:r w:rsidR="00454BCE">
        <w:t>’</w:t>
      </w:r>
      <w:r>
        <w:t>éviter toute utilisation détournée ou frauduleuse des fichiers informatiques en cours d</w:t>
      </w:r>
      <w:r w:rsidR="00454BCE">
        <w:t>’</w:t>
      </w:r>
      <w:r>
        <w:t>exécution du contrat, via notamment l’utilisation de dispositifs de verrouillage des ordinateurs et de cryptage des données</w:t>
      </w:r>
      <w:r w:rsidR="00454BCE" w:rsidRPr="00990D63">
        <w:rPr>
          <w:rFonts w:ascii="Calibri" w:hAnsi="Calibri" w:cs="Calibri"/>
        </w:rPr>
        <w:t> </w:t>
      </w:r>
      <w:r>
        <w:t>;</w:t>
      </w:r>
    </w:p>
    <w:p w14:paraId="6E037A17" w14:textId="10F70A0D" w:rsidR="00D607EA" w:rsidRDefault="00D607EA" w:rsidP="008C021C">
      <w:pPr>
        <w:pStyle w:val="Paragraphedeliste"/>
        <w:numPr>
          <w:ilvl w:val="0"/>
          <w:numId w:val="12"/>
        </w:numPr>
      </w:pPr>
      <w:proofErr w:type="gramStart"/>
      <w:r>
        <w:t>prendre</w:t>
      </w:r>
      <w:proofErr w:type="gramEnd"/>
      <w:r>
        <w:t xml:space="preserve"> toutes mesures de sécurité pour assurer la conservation et l’intégrité des documents et informations traités pendant la durée du présent contrat, via notamment l’emploi d’armoires fortes, de mise sous alarme et de gardiennage des locaux</w:t>
      </w:r>
      <w:r w:rsidR="00454BCE" w:rsidRPr="00990D63">
        <w:rPr>
          <w:rFonts w:ascii="Calibri" w:hAnsi="Calibri" w:cs="Calibri"/>
        </w:rPr>
        <w:t> </w:t>
      </w:r>
      <w:r>
        <w:t>;</w:t>
      </w:r>
    </w:p>
    <w:p w14:paraId="166FB6B3" w14:textId="558E8602" w:rsidR="00D607EA" w:rsidRDefault="00D607EA" w:rsidP="008C021C">
      <w:pPr>
        <w:pStyle w:val="Paragraphedeliste"/>
        <w:numPr>
          <w:ilvl w:val="0"/>
          <w:numId w:val="12"/>
        </w:numPr>
      </w:pPr>
      <w:proofErr w:type="gramStart"/>
      <w:r>
        <w:t>signaler</w:t>
      </w:r>
      <w:proofErr w:type="gramEnd"/>
      <w:r>
        <w:t xml:space="preserve"> au représentant du pouvoir adjudicateur, dans les 24 heures suivant la constatation de l’incident, toute défaillance de ce </w:t>
      </w:r>
      <w:proofErr w:type="gramStart"/>
      <w:r>
        <w:t>dispositif  (</w:t>
      </w:r>
      <w:proofErr w:type="gramEnd"/>
      <w:r>
        <w:t>perte ou vol de documents dont le caractère secret lui aura été notifié ou intrusion malveillante dans le système informatique)</w:t>
      </w:r>
      <w:r w:rsidR="00454BCE" w:rsidRPr="00990D63">
        <w:rPr>
          <w:rFonts w:ascii="Calibri" w:hAnsi="Calibri" w:cs="Calibri"/>
        </w:rPr>
        <w:t> </w:t>
      </w:r>
      <w:r>
        <w:t>;</w:t>
      </w:r>
    </w:p>
    <w:p w14:paraId="56C0ABB2" w14:textId="0FDDEA19" w:rsidR="00D607EA" w:rsidRDefault="00D607EA" w:rsidP="008C021C">
      <w:pPr>
        <w:pStyle w:val="Paragraphedeliste"/>
        <w:numPr>
          <w:ilvl w:val="0"/>
          <w:numId w:val="12"/>
        </w:numPr>
      </w:pPr>
      <w:proofErr w:type="gramStart"/>
      <w:r>
        <w:t>procéder</w:t>
      </w:r>
      <w:proofErr w:type="gramEnd"/>
      <w:r>
        <w:t>, en fin de contrat, à la destruction de tous fichiers manuels ou informatisés stockant les informations saisies, sauf instruction contraire du MOA</w:t>
      </w:r>
      <w:r w:rsidR="00454BCE" w:rsidRPr="00990D63">
        <w:rPr>
          <w:rFonts w:ascii="Calibri" w:hAnsi="Calibri" w:cs="Calibri"/>
        </w:rPr>
        <w:t> </w:t>
      </w:r>
      <w:r>
        <w:t>;</w:t>
      </w:r>
    </w:p>
    <w:p w14:paraId="3887AE1F" w14:textId="52F66681" w:rsidR="00D607EA" w:rsidRDefault="00D607EA" w:rsidP="008C021C">
      <w:pPr>
        <w:pStyle w:val="Paragraphedeliste"/>
        <w:numPr>
          <w:ilvl w:val="0"/>
          <w:numId w:val="12"/>
        </w:numPr>
      </w:pPr>
      <w:proofErr w:type="gramStart"/>
      <w:r>
        <w:t>remettre</w:t>
      </w:r>
      <w:proofErr w:type="gramEnd"/>
      <w:r>
        <w:t xml:space="preserve"> au représentant du pouvoir adjudicateur une attestation de destruction desdits fichiers.</w:t>
      </w:r>
    </w:p>
    <w:p w14:paraId="482FA8AA" w14:textId="77777777" w:rsidR="00D607EA" w:rsidRDefault="00D607EA" w:rsidP="00D607EA">
      <w:r>
        <w:t>Le représentant du pouvoir adjudicateur se réserve le droit de procéder à toute vérification qui lui paraîtrait utile pour constater le respect des obligations précitées.</w:t>
      </w:r>
    </w:p>
    <w:p w14:paraId="67664D95" w14:textId="77777777" w:rsidR="00D607EA" w:rsidRDefault="00D607EA" w:rsidP="00D607EA">
      <w:r>
        <w:t>En cas de non-respect des dispositions précitées, et indépendamment des pénalités et sanctions prévues à l’article 7 du présent CCP, la responsabilité du titulaire pourra également être engagée sur la base des dispositions de l’article 226-13 du Code pénal.</w:t>
      </w:r>
    </w:p>
    <w:p w14:paraId="5ABB4670" w14:textId="77777777" w:rsidR="00D607EA" w:rsidRDefault="00D607EA" w:rsidP="00D607EA">
      <w:r>
        <w:t xml:space="preserve">Le titulaire et ses sous-traitants s’engagent à détenir tous les supports physiques d’information relatifs à l’opération dans un ou des lieux sécurisés par leurs soins (papier, serveur informatique, sauvegarde sur bandes). </w:t>
      </w:r>
    </w:p>
    <w:p w14:paraId="5D8A1372" w14:textId="77777777" w:rsidR="00D607EA" w:rsidRDefault="00D607EA" w:rsidP="00D607EA">
      <w:r>
        <w:t xml:space="preserve">Les documents informatiques doivent être conservés sur un serveur lui-même sécurisé face aux vols informatiques depuis l’intranet et l’internet. Sur demande explicite du maître d’ouvrage, la communication des documents par courriel, ou sur tout support informatique peut faire l’objet d’un cryptage des données par un logiciel freeware (libre de droits) fonctionnant sur le système d’exploitation Windows ©. </w:t>
      </w:r>
    </w:p>
    <w:p w14:paraId="1518F7AD" w14:textId="77777777" w:rsidR="00D607EA" w:rsidRDefault="00D607EA" w:rsidP="00D607EA">
      <w:r>
        <w:lastRenderedPageBreak/>
        <w:t>La communication postale de tout support d’informations est proscrite.</w:t>
      </w:r>
    </w:p>
    <w:p w14:paraId="1C4C3F3C" w14:textId="79E2539A" w:rsidR="00D607EA" w:rsidRDefault="00D607EA" w:rsidP="00D607EA">
      <w:r>
        <w:t>Tous les documents destinés à être détruits doivent être broyés au préalable.</w:t>
      </w:r>
    </w:p>
    <w:p w14:paraId="664020A1" w14:textId="77777777" w:rsidR="00D607EA" w:rsidRDefault="00D607EA" w:rsidP="00D607EA"/>
    <w:p w14:paraId="442C17FE" w14:textId="77777777" w:rsidR="00D607EA" w:rsidRPr="00D607EA" w:rsidRDefault="00D607EA" w:rsidP="00990D63"/>
    <w:p w14:paraId="45F53385" w14:textId="77777777" w:rsidR="002D3662" w:rsidRDefault="002D3662">
      <w:pPr>
        <w:spacing w:after="0" w:line="240" w:lineRule="auto"/>
        <w:jc w:val="left"/>
        <w:rPr>
          <w:b/>
          <w:color w:val="1F3864" w:themeColor="accent1" w:themeShade="80"/>
          <w:sz w:val="28"/>
        </w:rPr>
      </w:pPr>
      <w:bookmarkStart w:id="25" w:name="_Toc114385027"/>
      <w:r>
        <w:br w:type="page"/>
      </w:r>
    </w:p>
    <w:p w14:paraId="5C95279F" w14:textId="7253BED6" w:rsidR="00783488" w:rsidRPr="008B6F11" w:rsidRDefault="00783488" w:rsidP="002D3662">
      <w:pPr>
        <w:pStyle w:val="Titre2"/>
      </w:pPr>
      <w:bookmarkStart w:id="26" w:name="_Toc142376065"/>
      <w:bookmarkStart w:id="27" w:name="_Toc142492138"/>
      <w:bookmarkStart w:id="28" w:name="_Toc142376066"/>
      <w:bookmarkStart w:id="29" w:name="_Toc142492139"/>
      <w:bookmarkStart w:id="30" w:name="_Toc142376067"/>
      <w:bookmarkStart w:id="31" w:name="_Toc142492140"/>
      <w:bookmarkStart w:id="32" w:name="_Toc142376068"/>
      <w:bookmarkStart w:id="33" w:name="_Toc142492141"/>
      <w:bookmarkStart w:id="34" w:name="_Toc142376069"/>
      <w:bookmarkStart w:id="35" w:name="_Toc142492142"/>
      <w:bookmarkStart w:id="36" w:name="_Toc142376070"/>
      <w:bookmarkStart w:id="37" w:name="_Toc142492143"/>
      <w:bookmarkStart w:id="38" w:name="_Toc142376071"/>
      <w:bookmarkStart w:id="39" w:name="_Toc142492144"/>
      <w:bookmarkStart w:id="40" w:name="_Toc142376072"/>
      <w:bookmarkStart w:id="41" w:name="_Toc142492145"/>
      <w:bookmarkStart w:id="42" w:name="_Toc142376073"/>
      <w:bookmarkStart w:id="43" w:name="_Toc142492146"/>
      <w:bookmarkStart w:id="44" w:name="_Toc167956953"/>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8B6F11">
        <w:lastRenderedPageBreak/>
        <w:t xml:space="preserve">EXECUTION DES </w:t>
      </w:r>
      <w:r w:rsidRPr="002D3662">
        <w:t>PRESTATIONS</w:t>
      </w:r>
      <w:bookmarkEnd w:id="25"/>
      <w:bookmarkEnd w:id="44"/>
    </w:p>
    <w:p w14:paraId="611DD753" w14:textId="75AD37D2" w:rsidR="00783488" w:rsidRPr="00981B53" w:rsidRDefault="00454BCE" w:rsidP="008A4CA3">
      <w:pPr>
        <w:pStyle w:val="Titre1"/>
      </w:pPr>
      <w:bookmarkStart w:id="45" w:name="_Toc114385028"/>
      <w:r>
        <w:rPr>
          <w:rFonts w:ascii="Calibri" w:hAnsi="Calibri" w:cs="Calibri"/>
        </w:rPr>
        <w:t> </w:t>
      </w:r>
      <w:bookmarkStart w:id="46" w:name="_Toc167956954"/>
      <w:r w:rsidR="00783488" w:rsidRPr="00981B53">
        <w:t>Ex</w:t>
      </w:r>
      <w:r w:rsidR="00783488" w:rsidRPr="00981B53">
        <w:rPr>
          <w:rFonts w:cs="Marianne"/>
        </w:rPr>
        <w:t>é</w:t>
      </w:r>
      <w:r w:rsidR="00783488" w:rsidRPr="00981B53">
        <w:t>cution d</w:t>
      </w:r>
      <w:r w:rsidR="00C53DFD">
        <w:t>e l’accord-cadre</w:t>
      </w:r>
      <w:bookmarkEnd w:id="45"/>
      <w:bookmarkEnd w:id="46"/>
    </w:p>
    <w:p w14:paraId="6DF50352" w14:textId="77777777" w:rsidR="00C36F99" w:rsidRPr="00BA3B17" w:rsidRDefault="00C36F99" w:rsidP="00C36F99">
      <w:pPr>
        <w:pStyle w:val="Titre3"/>
      </w:pPr>
      <w:bookmarkStart w:id="47" w:name="_Toc167956955"/>
      <w:r w:rsidRPr="00A24B5C">
        <w:t>Personnes chargées de la conduite des prestations</w:t>
      </w:r>
      <w:bookmarkEnd w:id="47"/>
    </w:p>
    <w:p w14:paraId="6B8D620A" w14:textId="77777777" w:rsidR="00C36F99" w:rsidRDefault="00C36F99" w:rsidP="00C36F99">
      <w:r w:rsidRPr="00981B53">
        <w:t xml:space="preserve">Dès la notification du présent </w:t>
      </w:r>
      <w:r>
        <w:t>accord-cadre</w:t>
      </w:r>
      <w:r w:rsidRPr="00981B53">
        <w:t>, le titulaire désigne le</w:t>
      </w:r>
      <w:r>
        <w:t xml:space="preserve"> ou les</w:t>
      </w:r>
      <w:r w:rsidRPr="00981B53">
        <w:t xml:space="preserve"> responsable</w:t>
      </w:r>
      <w:r>
        <w:t>s</w:t>
      </w:r>
      <w:r w:rsidRPr="00981B53">
        <w:t xml:space="preserve"> qualifié</w:t>
      </w:r>
      <w:r>
        <w:t>s</w:t>
      </w:r>
      <w:r w:rsidRPr="00981B53">
        <w:t xml:space="preserve"> pour le représenter auprès du pouvoir adjudicateur, pour piloter la mission et pour signer au cours de l’exécution d</w:t>
      </w:r>
      <w:r>
        <w:t>e</w:t>
      </w:r>
      <w:r w:rsidRPr="00981B53">
        <w:t xml:space="preserve"> </w:t>
      </w:r>
      <w:r>
        <w:t>l’accord-cadre</w:t>
      </w:r>
      <w:r w:rsidRPr="00981B53" w:rsidDel="00C53DFD">
        <w:t xml:space="preserve"> </w:t>
      </w:r>
      <w:r w:rsidRPr="00981B53">
        <w:t xml:space="preserve">tous les documents prévus au présent CCP. </w:t>
      </w:r>
    </w:p>
    <w:p w14:paraId="29F70036" w14:textId="77777777" w:rsidR="00C36F99" w:rsidRDefault="00C36F99" w:rsidP="00C36F99">
      <w:r>
        <w:t>Le nom et les coordonnées des</w:t>
      </w:r>
      <w:r w:rsidRPr="00A24B5C">
        <w:t xml:space="preserve"> personne</w:t>
      </w:r>
      <w:r>
        <w:t>s, qui seront</w:t>
      </w:r>
      <w:r w:rsidRPr="00A24B5C">
        <w:t xml:space="preserve"> chargée</w:t>
      </w:r>
      <w:r>
        <w:t>s</w:t>
      </w:r>
      <w:r w:rsidRPr="00A24B5C">
        <w:t xml:space="preserve"> de l’exécution des prestations</w:t>
      </w:r>
      <w:r>
        <w:t>,</w:t>
      </w:r>
      <w:r w:rsidRPr="00A24B5C">
        <w:t xml:space="preserve"> sont </w:t>
      </w:r>
      <w:r>
        <w:t xml:space="preserve">définies dans l’acte d’engagement et rappelés </w:t>
      </w:r>
      <w:r w:rsidRPr="00A24B5C">
        <w:t xml:space="preserve">dans </w:t>
      </w:r>
      <w:r>
        <w:t>chaque marché subséquent ou bon de commande</w:t>
      </w:r>
      <w:r w:rsidRPr="00A24B5C">
        <w:t>.</w:t>
      </w:r>
    </w:p>
    <w:p w14:paraId="03CFE4B9" w14:textId="77777777" w:rsidR="00C36F99" w:rsidRPr="00463BF9" w:rsidRDefault="00C36F99" w:rsidP="00C36F99">
      <w:r w:rsidRPr="00463BF9">
        <w:t xml:space="preserve">En cas de changement de la personne physique responsable du contrôle de l’opération et par dérogation à l’article 3.4.3. </w:t>
      </w:r>
      <w:proofErr w:type="gramStart"/>
      <w:r w:rsidRPr="00463BF9">
        <w:t>du</w:t>
      </w:r>
      <w:proofErr w:type="gramEnd"/>
      <w:r w:rsidRPr="00463BF9">
        <w:t xml:space="preserve"> CCAG-PI, le titulaire propose au maître d’ouvrage une nouvelle personne physique dans un délai de 7 jours à compter de la date d’envoi de l’avis prévu au deuxième alinéa de l’article 3.4.3 du CCAG-PI.</w:t>
      </w:r>
    </w:p>
    <w:p w14:paraId="59863D29" w14:textId="77777777" w:rsidR="00C36F99" w:rsidRPr="00445CDB" w:rsidRDefault="00C36F99" w:rsidP="00C36F99">
      <w:pPr>
        <w:rPr>
          <w:b/>
          <w:bCs/>
        </w:rPr>
      </w:pPr>
      <w:r w:rsidRPr="00727957">
        <w:rPr>
          <w:b/>
          <w:bCs/>
        </w:rPr>
        <w:t>L’accord du maître d’ouvrage sur l’identité de la nouvelle personne physique doit être impérativement finalisé par une décision écrite du pouvoir adjudicateur adressée au titulaire.</w:t>
      </w:r>
    </w:p>
    <w:p w14:paraId="0DE53154" w14:textId="77777777" w:rsidR="00C36F99" w:rsidRPr="00727957" w:rsidRDefault="00C36F99" w:rsidP="00C36F99">
      <w:pPr>
        <w:rPr>
          <w:b/>
          <w:bCs/>
        </w:rPr>
      </w:pPr>
      <w:r w:rsidRPr="00445CDB">
        <w:rPr>
          <w:b/>
          <w:bCs/>
        </w:rPr>
        <w:t>Si le maître d’ouvrage refuse le remplaçant, le titulaire dispose de 7 jours à compter de ce refus, pour lui proposer une autre personne physique. A défaut, ou si le maître d’ouvrage récuse également ce remplacement, la résiliation du marché est prononcée dans les conditions de l’article 39 du CCAG-PI.</w:t>
      </w:r>
    </w:p>
    <w:p w14:paraId="2CA2186B" w14:textId="77777777" w:rsidR="00C36F99" w:rsidRDefault="00C36F99" w:rsidP="00C36F99">
      <w:r w:rsidRPr="00463BF9">
        <w:t xml:space="preserve">Le </w:t>
      </w:r>
      <w:r>
        <w:t>coordonnateur</w:t>
      </w:r>
      <w:r w:rsidRPr="00463BF9">
        <w:t xml:space="preserve"> assure le passage des consignes et la transmission des documents qu'il a rédigés ou reçus à tout nouveau remplaçant désigné pour le remplacer ou lui succéder.</w:t>
      </w:r>
      <w:r>
        <w:t xml:space="preserve"> Ce transfert est réalisé conformément aux dispositions de l’article R4532-38 du Code du travail.</w:t>
      </w:r>
    </w:p>
    <w:p w14:paraId="618F7D7D" w14:textId="77777777" w:rsidR="00C36F99" w:rsidRPr="00463BF9" w:rsidRDefault="00C36F99" w:rsidP="00C36F99"/>
    <w:p w14:paraId="58CDFC3A" w14:textId="77777777" w:rsidR="00C36F99" w:rsidRPr="00BA3B17" w:rsidRDefault="00C36F99" w:rsidP="00C36F99">
      <w:pPr>
        <w:pStyle w:val="Titre3"/>
      </w:pPr>
      <w:bookmarkStart w:id="48" w:name="_Toc167956956"/>
      <w:r w:rsidRPr="00BA3B17">
        <w:t>Connaissance des conditions d’exécution des prestations</w:t>
      </w:r>
      <w:bookmarkEnd w:id="48"/>
      <w:r w:rsidRPr="00BA3B17">
        <w:t xml:space="preserve">  </w:t>
      </w:r>
    </w:p>
    <w:p w14:paraId="71521269" w14:textId="77777777" w:rsidR="00C36F99" w:rsidRPr="00CB0BD1" w:rsidRDefault="00C36F99" w:rsidP="00C36F99">
      <w:r w:rsidRPr="00CB0BD1">
        <w:t>Le titulaire est réputé, avant la remise de son offre :</w:t>
      </w:r>
    </w:p>
    <w:p w14:paraId="74994213" w14:textId="77777777" w:rsidR="00C36F99" w:rsidRPr="00CB0BD1" w:rsidRDefault="00C36F99" w:rsidP="008C021C">
      <w:pPr>
        <w:pStyle w:val="Paragraphedeliste"/>
        <w:numPr>
          <w:ilvl w:val="0"/>
          <w:numId w:val="11"/>
        </w:numPr>
      </w:pPr>
      <w:r w:rsidRPr="00CB0BD1">
        <w:t>Avoir apprécié les conditions d'exécution des prestations et s'être parfaitement et totalement rendu compte de leur nature, de leur importance et de leurs particularités ;</w:t>
      </w:r>
    </w:p>
    <w:p w14:paraId="3688BD87" w14:textId="77777777" w:rsidR="00C36F99" w:rsidRPr="00CB0BD1" w:rsidRDefault="00C36F99" w:rsidP="008C021C">
      <w:pPr>
        <w:pStyle w:val="Paragraphedeliste"/>
        <w:numPr>
          <w:ilvl w:val="0"/>
          <w:numId w:val="11"/>
        </w:numPr>
      </w:pPr>
      <w:r w:rsidRPr="00CB0BD1">
        <w:t>Avoir examiné toutes les indications des documents du dossier de consultation, s'être assuré qu'elles sont suffisantes et concordantes, et avoir obtenu, le cas échéant, tous les renseignements complémentaires auprès du pouvoir adjudicateur.</w:t>
      </w:r>
    </w:p>
    <w:p w14:paraId="3D2FDBA7" w14:textId="77777777" w:rsidR="00C36F99" w:rsidRDefault="00C36F99" w:rsidP="006C2D48"/>
    <w:p w14:paraId="50DA7FD1" w14:textId="6D6B01C5" w:rsidR="00542256" w:rsidRDefault="008A4CA3" w:rsidP="00990D63">
      <w:pPr>
        <w:pStyle w:val="Titre3"/>
      </w:pPr>
      <w:bookmarkStart w:id="49" w:name="_Toc167956957"/>
      <w:r>
        <w:t>Types d’opérations</w:t>
      </w:r>
      <w:bookmarkEnd w:id="49"/>
    </w:p>
    <w:p w14:paraId="507BBAE5" w14:textId="2EC49C12" w:rsidR="00122DD6" w:rsidRDefault="00E40E20" w:rsidP="00417C13">
      <w:r>
        <w:t xml:space="preserve">Les différentes opérations de travaux sont catégorisées </w:t>
      </w:r>
      <w:r w:rsidR="00D55813">
        <w:t>de la manière définie</w:t>
      </w:r>
      <w:r w:rsidR="00B70B89">
        <w:t xml:space="preserve"> ci-après. </w:t>
      </w:r>
    </w:p>
    <w:p w14:paraId="417E9325" w14:textId="77777777" w:rsidR="00AC4EE9" w:rsidRDefault="00AC4EE9" w:rsidP="00417C13"/>
    <w:tbl>
      <w:tblPr>
        <w:tblStyle w:val="Grilledutableau"/>
        <w:tblW w:w="8926" w:type="dxa"/>
        <w:tblLayout w:type="fixed"/>
        <w:tblLook w:val="04A0" w:firstRow="1" w:lastRow="0" w:firstColumn="1" w:lastColumn="0" w:noHBand="0" w:noVBand="1"/>
      </w:tblPr>
      <w:tblGrid>
        <w:gridCol w:w="2564"/>
        <w:gridCol w:w="1272"/>
        <w:gridCol w:w="1272"/>
        <w:gridCol w:w="1273"/>
        <w:gridCol w:w="1272"/>
        <w:gridCol w:w="1273"/>
      </w:tblGrid>
      <w:tr w:rsidR="00846F5C" w:rsidRPr="00122DD6" w14:paraId="68DD0CBB" w14:textId="77777777" w:rsidTr="008A4CA3">
        <w:trPr>
          <w:trHeight w:val="527"/>
        </w:trPr>
        <w:tc>
          <w:tcPr>
            <w:tcW w:w="2564" w:type="dxa"/>
            <w:shd w:val="clear" w:color="auto" w:fill="D9D9D9" w:themeFill="background1" w:themeFillShade="D9"/>
            <w:vAlign w:val="center"/>
          </w:tcPr>
          <w:p w14:paraId="33153F64" w14:textId="343C6B95" w:rsidR="00122DD6" w:rsidRPr="008A4CA3" w:rsidRDefault="00122DD6" w:rsidP="008A4CA3">
            <w:pPr>
              <w:jc w:val="center"/>
              <w:rPr>
                <w:b/>
                <w:bCs/>
              </w:rPr>
            </w:pPr>
            <w:r w:rsidRPr="008A4CA3">
              <w:rPr>
                <w:b/>
                <w:bCs/>
              </w:rPr>
              <w:t>Type d’opération</w:t>
            </w:r>
          </w:p>
        </w:tc>
        <w:tc>
          <w:tcPr>
            <w:tcW w:w="1272" w:type="dxa"/>
            <w:shd w:val="clear" w:color="auto" w:fill="D9D9D9" w:themeFill="background1" w:themeFillShade="D9"/>
            <w:vAlign w:val="center"/>
          </w:tcPr>
          <w:p w14:paraId="512DBF89" w14:textId="3F50A235" w:rsidR="00122DD6" w:rsidRPr="008A4CA3" w:rsidRDefault="00122DD6" w:rsidP="008A4CA3">
            <w:pPr>
              <w:jc w:val="center"/>
              <w:rPr>
                <w:b/>
                <w:bCs/>
              </w:rPr>
            </w:pPr>
            <w:r w:rsidRPr="008A4CA3">
              <w:rPr>
                <w:b/>
                <w:bCs/>
              </w:rPr>
              <w:t>A</w:t>
            </w:r>
          </w:p>
        </w:tc>
        <w:tc>
          <w:tcPr>
            <w:tcW w:w="1272" w:type="dxa"/>
            <w:shd w:val="clear" w:color="auto" w:fill="D9D9D9" w:themeFill="background1" w:themeFillShade="D9"/>
            <w:vAlign w:val="center"/>
          </w:tcPr>
          <w:p w14:paraId="6319CD4C" w14:textId="393F6484" w:rsidR="00122DD6" w:rsidRPr="008A4CA3" w:rsidRDefault="00122DD6" w:rsidP="008A4CA3">
            <w:pPr>
              <w:jc w:val="center"/>
              <w:rPr>
                <w:b/>
                <w:bCs/>
              </w:rPr>
            </w:pPr>
            <w:r w:rsidRPr="008A4CA3">
              <w:rPr>
                <w:b/>
                <w:bCs/>
              </w:rPr>
              <w:t>B</w:t>
            </w:r>
          </w:p>
        </w:tc>
        <w:tc>
          <w:tcPr>
            <w:tcW w:w="1273" w:type="dxa"/>
            <w:shd w:val="clear" w:color="auto" w:fill="D9D9D9" w:themeFill="background1" w:themeFillShade="D9"/>
            <w:vAlign w:val="center"/>
          </w:tcPr>
          <w:p w14:paraId="6FE5D757" w14:textId="68F63FEF" w:rsidR="00122DD6" w:rsidRPr="008A4CA3" w:rsidRDefault="00122DD6" w:rsidP="008A4CA3">
            <w:pPr>
              <w:jc w:val="center"/>
              <w:rPr>
                <w:b/>
                <w:bCs/>
              </w:rPr>
            </w:pPr>
            <w:r w:rsidRPr="008A4CA3">
              <w:rPr>
                <w:b/>
                <w:bCs/>
              </w:rPr>
              <w:t>C</w:t>
            </w:r>
          </w:p>
        </w:tc>
        <w:tc>
          <w:tcPr>
            <w:tcW w:w="1272" w:type="dxa"/>
            <w:shd w:val="clear" w:color="auto" w:fill="D9D9D9" w:themeFill="background1" w:themeFillShade="D9"/>
            <w:vAlign w:val="center"/>
          </w:tcPr>
          <w:p w14:paraId="5F8312AC" w14:textId="5B69BE75" w:rsidR="00122DD6" w:rsidRPr="008A4CA3" w:rsidRDefault="00122DD6" w:rsidP="008A4CA3">
            <w:pPr>
              <w:jc w:val="center"/>
              <w:rPr>
                <w:b/>
                <w:bCs/>
              </w:rPr>
            </w:pPr>
            <w:r w:rsidRPr="008A4CA3">
              <w:rPr>
                <w:b/>
                <w:bCs/>
              </w:rPr>
              <w:t>D</w:t>
            </w:r>
          </w:p>
        </w:tc>
        <w:tc>
          <w:tcPr>
            <w:tcW w:w="1273" w:type="dxa"/>
            <w:shd w:val="clear" w:color="auto" w:fill="D9D9D9" w:themeFill="background1" w:themeFillShade="D9"/>
            <w:vAlign w:val="center"/>
          </w:tcPr>
          <w:p w14:paraId="42704A3E" w14:textId="498490ED" w:rsidR="00122DD6" w:rsidRPr="008A4CA3" w:rsidRDefault="00122DD6" w:rsidP="008A4CA3">
            <w:pPr>
              <w:jc w:val="center"/>
              <w:rPr>
                <w:b/>
                <w:bCs/>
              </w:rPr>
            </w:pPr>
            <w:r w:rsidRPr="008A4CA3">
              <w:rPr>
                <w:b/>
                <w:bCs/>
              </w:rPr>
              <w:t>E</w:t>
            </w:r>
          </w:p>
        </w:tc>
      </w:tr>
      <w:tr w:rsidR="00846F5C" w:rsidRPr="00122DD6" w14:paraId="60B3A63B" w14:textId="77777777" w:rsidTr="008A4CA3">
        <w:tc>
          <w:tcPr>
            <w:tcW w:w="2564" w:type="dxa"/>
            <w:shd w:val="clear" w:color="auto" w:fill="D9D9D9" w:themeFill="background1" w:themeFillShade="D9"/>
            <w:vAlign w:val="center"/>
          </w:tcPr>
          <w:p w14:paraId="53D1D729" w14:textId="76BD6BFC" w:rsidR="00846F5C" w:rsidRPr="008A4CA3" w:rsidRDefault="00AC4EE9" w:rsidP="00AC4EE9">
            <w:pPr>
              <w:jc w:val="center"/>
            </w:pPr>
            <w:r>
              <w:t>Caractéristiques</w:t>
            </w:r>
          </w:p>
        </w:tc>
        <w:tc>
          <w:tcPr>
            <w:tcW w:w="6362" w:type="dxa"/>
            <w:gridSpan w:val="5"/>
            <w:shd w:val="clear" w:color="auto" w:fill="D9D9D9" w:themeFill="background1" w:themeFillShade="D9"/>
            <w:vAlign w:val="center"/>
          </w:tcPr>
          <w:p w14:paraId="160F36BD" w14:textId="48A5E54D" w:rsidR="00846F5C" w:rsidRPr="00846F5C" w:rsidRDefault="00846F5C" w:rsidP="00E40E20">
            <w:pPr>
              <w:jc w:val="center"/>
              <w:rPr>
                <w:b/>
                <w:bCs/>
              </w:rPr>
            </w:pPr>
            <w:r>
              <w:t>Travaux de construction neufs ou de réhabilitation ou de déconstruction, portant sur tout ou partie de bâtiments judiciaires</w:t>
            </w:r>
          </w:p>
        </w:tc>
      </w:tr>
      <w:tr w:rsidR="00846F5C" w:rsidRPr="00122DD6" w14:paraId="5D071FB4" w14:textId="77777777" w:rsidTr="008A4CA3">
        <w:tc>
          <w:tcPr>
            <w:tcW w:w="2564" w:type="dxa"/>
            <w:shd w:val="clear" w:color="auto" w:fill="D9D9D9" w:themeFill="background1" w:themeFillShade="D9"/>
            <w:vAlign w:val="center"/>
          </w:tcPr>
          <w:p w14:paraId="0F691704" w14:textId="212F8789" w:rsidR="00E40E20" w:rsidRPr="00846F5C" w:rsidRDefault="00E40E20" w:rsidP="008A4CA3">
            <w:r w:rsidRPr="00846F5C">
              <w:t>Durée estimée</w:t>
            </w:r>
            <w:r w:rsidRPr="008A4CA3">
              <w:t xml:space="preserve"> maximale</w:t>
            </w:r>
            <w:r w:rsidRPr="00846F5C">
              <w:t xml:space="preserve"> de conception</w:t>
            </w:r>
          </w:p>
        </w:tc>
        <w:tc>
          <w:tcPr>
            <w:tcW w:w="1272" w:type="dxa"/>
            <w:vAlign w:val="center"/>
          </w:tcPr>
          <w:p w14:paraId="4DA4AFA5" w14:textId="2AF8C285" w:rsidR="00E40E20" w:rsidRPr="00122DD6" w:rsidRDefault="00FA0B23" w:rsidP="008A4CA3">
            <w:pPr>
              <w:jc w:val="center"/>
            </w:pPr>
            <w:r>
              <w:t>6</w:t>
            </w:r>
            <w:r w:rsidR="00E40E20">
              <w:t xml:space="preserve"> mois</w:t>
            </w:r>
          </w:p>
        </w:tc>
        <w:tc>
          <w:tcPr>
            <w:tcW w:w="1272" w:type="dxa"/>
            <w:vAlign w:val="center"/>
          </w:tcPr>
          <w:p w14:paraId="41F339D0" w14:textId="1903D409" w:rsidR="00E40E20" w:rsidRPr="00122DD6" w:rsidRDefault="00FA0B23" w:rsidP="008A4CA3">
            <w:pPr>
              <w:jc w:val="center"/>
            </w:pPr>
            <w:r>
              <w:t>12</w:t>
            </w:r>
            <w:r w:rsidR="00E40E20">
              <w:t xml:space="preserve"> mois</w:t>
            </w:r>
          </w:p>
        </w:tc>
        <w:tc>
          <w:tcPr>
            <w:tcW w:w="1273" w:type="dxa"/>
            <w:vAlign w:val="center"/>
          </w:tcPr>
          <w:p w14:paraId="2AFDB77B" w14:textId="364CDD84" w:rsidR="00E40E20" w:rsidRPr="00122DD6" w:rsidRDefault="00243E86" w:rsidP="008A4CA3">
            <w:pPr>
              <w:jc w:val="center"/>
            </w:pPr>
            <w:r>
              <w:t>1</w:t>
            </w:r>
            <w:r w:rsidR="00FA0B23">
              <w:t>2</w:t>
            </w:r>
            <w:r w:rsidR="00E40E20">
              <w:t xml:space="preserve"> mois</w:t>
            </w:r>
          </w:p>
        </w:tc>
        <w:tc>
          <w:tcPr>
            <w:tcW w:w="1272" w:type="dxa"/>
            <w:vAlign w:val="center"/>
          </w:tcPr>
          <w:p w14:paraId="6274B822" w14:textId="4F6929A4" w:rsidR="00E40E20" w:rsidRPr="00122DD6" w:rsidRDefault="00243E86" w:rsidP="008A4CA3">
            <w:pPr>
              <w:jc w:val="center"/>
            </w:pPr>
            <w:r>
              <w:t>1</w:t>
            </w:r>
            <w:r w:rsidR="00054E7B">
              <w:t>2</w:t>
            </w:r>
            <w:r w:rsidR="00E40E20">
              <w:t xml:space="preserve"> mois</w:t>
            </w:r>
          </w:p>
        </w:tc>
        <w:tc>
          <w:tcPr>
            <w:tcW w:w="1273" w:type="dxa"/>
            <w:vAlign w:val="center"/>
          </w:tcPr>
          <w:p w14:paraId="32C8D103" w14:textId="452D0A2B" w:rsidR="00E40E20" w:rsidRPr="00122DD6" w:rsidRDefault="00054E7B" w:rsidP="008A4CA3">
            <w:pPr>
              <w:jc w:val="center"/>
            </w:pPr>
            <w:r>
              <w:t>12</w:t>
            </w:r>
            <w:r w:rsidR="00E40E20">
              <w:t xml:space="preserve"> mois</w:t>
            </w:r>
          </w:p>
        </w:tc>
      </w:tr>
      <w:tr w:rsidR="00846F5C" w:rsidRPr="00122DD6" w14:paraId="329DAC15" w14:textId="77777777" w:rsidTr="008A4CA3">
        <w:tc>
          <w:tcPr>
            <w:tcW w:w="2564" w:type="dxa"/>
            <w:shd w:val="clear" w:color="auto" w:fill="D9D9D9" w:themeFill="background1" w:themeFillShade="D9"/>
            <w:vAlign w:val="center"/>
          </w:tcPr>
          <w:p w14:paraId="75581E65" w14:textId="2A7C5A9F" w:rsidR="00E40E20" w:rsidRPr="00846F5C" w:rsidRDefault="00E40E20" w:rsidP="008A4CA3">
            <w:r w:rsidRPr="00846F5C">
              <w:t>Durée estimée</w:t>
            </w:r>
            <w:r w:rsidRPr="008A4CA3">
              <w:t xml:space="preserve"> maximale</w:t>
            </w:r>
            <w:r w:rsidRPr="00846F5C">
              <w:t xml:space="preserve"> de réalisation</w:t>
            </w:r>
          </w:p>
        </w:tc>
        <w:tc>
          <w:tcPr>
            <w:tcW w:w="1272" w:type="dxa"/>
            <w:vAlign w:val="center"/>
          </w:tcPr>
          <w:p w14:paraId="5092F902" w14:textId="5027022E" w:rsidR="00E40E20" w:rsidRPr="00122DD6" w:rsidRDefault="00E40E20" w:rsidP="008A4CA3">
            <w:pPr>
              <w:jc w:val="center"/>
            </w:pPr>
            <w:r>
              <w:t>3 mois</w:t>
            </w:r>
          </w:p>
        </w:tc>
        <w:tc>
          <w:tcPr>
            <w:tcW w:w="1272" w:type="dxa"/>
            <w:vAlign w:val="center"/>
          </w:tcPr>
          <w:p w14:paraId="3167A65B" w14:textId="00212CD2" w:rsidR="00E40E20" w:rsidRPr="00122DD6" w:rsidRDefault="00E40E20" w:rsidP="008A4CA3">
            <w:pPr>
              <w:jc w:val="center"/>
            </w:pPr>
            <w:r>
              <w:t>6 mois</w:t>
            </w:r>
          </w:p>
        </w:tc>
        <w:tc>
          <w:tcPr>
            <w:tcW w:w="1273" w:type="dxa"/>
            <w:vAlign w:val="center"/>
          </w:tcPr>
          <w:p w14:paraId="7065C8B9" w14:textId="53BF1180" w:rsidR="00E40E20" w:rsidRPr="00122DD6" w:rsidRDefault="00243E86" w:rsidP="008A4CA3">
            <w:pPr>
              <w:jc w:val="center"/>
            </w:pPr>
            <w:r>
              <w:t>1</w:t>
            </w:r>
            <w:r w:rsidR="00054E7B">
              <w:t>0</w:t>
            </w:r>
            <w:r w:rsidR="00E40E20">
              <w:t xml:space="preserve"> mois</w:t>
            </w:r>
          </w:p>
        </w:tc>
        <w:tc>
          <w:tcPr>
            <w:tcW w:w="1272" w:type="dxa"/>
            <w:vAlign w:val="center"/>
          </w:tcPr>
          <w:p w14:paraId="0BD24EFB" w14:textId="520BC3D7" w:rsidR="00E40E20" w:rsidRPr="00122DD6" w:rsidRDefault="00243E86" w:rsidP="008A4CA3">
            <w:pPr>
              <w:jc w:val="center"/>
            </w:pPr>
            <w:r>
              <w:t>1</w:t>
            </w:r>
            <w:r w:rsidR="00054E7B">
              <w:t>8</w:t>
            </w:r>
            <w:r w:rsidR="00E40E20">
              <w:t xml:space="preserve"> mois</w:t>
            </w:r>
          </w:p>
        </w:tc>
        <w:tc>
          <w:tcPr>
            <w:tcW w:w="1273" w:type="dxa"/>
            <w:vAlign w:val="center"/>
          </w:tcPr>
          <w:p w14:paraId="1E2CAAB5" w14:textId="781BB4E7" w:rsidR="00E40E20" w:rsidRPr="00122DD6" w:rsidRDefault="00243E86" w:rsidP="008A4CA3">
            <w:pPr>
              <w:jc w:val="center"/>
            </w:pPr>
            <w:r>
              <w:t>24</w:t>
            </w:r>
            <w:r w:rsidR="00E40E20">
              <w:t xml:space="preserve"> mois</w:t>
            </w:r>
          </w:p>
        </w:tc>
      </w:tr>
      <w:tr w:rsidR="00846F5C" w:rsidRPr="00122DD6" w14:paraId="204B05DF" w14:textId="77777777" w:rsidTr="008A4CA3">
        <w:trPr>
          <w:trHeight w:val="401"/>
        </w:trPr>
        <w:tc>
          <w:tcPr>
            <w:tcW w:w="2564" w:type="dxa"/>
            <w:shd w:val="clear" w:color="auto" w:fill="D9D9D9" w:themeFill="background1" w:themeFillShade="D9"/>
            <w:vAlign w:val="center"/>
          </w:tcPr>
          <w:p w14:paraId="5B79B17C" w14:textId="0DB7D74B" w:rsidR="00846F5C" w:rsidRPr="008A4CA3" w:rsidRDefault="00846F5C" w:rsidP="008A4CA3">
            <w:r w:rsidRPr="008A4CA3">
              <w:t>Conditions d’intervention</w:t>
            </w:r>
          </w:p>
        </w:tc>
        <w:tc>
          <w:tcPr>
            <w:tcW w:w="6362" w:type="dxa"/>
            <w:gridSpan w:val="5"/>
            <w:vAlign w:val="center"/>
          </w:tcPr>
          <w:p w14:paraId="1BE7A253" w14:textId="4803E576" w:rsidR="00846F5C" w:rsidRDefault="00846F5C" w:rsidP="00E40E20">
            <w:pPr>
              <w:jc w:val="center"/>
            </w:pPr>
            <w:r>
              <w:t>Intervention possible en site occupé ou en activité</w:t>
            </w:r>
          </w:p>
        </w:tc>
      </w:tr>
      <w:tr w:rsidR="00846F5C" w:rsidRPr="00122DD6" w14:paraId="0C3E6277" w14:textId="77777777" w:rsidTr="008A4CA3">
        <w:tc>
          <w:tcPr>
            <w:tcW w:w="2564" w:type="dxa"/>
            <w:shd w:val="clear" w:color="auto" w:fill="D9D9D9" w:themeFill="background1" w:themeFillShade="D9"/>
            <w:vAlign w:val="center"/>
          </w:tcPr>
          <w:p w14:paraId="322AFB66" w14:textId="2E8824F2" w:rsidR="00846F5C" w:rsidRPr="008A4CA3" w:rsidRDefault="00846F5C" w:rsidP="008A4CA3">
            <w:r w:rsidRPr="008A4CA3">
              <w:t>Horaires</w:t>
            </w:r>
          </w:p>
        </w:tc>
        <w:tc>
          <w:tcPr>
            <w:tcW w:w="6362" w:type="dxa"/>
            <w:gridSpan w:val="5"/>
            <w:vAlign w:val="center"/>
          </w:tcPr>
          <w:p w14:paraId="585D3EC8" w14:textId="1686C552" w:rsidR="00846F5C" w:rsidRDefault="00846F5C" w:rsidP="00846F5C">
            <w:pPr>
              <w:jc w:val="center"/>
            </w:pPr>
            <w:r>
              <w:t>Possibilité de travaux en horaire</w:t>
            </w:r>
            <w:r w:rsidR="00243E86">
              <w:t>s</w:t>
            </w:r>
            <w:r>
              <w:t xml:space="preserve"> décalé</w:t>
            </w:r>
            <w:r w:rsidR="00243E86">
              <w:t>s</w:t>
            </w:r>
            <w:r>
              <w:t xml:space="preserve"> pour permettre la continuité de service</w:t>
            </w:r>
          </w:p>
        </w:tc>
      </w:tr>
      <w:tr w:rsidR="00846F5C" w:rsidRPr="00122DD6" w14:paraId="7C27C18C" w14:textId="77777777" w:rsidTr="008A4CA3">
        <w:tc>
          <w:tcPr>
            <w:tcW w:w="2564" w:type="dxa"/>
            <w:shd w:val="clear" w:color="auto" w:fill="D9D9D9" w:themeFill="background1" w:themeFillShade="D9"/>
            <w:vAlign w:val="center"/>
          </w:tcPr>
          <w:p w14:paraId="0C4495AA" w14:textId="1DAAE40E" w:rsidR="00846F5C" w:rsidRPr="008A4CA3" w:rsidRDefault="00846F5C" w:rsidP="008A4CA3">
            <w:r w:rsidRPr="008A4CA3">
              <w:lastRenderedPageBreak/>
              <w:t>Mode de dévolution</w:t>
            </w:r>
          </w:p>
        </w:tc>
        <w:tc>
          <w:tcPr>
            <w:tcW w:w="6362" w:type="dxa"/>
            <w:gridSpan w:val="5"/>
            <w:vAlign w:val="center"/>
          </w:tcPr>
          <w:p w14:paraId="1DAC7596" w14:textId="57291C13" w:rsidR="00846F5C" w:rsidRDefault="00846F5C" w:rsidP="00243E86">
            <w:pPr>
              <w:jc w:val="center"/>
            </w:pPr>
            <w:r>
              <w:t>Lots s</w:t>
            </w:r>
            <w:r>
              <w:rPr>
                <w:rFonts w:cs="Marianne"/>
              </w:rPr>
              <w:t>é</w:t>
            </w:r>
            <w:r>
              <w:t>par</w:t>
            </w:r>
            <w:r>
              <w:rPr>
                <w:rFonts w:cs="Marianne"/>
              </w:rPr>
              <w:t>é</w:t>
            </w:r>
            <w:r>
              <w:t>s ou groupement d</w:t>
            </w:r>
            <w:r>
              <w:rPr>
                <w:rFonts w:cs="Marianne"/>
              </w:rPr>
              <w:t>’</w:t>
            </w:r>
            <w:r>
              <w:t>entreprises</w:t>
            </w:r>
            <w:r w:rsidR="009E36DB">
              <w:br/>
            </w:r>
            <w:r>
              <w:t>ou entreprise g</w:t>
            </w:r>
            <w:r>
              <w:rPr>
                <w:rFonts w:cs="Marianne"/>
              </w:rPr>
              <w:t>é</w:t>
            </w:r>
            <w:r>
              <w:t>n</w:t>
            </w:r>
            <w:r>
              <w:rPr>
                <w:rFonts w:cs="Marianne"/>
              </w:rPr>
              <w:t>é</w:t>
            </w:r>
            <w:r>
              <w:t>rale</w:t>
            </w:r>
          </w:p>
        </w:tc>
      </w:tr>
      <w:tr w:rsidR="00846F5C" w:rsidRPr="00122DD6" w14:paraId="64180DFF" w14:textId="77777777" w:rsidTr="008A4CA3">
        <w:tc>
          <w:tcPr>
            <w:tcW w:w="2564" w:type="dxa"/>
            <w:shd w:val="clear" w:color="auto" w:fill="D9D9D9" w:themeFill="background1" w:themeFillShade="D9"/>
            <w:vAlign w:val="center"/>
          </w:tcPr>
          <w:p w14:paraId="2C00F1AA" w14:textId="4D629C3F" w:rsidR="00846F5C" w:rsidRPr="00846F5C" w:rsidRDefault="009E36DB" w:rsidP="008A4CA3">
            <w:r>
              <w:t>Montant maximal des travaux en € HT</w:t>
            </w:r>
          </w:p>
        </w:tc>
        <w:tc>
          <w:tcPr>
            <w:tcW w:w="1272" w:type="dxa"/>
            <w:vAlign w:val="center"/>
          </w:tcPr>
          <w:p w14:paraId="3B43C9E5" w14:textId="7CC722F2" w:rsidR="00846F5C" w:rsidRPr="00122DD6" w:rsidRDefault="00054E7B" w:rsidP="008A4CA3">
            <w:pPr>
              <w:jc w:val="center"/>
            </w:pPr>
            <w:r>
              <w:t>100k€</w:t>
            </w:r>
          </w:p>
        </w:tc>
        <w:tc>
          <w:tcPr>
            <w:tcW w:w="1272" w:type="dxa"/>
            <w:vAlign w:val="center"/>
          </w:tcPr>
          <w:p w14:paraId="32A52671" w14:textId="28DC01B3" w:rsidR="00846F5C" w:rsidRPr="00122DD6" w:rsidRDefault="00054E7B" w:rsidP="008A4CA3">
            <w:pPr>
              <w:jc w:val="center"/>
            </w:pPr>
            <w:r>
              <w:t>250k€</w:t>
            </w:r>
          </w:p>
        </w:tc>
        <w:tc>
          <w:tcPr>
            <w:tcW w:w="1273" w:type="dxa"/>
            <w:vAlign w:val="center"/>
          </w:tcPr>
          <w:p w14:paraId="04C08523" w14:textId="3AFC205B" w:rsidR="00846F5C" w:rsidRPr="00122DD6" w:rsidRDefault="00054E7B" w:rsidP="008A4CA3">
            <w:pPr>
              <w:jc w:val="center"/>
            </w:pPr>
            <w:r>
              <w:t>4</w:t>
            </w:r>
            <w:r w:rsidR="009E36DB">
              <w:t>00k€</w:t>
            </w:r>
          </w:p>
        </w:tc>
        <w:tc>
          <w:tcPr>
            <w:tcW w:w="1272" w:type="dxa"/>
            <w:vAlign w:val="center"/>
          </w:tcPr>
          <w:p w14:paraId="68C03926" w14:textId="6B975A82" w:rsidR="00846F5C" w:rsidRPr="00122DD6" w:rsidRDefault="00054E7B" w:rsidP="008A4CA3">
            <w:pPr>
              <w:jc w:val="center"/>
            </w:pPr>
            <w:r>
              <w:t>800k€</w:t>
            </w:r>
          </w:p>
        </w:tc>
        <w:tc>
          <w:tcPr>
            <w:tcW w:w="1273" w:type="dxa"/>
            <w:vAlign w:val="center"/>
          </w:tcPr>
          <w:p w14:paraId="315D51CE" w14:textId="274B7996" w:rsidR="00846F5C" w:rsidRPr="00122DD6" w:rsidRDefault="009E36DB" w:rsidP="008A4CA3">
            <w:pPr>
              <w:jc w:val="center"/>
            </w:pPr>
            <w:r>
              <w:t>1</w:t>
            </w:r>
            <w:r w:rsidR="00054E7B">
              <w:rPr>
                <w:rFonts w:ascii="Calibri" w:hAnsi="Calibri" w:cs="Calibri"/>
              </w:rPr>
              <w:t> </w:t>
            </w:r>
            <w:r>
              <w:t>5</w:t>
            </w:r>
            <w:r w:rsidR="00054E7B">
              <w:t>00k</w:t>
            </w:r>
            <w:r>
              <w:t>€</w:t>
            </w:r>
          </w:p>
        </w:tc>
      </w:tr>
    </w:tbl>
    <w:p w14:paraId="1C5A26AC" w14:textId="77777777" w:rsidR="00122DD6" w:rsidRDefault="00122DD6" w:rsidP="00417C13">
      <w:bookmarkStart w:id="50" w:name="_Hlk143757210"/>
    </w:p>
    <w:p w14:paraId="01AF1771" w14:textId="482EC222" w:rsidR="00AC4EE9" w:rsidRDefault="00AC4EE9" w:rsidP="00417C13">
      <w:r>
        <w:t>En phase conception, le critère dimensionnant est la durée maximale de conception.</w:t>
      </w:r>
    </w:p>
    <w:p w14:paraId="6BACC7CC" w14:textId="34756E22" w:rsidR="00AC4EE9" w:rsidRDefault="00AC4EE9" w:rsidP="00417C13">
      <w:r>
        <w:t>En phase réalisation, le critère dimensionnant est celui correspondant au type</w:t>
      </w:r>
      <w:r w:rsidR="00A50354">
        <w:t xml:space="preserve"> d’opération</w:t>
      </w:r>
      <w:r>
        <w:t xml:space="preserve"> le plus élevé (</w:t>
      </w:r>
      <w:r w:rsidR="00A50354">
        <w:t>A étant le type bas, E étant le type élevé).</w:t>
      </w:r>
    </w:p>
    <w:bookmarkEnd w:id="50"/>
    <w:p w14:paraId="18F22667" w14:textId="77777777" w:rsidR="00AC4EE9" w:rsidRDefault="00AC4EE9" w:rsidP="00417C13"/>
    <w:p w14:paraId="27A7FEEE" w14:textId="56CEDA13" w:rsidR="00A02E3B" w:rsidRDefault="00A02E3B" w:rsidP="00A02E3B">
      <w:r>
        <w:t>L</w:t>
      </w:r>
      <w:r w:rsidR="00612E1A">
        <w:t xml:space="preserve">e régime juridique </w:t>
      </w:r>
      <w:r>
        <w:t>de l’opération est défini</w:t>
      </w:r>
      <w:r w:rsidR="002D3662">
        <w:t>,</w:t>
      </w:r>
      <w:r w:rsidR="00415D33">
        <w:t xml:space="preserve"> </w:t>
      </w:r>
      <w:r w:rsidR="002D3662">
        <w:t xml:space="preserve">sur proposition du titulaire, </w:t>
      </w:r>
      <w:r w:rsidR="00415D33">
        <w:t>par le maître d’ouvrage</w:t>
      </w:r>
      <w:r>
        <w:t>.</w:t>
      </w:r>
    </w:p>
    <w:p w14:paraId="48B13266" w14:textId="77777777" w:rsidR="00F27A13" w:rsidRPr="008A4CA3" w:rsidRDefault="00F27A13" w:rsidP="008A4CA3"/>
    <w:p w14:paraId="50E74CE5" w14:textId="37ED890B" w:rsidR="00F27A13" w:rsidRDefault="00F27A13">
      <w:r w:rsidRPr="008A4CA3">
        <w:t xml:space="preserve">Les missions de coordination SPS pour les opérations de </w:t>
      </w:r>
      <w:r w:rsidR="00E35948">
        <w:t xml:space="preserve">tout </w:t>
      </w:r>
      <w:r w:rsidRPr="008A4CA3">
        <w:t>type seront conformes aux articles R. 4532-1 à R. 4532-98 du code du travail et comprendront notamment</w:t>
      </w:r>
      <w:r w:rsidRPr="008A4CA3">
        <w:rPr>
          <w:rFonts w:ascii="Calibri" w:hAnsi="Calibri" w:cs="Calibri"/>
        </w:rPr>
        <w:t> </w:t>
      </w:r>
      <w:r w:rsidR="00F507E6">
        <w:t xml:space="preserve">les prestations décrites </w:t>
      </w:r>
      <w:r w:rsidR="00107A74">
        <w:t>à l’article 6</w:t>
      </w:r>
      <w:r w:rsidR="00B63A6B">
        <w:t>.</w:t>
      </w:r>
    </w:p>
    <w:p w14:paraId="7EF0114A" w14:textId="77777777" w:rsidR="008A4CA3" w:rsidRDefault="008A4CA3" w:rsidP="008A4CA3">
      <w:pPr>
        <w:pStyle w:val="Titre3"/>
      </w:pPr>
      <w:bookmarkStart w:id="51" w:name="_Toc143092437"/>
      <w:bookmarkStart w:id="52" w:name="_Toc167956958"/>
      <w:bookmarkStart w:id="53" w:name="_Hlk143704655"/>
      <w:r>
        <w:t>Tenue des réunions</w:t>
      </w:r>
      <w:bookmarkEnd w:id="51"/>
      <w:bookmarkEnd w:id="52"/>
    </w:p>
    <w:p w14:paraId="5AD43E3D" w14:textId="380C0525" w:rsidR="008A4CA3" w:rsidRDefault="008A4CA3" w:rsidP="008A4CA3">
      <w:pPr>
        <w:pStyle w:val="ALINEA"/>
        <w:ind w:left="0" w:firstLine="0"/>
      </w:pPr>
      <w:r>
        <w:t>Les réunions seront tenues en visio-conférence</w:t>
      </w:r>
      <w:r w:rsidR="004D098F">
        <w:t xml:space="preserve"> </w:t>
      </w:r>
      <w:r>
        <w:t>ou sur le site concerné par l’opération, au choix du maitre d’ouvrage.</w:t>
      </w:r>
    </w:p>
    <w:p w14:paraId="456CD648" w14:textId="77777777" w:rsidR="004D098F" w:rsidRDefault="004D098F" w:rsidP="008A4CA3">
      <w:pPr>
        <w:pStyle w:val="ALINEA"/>
        <w:ind w:left="0" w:firstLine="0"/>
      </w:pPr>
    </w:p>
    <w:p w14:paraId="36675A72" w14:textId="25766FAA" w:rsidR="008A4CA3" w:rsidRPr="00692A1A" w:rsidRDefault="008A4CA3" w:rsidP="006B0E16">
      <w:pPr>
        <w:pStyle w:val="Titre3"/>
      </w:pPr>
      <w:bookmarkStart w:id="54" w:name="_Toc167956959"/>
      <w:bookmarkEnd w:id="53"/>
      <w:r w:rsidRPr="00692A1A">
        <w:t>Modalités d’exécution des commandes</w:t>
      </w:r>
      <w:bookmarkEnd w:id="54"/>
    </w:p>
    <w:p w14:paraId="3605A0F4" w14:textId="77777777" w:rsidR="008A4CA3" w:rsidRPr="000B1433" w:rsidRDefault="008A4CA3" w:rsidP="006B0E16">
      <w:pPr>
        <w:rPr>
          <w:bCs/>
          <w:spacing w:val="-2"/>
        </w:rPr>
      </w:pPr>
      <w:r w:rsidRPr="000B1433">
        <w:t>Toutes les stipulations c</w:t>
      </w:r>
      <w:r>
        <w:t>ontractuelles</w:t>
      </w:r>
      <w:r w:rsidRPr="000B1433">
        <w:t xml:space="preserve"> ne pouvant être fixée</w:t>
      </w:r>
      <w:r>
        <w:t>s</w:t>
      </w:r>
      <w:r w:rsidRPr="000B1433">
        <w:t xml:space="preserve"> préalablement, </w:t>
      </w:r>
      <w:r w:rsidRPr="000B1433">
        <w:rPr>
          <w:bCs/>
          <w:spacing w:val="-2"/>
        </w:rPr>
        <w:t>l’accord-cadre s’exécutera</w:t>
      </w:r>
      <w:r w:rsidRPr="000B1433">
        <w:rPr>
          <w:rFonts w:ascii="Calibri" w:hAnsi="Calibri" w:cs="Calibri"/>
          <w:bCs/>
          <w:spacing w:val="-2"/>
        </w:rPr>
        <w:t> </w:t>
      </w:r>
      <w:r w:rsidRPr="000B1433">
        <w:rPr>
          <w:bCs/>
          <w:spacing w:val="-2"/>
        </w:rPr>
        <w:t>:</w:t>
      </w:r>
    </w:p>
    <w:p w14:paraId="10FC8CCE" w14:textId="382129B5" w:rsidR="008A4CA3" w:rsidRPr="00692A1A" w:rsidRDefault="008A4CA3" w:rsidP="008C021C">
      <w:pPr>
        <w:pStyle w:val="Paragraphedeliste"/>
        <w:numPr>
          <w:ilvl w:val="0"/>
          <w:numId w:val="5"/>
        </w:numPr>
      </w:pPr>
      <w:proofErr w:type="gramStart"/>
      <w:r w:rsidRPr="00692A1A">
        <w:t>par</w:t>
      </w:r>
      <w:proofErr w:type="gramEnd"/>
      <w:r w:rsidRPr="00692A1A">
        <w:t xml:space="preserve"> bons de commandes</w:t>
      </w:r>
      <w:r w:rsidR="00DB738A">
        <w:t>, pour les missions décrites dans le BPU,</w:t>
      </w:r>
      <w:r>
        <w:t xml:space="preserve"> au fur et à mesure des besoins </w:t>
      </w:r>
      <w:r w:rsidRPr="00692A1A">
        <w:t>;</w:t>
      </w:r>
    </w:p>
    <w:p w14:paraId="43B27E59" w14:textId="67299DF4" w:rsidR="008A4CA3" w:rsidRPr="00BA3B17" w:rsidRDefault="008A4CA3" w:rsidP="008C021C">
      <w:pPr>
        <w:pStyle w:val="Paragraphedeliste"/>
        <w:numPr>
          <w:ilvl w:val="0"/>
          <w:numId w:val="5"/>
        </w:numPr>
      </w:pPr>
      <w:proofErr w:type="gramStart"/>
      <w:r w:rsidRPr="00692A1A">
        <w:t>par</w:t>
      </w:r>
      <w:proofErr w:type="gramEnd"/>
      <w:r w:rsidRPr="00692A1A">
        <w:t xml:space="preserve"> marchés subséquents pour les missions</w:t>
      </w:r>
      <w:bookmarkStart w:id="55" w:name="_Hlk142062241"/>
      <w:r w:rsidR="006C2D48">
        <w:t xml:space="preserve"> </w:t>
      </w:r>
      <w:r w:rsidR="00DB738A">
        <w:t>qui feront l’objet d’une demande de devis de la part de la maitrise d’ouvrage, établis dès que cela sera possible avec la limite des prix plafonds définis au BPU</w:t>
      </w:r>
      <w:proofErr w:type="gramStart"/>
      <w:r w:rsidR="00DB738A">
        <w:t xml:space="preserve">. </w:t>
      </w:r>
      <w:bookmarkEnd w:id="55"/>
      <w:r>
        <w:t>.</w:t>
      </w:r>
      <w:proofErr w:type="gramEnd"/>
      <w:r w:rsidRPr="00692A1A">
        <w:t xml:space="preserve"> </w:t>
      </w:r>
    </w:p>
    <w:p w14:paraId="44EABE4A" w14:textId="4A06932B" w:rsidR="008A4CA3" w:rsidRPr="00BA3B17" w:rsidRDefault="00E239E7" w:rsidP="00E239E7">
      <w:pPr>
        <w:pStyle w:val="Titre4"/>
      </w:pPr>
      <w:r>
        <w:t>5.</w:t>
      </w:r>
      <w:r w:rsidR="004D098F">
        <w:t>5</w:t>
      </w:r>
      <w:r>
        <w:t xml:space="preserve">.1 </w:t>
      </w:r>
      <w:r w:rsidR="008A4CA3" w:rsidRPr="00BA3B17">
        <w:t>Commandes exécutées par bons de commande</w:t>
      </w:r>
    </w:p>
    <w:p w14:paraId="12B72C1C" w14:textId="77777777" w:rsidR="00DB738A" w:rsidRDefault="00DB738A" w:rsidP="008A4CA3">
      <w:r>
        <w:t xml:space="preserve">Pour les missions commandées par émission de bon de commande, ceux-ci sont transmis par courriel avec accusé de réception, ou courrier avec recommandé du pouvoir adjudicateur au titulaire de l’accord-cadre. </w:t>
      </w:r>
    </w:p>
    <w:p w14:paraId="7C92EE8D" w14:textId="0BF36004" w:rsidR="008A4CA3" w:rsidRPr="00361544" w:rsidRDefault="008A4CA3" w:rsidP="008A4CA3">
      <w:r w:rsidRPr="00361544">
        <w:t xml:space="preserve">Le </w:t>
      </w:r>
      <w:bookmarkStart w:id="56" w:name="_Hlk143259848"/>
      <w:r w:rsidRPr="00361544">
        <w:t xml:space="preserve">bon de commande précisera </w:t>
      </w:r>
      <w:r>
        <w:t>le type d’opération de travaux (A, B, C, D ou E)</w:t>
      </w:r>
      <w:bookmarkEnd w:id="56"/>
      <w:r w:rsidRPr="00361544">
        <w:t>, le délai, la quantité</w:t>
      </w:r>
      <w:r>
        <w:t>,</w:t>
      </w:r>
      <w:r w:rsidR="00E239E7">
        <w:t xml:space="preserve"> la nature, le délai, le lieu, la quantité </w:t>
      </w:r>
      <w:r w:rsidRPr="00361544">
        <w:t>et le montant des prestations par application des pièces du présent accord-cadre, notamment des prix figurant dans le bordereau des prix unitaires</w:t>
      </w:r>
      <w:r w:rsidR="00E239E7">
        <w:t xml:space="preserve"> (BPU)</w:t>
      </w:r>
      <w:r w:rsidRPr="00361544">
        <w:t>.</w:t>
      </w:r>
    </w:p>
    <w:p w14:paraId="2BD696FA" w14:textId="77777777" w:rsidR="008A4CA3" w:rsidRPr="00361544" w:rsidRDefault="008A4CA3" w:rsidP="008A4CA3">
      <w:r w:rsidRPr="00361544">
        <w:t>A ce titre, les bons de commande préciseront notamment</w:t>
      </w:r>
      <w:r w:rsidRPr="00361544">
        <w:rPr>
          <w:rFonts w:ascii="Calibri" w:hAnsi="Calibri" w:cs="Calibri"/>
        </w:rPr>
        <w:t> </w:t>
      </w:r>
      <w:r w:rsidRPr="00361544">
        <w:t>:</w:t>
      </w:r>
    </w:p>
    <w:p w14:paraId="626AC31E" w14:textId="77777777" w:rsidR="008A4CA3" w:rsidRPr="00361544" w:rsidRDefault="008A4CA3" w:rsidP="008C021C">
      <w:pPr>
        <w:pStyle w:val="Paragraphedeliste"/>
        <w:numPr>
          <w:ilvl w:val="0"/>
          <w:numId w:val="6"/>
        </w:numPr>
      </w:pPr>
      <w:r w:rsidRPr="00361544">
        <w:t>La référence de l’accord-cadre</w:t>
      </w:r>
      <w:r w:rsidRPr="00513691">
        <w:rPr>
          <w:rFonts w:ascii="Calibri" w:hAnsi="Calibri" w:cs="Calibri"/>
        </w:rPr>
        <w:t> </w:t>
      </w:r>
      <w:r w:rsidRPr="00361544">
        <w:t>;</w:t>
      </w:r>
    </w:p>
    <w:p w14:paraId="34CC4EFC" w14:textId="77777777" w:rsidR="008A4CA3" w:rsidRPr="00361544" w:rsidRDefault="008A4CA3" w:rsidP="008C021C">
      <w:pPr>
        <w:pStyle w:val="Paragraphedeliste"/>
        <w:numPr>
          <w:ilvl w:val="0"/>
          <w:numId w:val="6"/>
        </w:numPr>
      </w:pPr>
      <w:r w:rsidRPr="00361544">
        <w:t>Le numéro du bon de commande</w:t>
      </w:r>
      <w:r>
        <w:t xml:space="preserve"> </w:t>
      </w:r>
      <w:r w:rsidRPr="00361544">
        <w:t>;</w:t>
      </w:r>
    </w:p>
    <w:p w14:paraId="1CFEE168" w14:textId="77777777" w:rsidR="008A4CA3" w:rsidRPr="00F802E7" w:rsidRDefault="008A4CA3" w:rsidP="008C021C">
      <w:pPr>
        <w:pStyle w:val="Paragraphedeliste"/>
        <w:numPr>
          <w:ilvl w:val="0"/>
          <w:numId w:val="6"/>
        </w:numPr>
      </w:pPr>
      <w:r>
        <w:t xml:space="preserve">Le </w:t>
      </w:r>
      <w:r w:rsidRPr="00F802E7">
        <w:t>lieu d’exécution</w:t>
      </w:r>
      <w:r w:rsidRPr="00F802E7">
        <w:rPr>
          <w:rFonts w:ascii="Calibri" w:hAnsi="Calibri" w:cs="Calibri"/>
        </w:rPr>
        <w:t> </w:t>
      </w:r>
      <w:r w:rsidRPr="00F802E7">
        <w:t>;</w:t>
      </w:r>
    </w:p>
    <w:p w14:paraId="791A0DAC" w14:textId="4E701B45" w:rsidR="008A4CA3" w:rsidRDefault="008A4CA3" w:rsidP="008C021C">
      <w:pPr>
        <w:pStyle w:val="Paragraphedeliste"/>
        <w:numPr>
          <w:ilvl w:val="0"/>
          <w:numId w:val="6"/>
        </w:numPr>
      </w:pPr>
      <w:r w:rsidRPr="00F802E7">
        <w:t>La durée du bon de commande</w:t>
      </w:r>
      <w:r w:rsidRPr="00F802E7">
        <w:rPr>
          <w:rFonts w:ascii="Calibri" w:hAnsi="Calibri" w:cs="Calibri"/>
        </w:rPr>
        <w:t> </w:t>
      </w:r>
      <w:r w:rsidRPr="00F802E7">
        <w:t>;</w:t>
      </w:r>
    </w:p>
    <w:p w14:paraId="149D6E6C" w14:textId="77777777" w:rsidR="00E239E7" w:rsidRPr="00F802E7" w:rsidRDefault="00E239E7" w:rsidP="008C021C">
      <w:pPr>
        <w:pStyle w:val="Paragraphedeliste"/>
        <w:numPr>
          <w:ilvl w:val="0"/>
          <w:numId w:val="6"/>
        </w:numPr>
      </w:pPr>
      <w:r>
        <w:t>Les délais d’exécution</w:t>
      </w:r>
      <w:r>
        <w:rPr>
          <w:rFonts w:ascii="Calibri" w:hAnsi="Calibri" w:cs="Calibri"/>
        </w:rPr>
        <w:t> </w:t>
      </w:r>
      <w:r>
        <w:t>;</w:t>
      </w:r>
    </w:p>
    <w:p w14:paraId="65921119" w14:textId="77777777" w:rsidR="00E239E7" w:rsidRDefault="00E239E7" w:rsidP="008C021C">
      <w:pPr>
        <w:pStyle w:val="Paragraphedeliste"/>
        <w:numPr>
          <w:ilvl w:val="0"/>
          <w:numId w:val="6"/>
        </w:numPr>
      </w:pPr>
      <w:r w:rsidRPr="00361544">
        <w:t>Les prestations de l’accord-cadre à réaliser ainsi que les quantités</w:t>
      </w:r>
      <w:r w:rsidRPr="00513691">
        <w:rPr>
          <w:rFonts w:ascii="Calibri" w:hAnsi="Calibri" w:cs="Calibri"/>
        </w:rPr>
        <w:t> </w:t>
      </w:r>
      <w:r w:rsidRPr="00361544">
        <w:t>;</w:t>
      </w:r>
    </w:p>
    <w:p w14:paraId="36D14053" w14:textId="60C4C88C" w:rsidR="00E239E7" w:rsidRDefault="00E239E7" w:rsidP="008C021C">
      <w:pPr>
        <w:pStyle w:val="Paragraphedeliste"/>
        <w:numPr>
          <w:ilvl w:val="0"/>
          <w:numId w:val="6"/>
        </w:numPr>
      </w:pPr>
      <w:r w:rsidRPr="00361544">
        <w:t>Le montant</w:t>
      </w:r>
      <w:r>
        <w:t xml:space="preserve"> du bon de commande</w:t>
      </w:r>
      <w:r>
        <w:rPr>
          <w:rFonts w:ascii="Calibri" w:hAnsi="Calibri" w:cs="Calibri"/>
        </w:rPr>
        <w:t> </w:t>
      </w:r>
      <w:r>
        <w:t>;</w:t>
      </w:r>
    </w:p>
    <w:p w14:paraId="02C22072" w14:textId="77777777" w:rsidR="00E62AC5" w:rsidRDefault="008A4CA3" w:rsidP="006C2D48">
      <w:pPr>
        <w:pStyle w:val="ALINEA"/>
        <w:numPr>
          <w:ilvl w:val="0"/>
          <w:numId w:val="28"/>
        </w:numPr>
        <w:spacing w:before="80"/>
        <w:ind w:left="709" w:hanging="425"/>
      </w:pPr>
      <w:bookmarkStart w:id="57" w:name="_Hlk142051162"/>
      <w:r>
        <w:t>Le nom du coordonnateur SPS affecté à l’opération, la date et la référence de son attestation de compétence de moins de 5 ans au sens de l’a</w:t>
      </w:r>
      <w:r w:rsidRPr="00F3370D">
        <w:t>rrêté du 26 décembre 2012</w:t>
      </w:r>
      <w:r w:rsidRPr="00E62AC5">
        <w:rPr>
          <w:rFonts w:ascii="Calibri" w:hAnsi="Calibri" w:cs="Calibri"/>
        </w:rPr>
        <w:t> </w:t>
      </w:r>
      <w:r>
        <w:t>;</w:t>
      </w:r>
    </w:p>
    <w:p w14:paraId="7B45FE9E" w14:textId="5B3B0881" w:rsidR="00E62AC5" w:rsidRDefault="008A4CA3" w:rsidP="006C2D48">
      <w:pPr>
        <w:pStyle w:val="ALINEA"/>
        <w:numPr>
          <w:ilvl w:val="0"/>
          <w:numId w:val="28"/>
        </w:numPr>
        <w:spacing w:before="80"/>
        <w:ind w:left="709" w:hanging="425"/>
      </w:pPr>
      <w:r>
        <w:t>Le nom du coordonnateur suppléant,</w:t>
      </w:r>
      <w:r w:rsidRPr="00F3370D">
        <w:t xml:space="preserve"> </w:t>
      </w:r>
      <w:r>
        <w:t>la date et la référence de son attestation de compétence de moins de 5 ans au sens de l’a</w:t>
      </w:r>
      <w:r w:rsidRPr="00F3370D">
        <w:t>rrêté du 26 décembre 2012</w:t>
      </w:r>
      <w:r w:rsidRPr="00E62AC5">
        <w:rPr>
          <w:rFonts w:ascii="Calibri" w:hAnsi="Calibri" w:cs="Calibri"/>
        </w:rPr>
        <w:t> </w:t>
      </w:r>
      <w:r>
        <w:t>;</w:t>
      </w:r>
      <w:bookmarkEnd w:id="57"/>
    </w:p>
    <w:p w14:paraId="670A44FA" w14:textId="6A05CAE7" w:rsidR="008A4CA3" w:rsidRDefault="006B529C" w:rsidP="006B529C">
      <w:pPr>
        <w:pStyle w:val="ALINEA"/>
        <w:spacing w:before="80"/>
        <w:ind w:left="0" w:firstLine="0"/>
        <w:rPr>
          <w:b/>
          <w:bCs/>
          <w:u w:val="single"/>
        </w:rPr>
      </w:pPr>
      <w:r>
        <w:t xml:space="preserve">Le cas échéant, le titulaire indique en retour au maitre d’ouvrage la répartition des missions et prix associés par co-traitant, dans la limite du montant du bon de commande, signée par l’ensemble des membres du groupement dans un délais de 15 jours après la notification du bon de commande. A défaut, </w:t>
      </w:r>
      <w:r>
        <w:rPr>
          <w:b/>
          <w:bCs/>
          <w:u w:val="single"/>
        </w:rPr>
        <w:t>une répartition financière égalitaire entre chaque co-traitant sera appliquée</w:t>
      </w:r>
      <w:r w:rsidRPr="006B0E16">
        <w:rPr>
          <w:b/>
          <w:bCs/>
          <w:u w:val="single"/>
        </w:rPr>
        <w:t>.</w:t>
      </w:r>
    </w:p>
    <w:p w14:paraId="26F04948" w14:textId="77777777" w:rsidR="00A93165" w:rsidRDefault="00A93165" w:rsidP="006B529C">
      <w:pPr>
        <w:pStyle w:val="ALINEA"/>
        <w:spacing w:before="80"/>
        <w:ind w:left="0" w:firstLine="0"/>
        <w:rPr>
          <w:b/>
          <w:bCs/>
          <w:u w:val="single"/>
        </w:rPr>
      </w:pPr>
    </w:p>
    <w:p w14:paraId="67E3FFB8" w14:textId="082E541B" w:rsidR="00A93165" w:rsidRDefault="00A93165" w:rsidP="006B529C">
      <w:pPr>
        <w:pStyle w:val="ALINEA"/>
        <w:spacing w:before="80"/>
        <w:ind w:left="0" w:firstLine="0"/>
        <w:rPr>
          <w:rFonts w:ascii="Verdana" w:hAnsi="Verdana"/>
          <w:i/>
          <w:sz w:val="18"/>
          <w:szCs w:val="18"/>
        </w:rPr>
      </w:pPr>
      <w:r>
        <w:rPr>
          <w:b/>
          <w:bCs/>
          <w:u w:val="single"/>
        </w:rPr>
        <w:lastRenderedPageBreak/>
        <w:t>L’émission des bons de commande s’effectue sans négociation du titulaire du présent accord-cadre</w:t>
      </w:r>
    </w:p>
    <w:p w14:paraId="1005130C" w14:textId="73667C62" w:rsidR="008A4CA3" w:rsidRPr="00BA3B17" w:rsidRDefault="00E239E7" w:rsidP="00E239E7">
      <w:pPr>
        <w:pStyle w:val="Titre4"/>
      </w:pPr>
      <w:r>
        <w:t>5.</w:t>
      </w:r>
      <w:r w:rsidR="004D098F">
        <w:t>5</w:t>
      </w:r>
      <w:r w:rsidR="008A4CA3" w:rsidRPr="00BA3B17">
        <w:t>.2 Commandes exécutées par marchés subséquents</w:t>
      </w:r>
    </w:p>
    <w:p w14:paraId="2DB8803D" w14:textId="08EC5D27" w:rsidR="008A4CA3" w:rsidRDefault="008A4CA3" w:rsidP="007D0098">
      <w:pPr>
        <w:pStyle w:val="Normal2"/>
      </w:pPr>
      <w:r w:rsidRPr="007D0098">
        <w:t>Le pouvoir adjudicateur, lors de la survenance du besoin, adressera au titulaire de l’accord-cadre les informations sur les caractéristiques et l’ampleur des prestations, ainsi que les modalités d’exécution des prestations non fixées dans l’accord-cadre et lui demandera d’établir une proposition technique et financière</w:t>
      </w:r>
      <w:r w:rsidR="00C13DC6" w:rsidRPr="007D0098">
        <w:t xml:space="preserve"> intégrant les éventuelles répartitions entre co-traitant.</w:t>
      </w:r>
    </w:p>
    <w:p w14:paraId="3B3C88C3" w14:textId="77777777" w:rsidR="00A93165" w:rsidRDefault="00A93165" w:rsidP="007D0098">
      <w:pPr>
        <w:pStyle w:val="Normal2"/>
      </w:pPr>
      <w:r>
        <w:t>Les marchés subséquents sont traités à prix forfaitaires, par application</w:t>
      </w:r>
      <w:r>
        <w:rPr>
          <w:rFonts w:ascii="Calibri" w:hAnsi="Calibri" w:cs="Calibri"/>
        </w:rPr>
        <w:t> </w:t>
      </w:r>
      <w:r>
        <w:t xml:space="preserve">: </w:t>
      </w:r>
    </w:p>
    <w:p w14:paraId="5FEFCE39" w14:textId="2D2D6562" w:rsidR="00A93165" w:rsidRDefault="00A93165" w:rsidP="00A93165">
      <w:pPr>
        <w:pStyle w:val="Paragraphedeliste"/>
        <w:numPr>
          <w:ilvl w:val="0"/>
          <w:numId w:val="21"/>
        </w:numPr>
        <w:spacing w:after="0" w:line="240" w:lineRule="auto"/>
        <w:contextualSpacing/>
        <w:jc w:val="left"/>
        <w:rPr>
          <w:rFonts w:cs="Arial"/>
          <w:szCs w:val="18"/>
        </w:rPr>
      </w:pPr>
      <w:proofErr w:type="gramStart"/>
      <w:r>
        <w:rPr>
          <w:rFonts w:cs="Arial"/>
          <w:szCs w:val="18"/>
        </w:rPr>
        <w:t>des</w:t>
      </w:r>
      <w:proofErr w:type="gramEnd"/>
      <w:r>
        <w:rPr>
          <w:rFonts w:cs="Arial"/>
          <w:szCs w:val="18"/>
        </w:rPr>
        <w:t xml:space="preserve"> prix unitaires figurant dans l’Annexe 2 de l’acte d’engagement (BPU) de l’accord-cadre</w:t>
      </w:r>
      <w:r>
        <w:rPr>
          <w:rFonts w:ascii="Calibri" w:hAnsi="Calibri" w:cs="Calibri"/>
          <w:szCs w:val="18"/>
        </w:rPr>
        <w:t> </w:t>
      </w:r>
      <w:r>
        <w:rPr>
          <w:rFonts w:cs="Arial"/>
          <w:szCs w:val="18"/>
        </w:rPr>
        <w:t>;</w:t>
      </w:r>
    </w:p>
    <w:p w14:paraId="0DC759A5" w14:textId="77777777" w:rsidR="00A93165" w:rsidRPr="005A3995" w:rsidRDefault="00A93165" w:rsidP="00A93165">
      <w:pPr>
        <w:pStyle w:val="Paragraphedeliste"/>
        <w:numPr>
          <w:ilvl w:val="0"/>
          <w:numId w:val="21"/>
        </w:numPr>
        <w:spacing w:after="0" w:line="240" w:lineRule="auto"/>
        <w:contextualSpacing/>
        <w:jc w:val="left"/>
        <w:rPr>
          <w:rFonts w:cs="Arial"/>
          <w:szCs w:val="18"/>
        </w:rPr>
      </w:pPr>
      <w:r>
        <w:rPr>
          <w:rFonts w:cs="Arial"/>
          <w:szCs w:val="18"/>
        </w:rPr>
        <w:t>Des prix nouveaux le cas échéant.</w:t>
      </w:r>
    </w:p>
    <w:p w14:paraId="1A1C6593" w14:textId="77777777" w:rsidR="008A4CA3" w:rsidRPr="007D0098" w:rsidRDefault="008A4CA3" w:rsidP="007D0098">
      <w:pPr>
        <w:pStyle w:val="Normal2"/>
      </w:pPr>
      <w:r w:rsidRPr="007D0098">
        <w:t>La date limite de réception de cette proposition sera précisée dans la demande.</w:t>
      </w:r>
    </w:p>
    <w:p w14:paraId="58D8384C" w14:textId="77777777" w:rsidR="00C13DC6" w:rsidRPr="007D0098" w:rsidRDefault="00C13DC6" w:rsidP="007D0098">
      <w:pPr>
        <w:pStyle w:val="Normal2"/>
      </w:pPr>
      <w:r w:rsidRPr="007D0098">
        <w:t>Le titulaire s’engage à adresser une offre à l’ensemble des demandes. Cette obligation s’applique notamment dans le cas où le pouvoirs adjudicateur lance simultanément plusieurs demandes aux mêmes dates.</w:t>
      </w:r>
    </w:p>
    <w:p w14:paraId="6D10D085" w14:textId="77777777" w:rsidR="00C13DC6" w:rsidRPr="007D0098" w:rsidRDefault="00C13DC6" w:rsidP="007D0098">
      <w:pPr>
        <w:pStyle w:val="Normal2"/>
      </w:pPr>
      <w:r w:rsidRPr="007D0098">
        <w:t xml:space="preserve">L’offre du titulaire doit être datée et signée. </w:t>
      </w:r>
    </w:p>
    <w:p w14:paraId="391C6C50" w14:textId="77777777" w:rsidR="00C13DC6" w:rsidRPr="007D0098" w:rsidRDefault="00C13DC6" w:rsidP="007D0098">
      <w:pPr>
        <w:pStyle w:val="Normal2"/>
      </w:pPr>
      <w:r w:rsidRPr="007D0098">
        <w:t>Cette offre est validée par le pouvoir adjudicateur par la conclusion et la notification du marché subséquent au titulaire de l’accord cadre.</w:t>
      </w:r>
    </w:p>
    <w:p w14:paraId="3D9FE1A7" w14:textId="77777777" w:rsidR="007D0098" w:rsidRDefault="007D0098" w:rsidP="007D0098"/>
    <w:p w14:paraId="3776EA8E" w14:textId="566D63F0" w:rsidR="008A4CA3" w:rsidRDefault="008A4CA3" w:rsidP="007D0098">
      <w:r>
        <w:t>Les marchés subséquents, préciseront notamment</w:t>
      </w:r>
      <w:r>
        <w:rPr>
          <w:rFonts w:ascii="Calibri" w:hAnsi="Calibri" w:cs="Calibri"/>
        </w:rPr>
        <w:t> </w:t>
      </w:r>
      <w:r>
        <w:t>:</w:t>
      </w:r>
    </w:p>
    <w:p w14:paraId="6811273F" w14:textId="77777777" w:rsidR="008A4CA3" w:rsidRPr="00513691" w:rsidRDefault="008A4CA3" w:rsidP="008C021C">
      <w:pPr>
        <w:pStyle w:val="Paragraphedeliste"/>
        <w:numPr>
          <w:ilvl w:val="0"/>
          <w:numId w:val="7"/>
        </w:numPr>
      </w:pPr>
      <w:r w:rsidRPr="00513691">
        <w:t>La référence de l’accord-cadre</w:t>
      </w:r>
      <w:r w:rsidRPr="007D0098">
        <w:rPr>
          <w:rFonts w:ascii="Calibri" w:hAnsi="Calibri" w:cs="Calibri"/>
        </w:rPr>
        <w:t> </w:t>
      </w:r>
      <w:r w:rsidRPr="00513691">
        <w:t>;</w:t>
      </w:r>
    </w:p>
    <w:p w14:paraId="751B77AC" w14:textId="77777777" w:rsidR="008A4CA3" w:rsidRPr="00513691" w:rsidRDefault="008A4CA3" w:rsidP="008C021C">
      <w:pPr>
        <w:pStyle w:val="Paragraphedeliste"/>
        <w:numPr>
          <w:ilvl w:val="0"/>
          <w:numId w:val="7"/>
        </w:numPr>
      </w:pPr>
      <w:r w:rsidRPr="00513691">
        <w:t>Le numéro du marché subséquent ;</w:t>
      </w:r>
    </w:p>
    <w:p w14:paraId="39CAEEE1" w14:textId="77777777" w:rsidR="008A4CA3" w:rsidRDefault="008A4CA3" w:rsidP="008C021C">
      <w:pPr>
        <w:pStyle w:val="Paragraphedeliste"/>
        <w:numPr>
          <w:ilvl w:val="0"/>
          <w:numId w:val="7"/>
        </w:numPr>
      </w:pPr>
      <w:r>
        <w:t>Le lieu d’exécution</w:t>
      </w:r>
      <w:r>
        <w:rPr>
          <w:rFonts w:ascii="Calibri" w:hAnsi="Calibri" w:cs="Calibri"/>
        </w:rPr>
        <w:t> </w:t>
      </w:r>
      <w:r>
        <w:t>;</w:t>
      </w:r>
    </w:p>
    <w:p w14:paraId="393B0F12" w14:textId="61403BFA" w:rsidR="008A4CA3" w:rsidRDefault="008A4CA3" w:rsidP="008C021C">
      <w:pPr>
        <w:pStyle w:val="Paragraphedeliste"/>
        <w:numPr>
          <w:ilvl w:val="0"/>
          <w:numId w:val="7"/>
        </w:numPr>
      </w:pPr>
      <w:r>
        <w:t>La durée du marché subséquent</w:t>
      </w:r>
      <w:r>
        <w:rPr>
          <w:rFonts w:ascii="Calibri" w:hAnsi="Calibri" w:cs="Calibri"/>
        </w:rPr>
        <w:t> </w:t>
      </w:r>
      <w:r>
        <w:t>;</w:t>
      </w:r>
    </w:p>
    <w:p w14:paraId="666510D1" w14:textId="77777777" w:rsidR="00D2569B" w:rsidRPr="00513691" w:rsidRDefault="00D2569B" w:rsidP="008C021C">
      <w:pPr>
        <w:pStyle w:val="Paragraphedeliste"/>
        <w:numPr>
          <w:ilvl w:val="0"/>
          <w:numId w:val="7"/>
        </w:numPr>
      </w:pPr>
      <w:r w:rsidRPr="00513691">
        <w:t>Les modalités et les délais d’exécution</w:t>
      </w:r>
      <w:r w:rsidRPr="007D0098">
        <w:rPr>
          <w:rFonts w:ascii="Calibri" w:hAnsi="Calibri" w:cs="Calibri"/>
        </w:rPr>
        <w:t> </w:t>
      </w:r>
      <w:r w:rsidRPr="00513691">
        <w:t>;</w:t>
      </w:r>
    </w:p>
    <w:p w14:paraId="355A04DA" w14:textId="77777777" w:rsidR="00D2569B" w:rsidRDefault="00D2569B" w:rsidP="008C021C">
      <w:pPr>
        <w:pStyle w:val="Paragraphedeliste"/>
        <w:numPr>
          <w:ilvl w:val="0"/>
          <w:numId w:val="7"/>
        </w:numPr>
      </w:pPr>
      <w:r w:rsidRPr="00513691">
        <w:t>Les caractéristiques des prestations à réaliser ainsi que les quantités</w:t>
      </w:r>
      <w:r w:rsidRPr="007D0098">
        <w:rPr>
          <w:rFonts w:ascii="Calibri" w:hAnsi="Calibri" w:cs="Calibri"/>
        </w:rPr>
        <w:t> </w:t>
      </w:r>
      <w:r w:rsidRPr="00513691">
        <w:t>;</w:t>
      </w:r>
    </w:p>
    <w:p w14:paraId="7300DFBD" w14:textId="7849C114" w:rsidR="00D2569B" w:rsidRDefault="00D2569B" w:rsidP="008C021C">
      <w:pPr>
        <w:pStyle w:val="Paragraphedeliste"/>
        <w:numPr>
          <w:ilvl w:val="0"/>
          <w:numId w:val="7"/>
        </w:numPr>
      </w:pPr>
      <w:r w:rsidRPr="00513691">
        <w:t>Le montant</w:t>
      </w:r>
      <w:r>
        <w:t xml:space="preserve"> du marché subséquent</w:t>
      </w:r>
      <w:r>
        <w:rPr>
          <w:rFonts w:ascii="Calibri" w:hAnsi="Calibri" w:cs="Calibri"/>
        </w:rPr>
        <w:t> </w:t>
      </w:r>
      <w:r>
        <w:t>;</w:t>
      </w:r>
      <w:r>
        <w:rPr>
          <w:rFonts w:ascii="Calibri" w:hAnsi="Calibri" w:cs="Calibri"/>
        </w:rPr>
        <w:t> </w:t>
      </w:r>
      <w:r>
        <w:t>;</w:t>
      </w:r>
    </w:p>
    <w:p w14:paraId="209DF24C" w14:textId="5FDA4882" w:rsidR="00D2569B" w:rsidRDefault="007D0098" w:rsidP="008C021C">
      <w:pPr>
        <w:pStyle w:val="ALINEA"/>
        <w:numPr>
          <w:ilvl w:val="0"/>
          <w:numId w:val="7"/>
        </w:numPr>
      </w:pPr>
      <w:r>
        <w:t>L’éventuelle répartition entre co-traitant</w:t>
      </w:r>
      <w:r>
        <w:rPr>
          <w:rFonts w:ascii="Calibri" w:hAnsi="Calibri" w:cs="Calibri"/>
        </w:rPr>
        <w:t> </w:t>
      </w:r>
      <w:r>
        <w:t xml:space="preserve">; </w:t>
      </w:r>
    </w:p>
    <w:p w14:paraId="29BDFD82" w14:textId="77777777" w:rsidR="008A4CA3" w:rsidRDefault="008A4CA3" w:rsidP="008C021C">
      <w:pPr>
        <w:pStyle w:val="Paragraphedeliste"/>
        <w:numPr>
          <w:ilvl w:val="0"/>
          <w:numId w:val="7"/>
        </w:numPr>
      </w:pPr>
      <w:r>
        <w:t xml:space="preserve">Le nom du coordonnateur SPS affecté à l’opération, la date et la référence de son attestation de compétence de moins de 5 ans au sens de l’arrêté du 26 décembre </w:t>
      </w:r>
      <w:proofErr w:type="gramStart"/>
      <w:r>
        <w:t>2012;</w:t>
      </w:r>
      <w:proofErr w:type="gramEnd"/>
    </w:p>
    <w:p w14:paraId="78B32124" w14:textId="77777777" w:rsidR="008A4CA3" w:rsidRDefault="008A4CA3" w:rsidP="008C021C">
      <w:pPr>
        <w:pStyle w:val="Paragraphedeliste"/>
        <w:numPr>
          <w:ilvl w:val="0"/>
          <w:numId w:val="7"/>
        </w:numPr>
      </w:pPr>
      <w:r>
        <w:t>Le nom du coordonnateur suppléant, la date et la référence de son attestation de compétence de moins de 5 ans au sens de l’arrêté du 26 décembre 2012 ;</w:t>
      </w:r>
    </w:p>
    <w:p w14:paraId="24A8C77C" w14:textId="77777777" w:rsidR="008A4CA3" w:rsidRDefault="008A4CA3" w:rsidP="008A4CA3">
      <w:pPr>
        <w:tabs>
          <w:tab w:val="num" w:pos="1800"/>
        </w:tabs>
        <w:autoSpaceDN w:val="0"/>
        <w:spacing w:before="40" w:after="40"/>
        <w:rPr>
          <w:rFonts w:ascii="Verdana" w:hAnsi="Verdana"/>
          <w:sz w:val="18"/>
          <w:szCs w:val="18"/>
        </w:rPr>
      </w:pPr>
    </w:p>
    <w:p w14:paraId="54D105AD" w14:textId="5823ABFF" w:rsidR="00505AC7" w:rsidRDefault="00505AC7" w:rsidP="00505AC7">
      <w:pPr>
        <w:pStyle w:val="Titre4"/>
      </w:pPr>
      <w:r>
        <w:t>5.</w:t>
      </w:r>
      <w:r w:rsidR="004D098F">
        <w:t>5</w:t>
      </w:r>
      <w:r>
        <w:t>.3 Modalités en cas de changement de type d’opération</w:t>
      </w:r>
    </w:p>
    <w:p w14:paraId="71D3B129" w14:textId="78F1456B" w:rsidR="00505AC7" w:rsidRPr="003C1179" w:rsidRDefault="00505AC7" w:rsidP="00505AC7">
      <w:pPr>
        <w:pStyle w:val="Normal3"/>
      </w:pPr>
      <w:r w:rsidRPr="003C1179">
        <w:t>Dans le cas où l</w:t>
      </w:r>
      <w:r>
        <w:t>e type</w:t>
      </w:r>
      <w:r w:rsidRPr="003C1179">
        <w:t xml:space="preserve"> d’opération</w:t>
      </w:r>
      <w:r>
        <w:t xml:space="preserve"> constaté</w:t>
      </w:r>
      <w:r w:rsidRPr="003C1179">
        <w:t xml:space="preserve"> </w:t>
      </w:r>
      <w:r>
        <w:t>évolue</w:t>
      </w:r>
      <w:r w:rsidRPr="003C1179">
        <w:t xml:space="preserve"> par rapport au type d’opération </w:t>
      </w:r>
      <w:r>
        <w:t>commandé</w:t>
      </w:r>
      <w:r w:rsidRPr="003C1179">
        <w:t xml:space="preserve">, la mission du </w:t>
      </w:r>
      <w:r w:rsidR="00E62AC5">
        <w:t>coordinateur</w:t>
      </w:r>
      <w:r w:rsidRPr="003C1179">
        <w:t xml:space="preserve"> pourra être revue. </w:t>
      </w:r>
    </w:p>
    <w:p w14:paraId="614060A3" w14:textId="77777777" w:rsidR="00505AC7" w:rsidRDefault="00505AC7" w:rsidP="00505AC7">
      <w:pPr>
        <w:pStyle w:val="Normal3"/>
      </w:pPr>
      <w:r>
        <w:t>Selon l’évolution des besoins, u</w:t>
      </w:r>
      <w:r w:rsidRPr="003C1179">
        <w:t>n marché subséquent pourra être notifié afin d</w:t>
      </w:r>
      <w:r>
        <w:t>e compléter</w:t>
      </w:r>
      <w:r w:rsidRPr="003C1179">
        <w:t xml:space="preserve"> le montant global de la mission</w:t>
      </w:r>
      <w:r>
        <w:t xml:space="preserve"> commandée initialement</w:t>
      </w:r>
      <w:r w:rsidRPr="003C1179">
        <w:t>, sur la base des prix définis au BPU</w:t>
      </w:r>
      <w:r>
        <w:t xml:space="preserve">.  </w:t>
      </w:r>
    </w:p>
    <w:p w14:paraId="7DC83909" w14:textId="77777777" w:rsidR="00505AC7" w:rsidRPr="003C1179" w:rsidRDefault="00505AC7" w:rsidP="00505AC7">
      <w:pPr>
        <w:pStyle w:val="Normal3"/>
      </w:pPr>
      <w:r>
        <w:t>Le montant total du bon de commande initial et du marché subséquent de complément sera, au maximum, égal au montant du bon de commande qui aurait été notifié pour le type d’opération constatée.</w:t>
      </w:r>
    </w:p>
    <w:p w14:paraId="5707493B" w14:textId="77777777" w:rsidR="00BF4E4E" w:rsidRDefault="00BF4E4E">
      <w:pPr>
        <w:spacing w:after="0" w:line="240" w:lineRule="auto"/>
        <w:jc w:val="left"/>
      </w:pPr>
    </w:p>
    <w:p w14:paraId="24A7D4BB" w14:textId="0081FECC" w:rsidR="00BF4E4E" w:rsidRDefault="00BF4E4E" w:rsidP="006C2D48">
      <w:pPr>
        <w:pStyle w:val="Titre4"/>
      </w:pPr>
      <w:r>
        <w:t xml:space="preserve">5.5.4 Règlement des marchés subséquents </w:t>
      </w:r>
    </w:p>
    <w:p w14:paraId="11E104B7" w14:textId="77777777" w:rsidR="00BF4E4E" w:rsidRPr="006A4EFD" w:rsidRDefault="00BF4E4E" w:rsidP="00BF4E4E">
      <w:pPr>
        <w:pStyle w:val="pf0"/>
        <w:jc w:val="both"/>
        <w:rPr>
          <w:rFonts w:ascii="Marianne" w:eastAsia="Calibri" w:hAnsi="Marianne" w:cs="Calibri"/>
          <w:color w:val="000000"/>
          <w:sz w:val="20"/>
          <w:szCs w:val="20"/>
        </w:rPr>
      </w:pPr>
      <w:r w:rsidRPr="006A4EFD">
        <w:rPr>
          <w:rFonts w:ascii="Marianne" w:eastAsia="Calibri" w:hAnsi="Marianne" w:cs="Calibri"/>
          <w:color w:val="000000"/>
          <w:sz w:val="20"/>
          <w:szCs w:val="20"/>
        </w:rPr>
        <w:t xml:space="preserve">Si le titulaire estime que les circonstances le justifient, il pourra établir sa proposition de forfait pour le chiffrage d’un marché subséquent en y incluant – avec les justifications utiles – des prix unitaires ne figurant pas dans le BPU annexé au présent document. </w:t>
      </w:r>
    </w:p>
    <w:p w14:paraId="007E941C" w14:textId="77777777" w:rsidR="00BF4E4E" w:rsidRPr="006A4EFD" w:rsidRDefault="00BF4E4E" w:rsidP="00BF4E4E">
      <w:pPr>
        <w:pStyle w:val="pf0"/>
        <w:jc w:val="both"/>
        <w:rPr>
          <w:rFonts w:ascii="Marianne" w:eastAsia="Calibri" w:hAnsi="Marianne" w:cs="Calibri"/>
          <w:color w:val="000000"/>
          <w:sz w:val="20"/>
          <w:szCs w:val="20"/>
        </w:rPr>
      </w:pPr>
      <w:r w:rsidRPr="006A4EFD">
        <w:rPr>
          <w:rFonts w:ascii="Marianne" w:eastAsia="Calibri" w:hAnsi="Marianne" w:cs="Calibri"/>
          <w:color w:val="000000"/>
          <w:sz w:val="20"/>
          <w:szCs w:val="20"/>
        </w:rPr>
        <w:t xml:space="preserve">Ces prix seront établis par le titulaire, aux conditions économiques en vigueur au mois M0 du présent accord-cadre. </w:t>
      </w:r>
    </w:p>
    <w:p w14:paraId="1304AF6C" w14:textId="77777777" w:rsidR="00BF4E4E" w:rsidRPr="006A4EFD" w:rsidRDefault="00BF4E4E" w:rsidP="00BF4E4E">
      <w:pPr>
        <w:pStyle w:val="pf0"/>
        <w:jc w:val="both"/>
        <w:rPr>
          <w:rFonts w:ascii="Marianne" w:eastAsia="Calibri" w:hAnsi="Marianne" w:cs="Calibri"/>
          <w:color w:val="000000"/>
          <w:sz w:val="20"/>
          <w:szCs w:val="20"/>
        </w:rPr>
      </w:pPr>
      <w:r w:rsidRPr="006A4EFD">
        <w:rPr>
          <w:rFonts w:ascii="Marianne" w:eastAsia="Calibri" w:hAnsi="Marianne" w:cs="Calibri"/>
          <w:color w:val="000000"/>
          <w:sz w:val="20"/>
          <w:szCs w:val="20"/>
        </w:rPr>
        <w:lastRenderedPageBreak/>
        <w:t>La proposition financière sera ensuite formalisée par la signature entre les parties du marché subséquent.</w:t>
      </w:r>
    </w:p>
    <w:p w14:paraId="2ECAF96E" w14:textId="46ACC9B0" w:rsidR="00ED46FA" w:rsidRDefault="00ED46FA">
      <w:pPr>
        <w:spacing w:after="0" w:line="240" w:lineRule="auto"/>
        <w:jc w:val="left"/>
        <w:rPr>
          <w:rFonts w:cs="Arial"/>
          <w:b/>
          <w:color w:val="1F3864" w:themeColor="accent1" w:themeShade="80"/>
          <w:kern w:val="28"/>
          <w:sz w:val="22"/>
          <w:u w:val="single"/>
        </w:rPr>
      </w:pPr>
    </w:p>
    <w:p w14:paraId="1AD54EF5" w14:textId="11EC3C1E" w:rsidR="00EC0D24" w:rsidRDefault="00EC0D24" w:rsidP="00EC0D24">
      <w:pPr>
        <w:pStyle w:val="Titre1"/>
      </w:pPr>
      <w:bookmarkStart w:id="58" w:name="_Toc167956960"/>
      <w:r>
        <w:t>Contenu des prestations</w:t>
      </w:r>
      <w:bookmarkEnd w:id="58"/>
    </w:p>
    <w:p w14:paraId="547DBEDD" w14:textId="7B9A5251" w:rsidR="00EE192C" w:rsidRDefault="00513691">
      <w:pPr>
        <w:pStyle w:val="Titre3"/>
      </w:pPr>
      <w:bookmarkStart w:id="59" w:name="_Toc167956961"/>
      <w:r>
        <w:t>Prestations attendues en phase c</w:t>
      </w:r>
      <w:r w:rsidR="00EE192C" w:rsidRPr="00EC0D24">
        <w:t>onception</w:t>
      </w:r>
      <w:bookmarkEnd w:id="59"/>
    </w:p>
    <w:p w14:paraId="16AFEA0C" w14:textId="77777777" w:rsidR="00EE5D6B" w:rsidRDefault="00EE5D6B" w:rsidP="00EE5D6B"/>
    <w:p w14:paraId="2133E856" w14:textId="20A93701" w:rsidR="00EE5D6B" w:rsidRDefault="00EE5D6B" w:rsidP="00EE5D6B">
      <w:r>
        <w:t xml:space="preserve">Le tableau ci-dessous définit les prestations </w:t>
      </w:r>
      <w:r w:rsidRPr="00EC0D24">
        <w:rPr>
          <w:u w:val="single"/>
        </w:rPr>
        <w:t>minimales</w:t>
      </w:r>
      <w:r>
        <w:t xml:space="preserve"> attendues de la part du titulaire au titre de sa mission.</w:t>
      </w:r>
    </w:p>
    <w:p w14:paraId="32EE4093" w14:textId="77777777" w:rsidR="00EE5D6B" w:rsidRPr="00EC0D24" w:rsidRDefault="00EE5D6B" w:rsidP="00445CDB"/>
    <w:tbl>
      <w:tblPr>
        <w:tblStyle w:val="Grilledutableau"/>
        <w:tblW w:w="9322" w:type="dxa"/>
        <w:tblLook w:val="04A0" w:firstRow="1" w:lastRow="0" w:firstColumn="1" w:lastColumn="0" w:noHBand="0" w:noVBand="1"/>
      </w:tblPr>
      <w:tblGrid>
        <w:gridCol w:w="6345"/>
        <w:gridCol w:w="595"/>
        <w:gridCol w:w="595"/>
        <w:gridCol w:w="596"/>
        <w:gridCol w:w="595"/>
        <w:gridCol w:w="596"/>
      </w:tblGrid>
      <w:tr w:rsidR="00E35948" w:rsidRPr="008B793E" w14:paraId="3F567DDA" w14:textId="77777777" w:rsidTr="00EC0D24">
        <w:trPr>
          <w:trHeight w:val="527"/>
        </w:trPr>
        <w:tc>
          <w:tcPr>
            <w:tcW w:w="6345" w:type="dxa"/>
            <w:shd w:val="clear" w:color="auto" w:fill="D9D9D9"/>
            <w:vAlign w:val="center"/>
          </w:tcPr>
          <w:p w14:paraId="7E981DD7" w14:textId="37B08CE6" w:rsidR="00E35948" w:rsidRPr="008B793E" w:rsidRDefault="00BF0A3B" w:rsidP="00460897">
            <w:pPr>
              <w:jc w:val="center"/>
              <w:rPr>
                <w:b/>
                <w:bCs/>
              </w:rPr>
            </w:pPr>
            <w:bookmarkStart w:id="60" w:name="_Hlk142667158"/>
            <w:r>
              <w:rPr>
                <w:b/>
                <w:bCs/>
              </w:rPr>
              <w:t>Type</w:t>
            </w:r>
            <w:r w:rsidR="00F507E6">
              <w:rPr>
                <w:b/>
                <w:bCs/>
              </w:rPr>
              <w:t xml:space="preserve"> d’opération</w:t>
            </w:r>
          </w:p>
        </w:tc>
        <w:tc>
          <w:tcPr>
            <w:tcW w:w="595" w:type="dxa"/>
            <w:shd w:val="clear" w:color="auto" w:fill="D9D9D9"/>
            <w:vAlign w:val="center"/>
          </w:tcPr>
          <w:p w14:paraId="2CBDC222" w14:textId="77777777" w:rsidR="00E35948" w:rsidRPr="008B793E" w:rsidRDefault="00E35948" w:rsidP="00460897">
            <w:pPr>
              <w:jc w:val="center"/>
              <w:rPr>
                <w:b/>
                <w:bCs/>
              </w:rPr>
            </w:pPr>
            <w:r w:rsidRPr="008B793E">
              <w:rPr>
                <w:b/>
                <w:bCs/>
              </w:rPr>
              <w:t>A</w:t>
            </w:r>
          </w:p>
        </w:tc>
        <w:tc>
          <w:tcPr>
            <w:tcW w:w="595" w:type="dxa"/>
            <w:shd w:val="clear" w:color="auto" w:fill="D9D9D9"/>
            <w:vAlign w:val="center"/>
          </w:tcPr>
          <w:p w14:paraId="06CD641A" w14:textId="77777777" w:rsidR="00E35948" w:rsidRPr="008B793E" w:rsidRDefault="00E35948" w:rsidP="00460897">
            <w:pPr>
              <w:jc w:val="center"/>
              <w:rPr>
                <w:b/>
                <w:bCs/>
              </w:rPr>
            </w:pPr>
            <w:r w:rsidRPr="008B793E">
              <w:rPr>
                <w:b/>
                <w:bCs/>
              </w:rPr>
              <w:t>B</w:t>
            </w:r>
          </w:p>
        </w:tc>
        <w:tc>
          <w:tcPr>
            <w:tcW w:w="596" w:type="dxa"/>
            <w:shd w:val="clear" w:color="auto" w:fill="D9D9D9"/>
            <w:vAlign w:val="center"/>
          </w:tcPr>
          <w:p w14:paraId="1085F371" w14:textId="77777777" w:rsidR="00E35948" w:rsidRPr="008B793E" w:rsidRDefault="00E35948" w:rsidP="00460897">
            <w:pPr>
              <w:jc w:val="center"/>
              <w:rPr>
                <w:b/>
                <w:bCs/>
              </w:rPr>
            </w:pPr>
            <w:r w:rsidRPr="008B793E">
              <w:rPr>
                <w:b/>
                <w:bCs/>
              </w:rPr>
              <w:t>C</w:t>
            </w:r>
          </w:p>
        </w:tc>
        <w:tc>
          <w:tcPr>
            <w:tcW w:w="595" w:type="dxa"/>
            <w:shd w:val="clear" w:color="auto" w:fill="D9D9D9"/>
            <w:vAlign w:val="center"/>
          </w:tcPr>
          <w:p w14:paraId="7DD90027" w14:textId="77777777" w:rsidR="00E35948" w:rsidRPr="008B793E" w:rsidRDefault="00E35948" w:rsidP="00460897">
            <w:pPr>
              <w:jc w:val="center"/>
              <w:rPr>
                <w:b/>
                <w:bCs/>
              </w:rPr>
            </w:pPr>
            <w:r w:rsidRPr="008B793E">
              <w:rPr>
                <w:b/>
                <w:bCs/>
              </w:rPr>
              <w:t>D</w:t>
            </w:r>
          </w:p>
        </w:tc>
        <w:tc>
          <w:tcPr>
            <w:tcW w:w="596" w:type="dxa"/>
            <w:shd w:val="clear" w:color="auto" w:fill="D9D9D9"/>
            <w:vAlign w:val="center"/>
          </w:tcPr>
          <w:p w14:paraId="08E7CAA9" w14:textId="77777777" w:rsidR="00E35948" w:rsidRPr="008B793E" w:rsidRDefault="00E35948" w:rsidP="00460897">
            <w:pPr>
              <w:jc w:val="center"/>
              <w:rPr>
                <w:b/>
                <w:bCs/>
              </w:rPr>
            </w:pPr>
            <w:r w:rsidRPr="008B793E">
              <w:rPr>
                <w:b/>
                <w:bCs/>
              </w:rPr>
              <w:t>E</w:t>
            </w:r>
          </w:p>
        </w:tc>
      </w:tr>
      <w:tr w:rsidR="004E455A" w:rsidRPr="00122DD6" w14:paraId="3BDF6217" w14:textId="77777777" w:rsidTr="00EC0D24">
        <w:tc>
          <w:tcPr>
            <w:tcW w:w="6345" w:type="dxa"/>
            <w:shd w:val="clear" w:color="auto" w:fill="D9D9D9"/>
            <w:vAlign w:val="center"/>
          </w:tcPr>
          <w:p w14:paraId="2BE691CD" w14:textId="77777777" w:rsidR="00F9622B" w:rsidRDefault="004E455A" w:rsidP="004E455A">
            <w:r w:rsidRPr="00EC0D24">
              <w:rPr>
                <w:b/>
                <w:bCs/>
              </w:rPr>
              <w:t>Visite initiale du site et</w:t>
            </w:r>
            <w:r w:rsidRPr="00A53566">
              <w:t xml:space="preserve"> CR associé</w:t>
            </w:r>
            <w:r w:rsidR="00620E73">
              <w:t>, compris</w:t>
            </w:r>
            <w:r w:rsidR="00F9622B">
              <w:rPr>
                <w:rFonts w:ascii="Calibri" w:hAnsi="Calibri" w:cs="Calibri"/>
              </w:rPr>
              <w:t> </w:t>
            </w:r>
            <w:r w:rsidR="00F9622B">
              <w:t>:</w:t>
            </w:r>
          </w:p>
          <w:p w14:paraId="7DBFA863" w14:textId="74ACA1C3" w:rsidR="004E455A" w:rsidRDefault="00620E73" w:rsidP="008C021C">
            <w:pPr>
              <w:pStyle w:val="Paragraphedeliste"/>
              <w:numPr>
                <w:ilvl w:val="0"/>
                <w:numId w:val="10"/>
              </w:numPr>
            </w:pPr>
            <w:proofErr w:type="gramStart"/>
            <w:r>
              <w:t>listing</w:t>
            </w:r>
            <w:proofErr w:type="gramEnd"/>
            <w:r>
              <w:t xml:space="preserve"> des </w:t>
            </w:r>
            <w:r w:rsidR="00574AE3" w:rsidRPr="00EC0D24">
              <w:rPr>
                <w:b/>
                <w:bCs/>
              </w:rPr>
              <w:t xml:space="preserve">éventuels </w:t>
            </w:r>
            <w:r w:rsidRPr="00EC0D24">
              <w:rPr>
                <w:b/>
                <w:bCs/>
              </w:rPr>
              <w:t>documents manquants</w:t>
            </w:r>
            <w:r>
              <w:t xml:space="preserve"> pour la bonne poursuite de l’opération</w:t>
            </w:r>
            <w:r w:rsidR="00F9622B">
              <w:rPr>
                <w:rFonts w:ascii="Calibri" w:hAnsi="Calibri" w:cs="Calibri"/>
              </w:rPr>
              <w:t> </w:t>
            </w:r>
            <w:r w:rsidR="00F9622B">
              <w:t>;</w:t>
            </w:r>
          </w:p>
          <w:p w14:paraId="46F8CA87" w14:textId="00FC57FB" w:rsidR="00F9622B" w:rsidRDefault="00F9622B" w:rsidP="008C021C">
            <w:pPr>
              <w:pStyle w:val="Paragraphedeliste"/>
              <w:numPr>
                <w:ilvl w:val="0"/>
                <w:numId w:val="10"/>
              </w:numPr>
            </w:pPr>
            <w:proofErr w:type="gramStart"/>
            <w:r>
              <w:t>avis</w:t>
            </w:r>
            <w:proofErr w:type="gramEnd"/>
            <w:r>
              <w:t xml:space="preserve"> motivé sur le </w:t>
            </w:r>
            <w:r w:rsidR="006C55C5" w:rsidRPr="00EC0D24">
              <w:rPr>
                <w:b/>
                <w:bCs/>
              </w:rPr>
              <w:t>régime juridique</w:t>
            </w:r>
            <w:r w:rsidRPr="00EC0D24">
              <w:rPr>
                <w:b/>
                <w:bCs/>
              </w:rPr>
              <w:t xml:space="preserve"> de l’opération</w:t>
            </w:r>
            <w:r>
              <w:t>, à savoir</w:t>
            </w:r>
            <w:r>
              <w:rPr>
                <w:rFonts w:ascii="Calibri" w:hAnsi="Calibri" w:cs="Calibri"/>
              </w:rPr>
              <w:t> </w:t>
            </w:r>
            <w:r>
              <w:t xml:space="preserve">: </w:t>
            </w:r>
          </w:p>
          <w:p w14:paraId="500F507B" w14:textId="5BB9D5B0" w:rsidR="00F9622B" w:rsidRDefault="00F9622B" w:rsidP="008C021C">
            <w:pPr>
              <w:pStyle w:val="Paragraphedeliste"/>
              <w:numPr>
                <w:ilvl w:val="1"/>
                <w:numId w:val="10"/>
              </w:numPr>
            </w:pPr>
            <w:proofErr w:type="gramStart"/>
            <w:r>
              <w:t>soumise  aux</w:t>
            </w:r>
            <w:proofErr w:type="gramEnd"/>
            <w:r>
              <w:t xml:space="preserve"> dispositions des articles </w:t>
            </w:r>
            <w:r w:rsidRPr="00EC0D24">
              <w:rPr>
                <w:b/>
                <w:bCs/>
              </w:rPr>
              <w:t>R4511-1</w:t>
            </w:r>
            <w:r>
              <w:t xml:space="preserve"> et suivants </w:t>
            </w:r>
            <w:r w:rsidR="00612E1A">
              <w:t xml:space="preserve">du Code du travail </w:t>
            </w:r>
            <w:r>
              <w:t xml:space="preserve">(ex </w:t>
            </w:r>
            <w:r w:rsidR="00612E1A">
              <w:t>-</w:t>
            </w:r>
            <w:r>
              <w:rPr>
                <w:rFonts w:ascii="Calibri" w:hAnsi="Calibri" w:cs="Calibri"/>
              </w:rPr>
              <w:t> </w:t>
            </w:r>
            <w:r w:rsidRPr="00EC0D24">
              <w:rPr>
                <w:i/>
                <w:iCs/>
              </w:rPr>
              <w:t>décret 92</w:t>
            </w:r>
            <w:r>
              <w:t xml:space="preserve">) </w:t>
            </w:r>
            <w:r w:rsidR="006C55C5">
              <w:t>ou,</w:t>
            </w:r>
          </w:p>
          <w:p w14:paraId="4D6014F2" w14:textId="47DF280D" w:rsidR="00F9622B" w:rsidRPr="00A53566" w:rsidRDefault="00F9622B" w:rsidP="008C021C">
            <w:pPr>
              <w:pStyle w:val="Paragraphedeliste"/>
              <w:numPr>
                <w:ilvl w:val="1"/>
                <w:numId w:val="10"/>
              </w:numPr>
            </w:pPr>
            <w:proofErr w:type="gramStart"/>
            <w:r>
              <w:t>soumise  aux</w:t>
            </w:r>
            <w:proofErr w:type="gramEnd"/>
            <w:r>
              <w:t xml:space="preserve"> dispositions des articles </w:t>
            </w:r>
            <w:r w:rsidRPr="00EC0D24">
              <w:rPr>
                <w:b/>
                <w:bCs/>
              </w:rPr>
              <w:t>R4532-1</w:t>
            </w:r>
            <w:r>
              <w:t xml:space="preserve"> et suivants </w:t>
            </w:r>
            <w:r w:rsidR="00612E1A">
              <w:t xml:space="preserve">du Code du travail </w:t>
            </w:r>
            <w:r>
              <w:t>(ex</w:t>
            </w:r>
            <w:r w:rsidR="00612E1A">
              <w:t xml:space="preserve"> - </w:t>
            </w:r>
            <w:r w:rsidRPr="00EC0D24">
              <w:rPr>
                <w:i/>
                <w:iCs/>
              </w:rPr>
              <w:t>décret 9</w:t>
            </w:r>
            <w:r w:rsidR="006C55C5" w:rsidRPr="00EC0D24">
              <w:rPr>
                <w:i/>
                <w:iCs/>
              </w:rPr>
              <w:t>4</w:t>
            </w:r>
            <w:r w:rsidR="00BF0073" w:rsidRPr="00EC0D24">
              <w:t>)</w:t>
            </w:r>
            <w:r w:rsidR="00BF0073">
              <w:rPr>
                <w:i/>
                <w:iCs/>
              </w:rPr>
              <w:t>.</w:t>
            </w:r>
            <w:r w:rsidR="00BF0073">
              <w:t xml:space="preserve"> </w:t>
            </w:r>
            <w:r w:rsidR="006C55C5">
              <w:t xml:space="preserve">Dans ce cas, le titulaire propose une </w:t>
            </w:r>
            <w:r w:rsidR="006C55C5" w:rsidRPr="00EC0D24">
              <w:rPr>
                <w:b/>
                <w:bCs/>
              </w:rPr>
              <w:t>catégorie SPS</w:t>
            </w:r>
            <w:r w:rsidR="006C55C5">
              <w:t xml:space="preserve"> de chantier et détermine s’il y a lieu ou non d’instruire une </w:t>
            </w:r>
            <w:r w:rsidR="006C55C5" w:rsidRPr="00EC0D24">
              <w:rPr>
                <w:b/>
                <w:bCs/>
              </w:rPr>
              <w:t>déclaration préalable</w:t>
            </w:r>
          </w:p>
        </w:tc>
        <w:tc>
          <w:tcPr>
            <w:tcW w:w="595" w:type="dxa"/>
            <w:vAlign w:val="center"/>
          </w:tcPr>
          <w:p w14:paraId="7A106725" w14:textId="6E6045CA" w:rsidR="004E455A" w:rsidRPr="00122DD6" w:rsidRDefault="004E455A" w:rsidP="004E455A">
            <w:pPr>
              <w:jc w:val="center"/>
            </w:pPr>
            <w:r>
              <w:t>X</w:t>
            </w:r>
          </w:p>
        </w:tc>
        <w:tc>
          <w:tcPr>
            <w:tcW w:w="595" w:type="dxa"/>
            <w:vAlign w:val="center"/>
          </w:tcPr>
          <w:p w14:paraId="6251F179" w14:textId="7D58EDA3" w:rsidR="004E455A" w:rsidRPr="00122DD6" w:rsidRDefault="004E455A" w:rsidP="004E455A">
            <w:pPr>
              <w:jc w:val="center"/>
            </w:pPr>
            <w:r>
              <w:t>X</w:t>
            </w:r>
          </w:p>
        </w:tc>
        <w:tc>
          <w:tcPr>
            <w:tcW w:w="596" w:type="dxa"/>
            <w:vAlign w:val="center"/>
          </w:tcPr>
          <w:p w14:paraId="7CA992AF" w14:textId="3397F095" w:rsidR="004E455A" w:rsidRPr="00122DD6" w:rsidRDefault="004E455A" w:rsidP="004E455A">
            <w:pPr>
              <w:jc w:val="center"/>
            </w:pPr>
            <w:r>
              <w:t>X</w:t>
            </w:r>
          </w:p>
        </w:tc>
        <w:tc>
          <w:tcPr>
            <w:tcW w:w="595" w:type="dxa"/>
            <w:vAlign w:val="center"/>
          </w:tcPr>
          <w:p w14:paraId="106D3AB7" w14:textId="1270AA3B" w:rsidR="004E455A" w:rsidRPr="00122DD6" w:rsidRDefault="004E455A" w:rsidP="004E455A">
            <w:pPr>
              <w:jc w:val="center"/>
            </w:pPr>
            <w:r>
              <w:t>X</w:t>
            </w:r>
          </w:p>
        </w:tc>
        <w:tc>
          <w:tcPr>
            <w:tcW w:w="596" w:type="dxa"/>
            <w:vAlign w:val="center"/>
          </w:tcPr>
          <w:p w14:paraId="49722AC3" w14:textId="457F3DF6" w:rsidR="004E455A" w:rsidRPr="00122DD6" w:rsidRDefault="004E455A" w:rsidP="004E455A">
            <w:pPr>
              <w:jc w:val="center"/>
            </w:pPr>
            <w:r>
              <w:t>X</w:t>
            </w:r>
          </w:p>
        </w:tc>
      </w:tr>
      <w:tr w:rsidR="004E455A" w:rsidRPr="00122DD6" w14:paraId="5F59BAEA" w14:textId="77777777" w:rsidTr="00EC0D24">
        <w:tc>
          <w:tcPr>
            <w:tcW w:w="6345" w:type="dxa"/>
            <w:shd w:val="clear" w:color="auto" w:fill="D9D9D9"/>
            <w:vAlign w:val="center"/>
          </w:tcPr>
          <w:p w14:paraId="03C2F1BD" w14:textId="5F945253" w:rsidR="004E455A" w:rsidRPr="00A53566" w:rsidRDefault="004E455A" w:rsidP="004E455A">
            <w:r w:rsidRPr="00EC0D24">
              <w:rPr>
                <w:b/>
                <w:bCs/>
              </w:rPr>
              <w:t>Participation</w:t>
            </w:r>
            <w:r w:rsidRPr="00A53566">
              <w:t xml:space="preserve"> aux réunions organisées par le MOA et/ou MOE</w:t>
            </w:r>
            <w:r w:rsidR="00EE5D6B">
              <w:t>, y compris échange sur l’organisation future des travaux avec la juridiction</w:t>
            </w:r>
          </w:p>
        </w:tc>
        <w:tc>
          <w:tcPr>
            <w:tcW w:w="595" w:type="dxa"/>
            <w:vAlign w:val="center"/>
          </w:tcPr>
          <w:p w14:paraId="68C089EB" w14:textId="7E8A8106" w:rsidR="004E455A" w:rsidRPr="00122DD6" w:rsidRDefault="004E455A" w:rsidP="004E455A">
            <w:pPr>
              <w:jc w:val="center"/>
            </w:pPr>
            <w:r>
              <w:t>X</w:t>
            </w:r>
          </w:p>
        </w:tc>
        <w:tc>
          <w:tcPr>
            <w:tcW w:w="595" w:type="dxa"/>
            <w:vAlign w:val="center"/>
          </w:tcPr>
          <w:p w14:paraId="3D77E74B" w14:textId="57A17CC0" w:rsidR="004E455A" w:rsidRPr="00122DD6" w:rsidRDefault="004E455A" w:rsidP="004E455A">
            <w:pPr>
              <w:jc w:val="center"/>
            </w:pPr>
            <w:r>
              <w:t>X</w:t>
            </w:r>
          </w:p>
        </w:tc>
        <w:tc>
          <w:tcPr>
            <w:tcW w:w="596" w:type="dxa"/>
            <w:vAlign w:val="center"/>
          </w:tcPr>
          <w:p w14:paraId="3BF109CE" w14:textId="66F54F34" w:rsidR="004E455A" w:rsidRPr="00122DD6" w:rsidRDefault="004E455A" w:rsidP="004E455A">
            <w:pPr>
              <w:jc w:val="center"/>
            </w:pPr>
            <w:r>
              <w:t>X</w:t>
            </w:r>
          </w:p>
        </w:tc>
        <w:tc>
          <w:tcPr>
            <w:tcW w:w="595" w:type="dxa"/>
            <w:vAlign w:val="center"/>
          </w:tcPr>
          <w:p w14:paraId="2911EA58" w14:textId="073F5707" w:rsidR="004E455A" w:rsidRPr="00122DD6" w:rsidRDefault="004E455A" w:rsidP="004E455A">
            <w:pPr>
              <w:jc w:val="center"/>
            </w:pPr>
            <w:r>
              <w:t>X</w:t>
            </w:r>
          </w:p>
        </w:tc>
        <w:tc>
          <w:tcPr>
            <w:tcW w:w="596" w:type="dxa"/>
            <w:vAlign w:val="center"/>
          </w:tcPr>
          <w:p w14:paraId="2F5808E3" w14:textId="3D78E022" w:rsidR="004E455A" w:rsidRPr="00122DD6" w:rsidRDefault="004E455A" w:rsidP="004E455A">
            <w:pPr>
              <w:jc w:val="center"/>
            </w:pPr>
            <w:r>
              <w:t>X</w:t>
            </w:r>
          </w:p>
        </w:tc>
      </w:tr>
      <w:tr w:rsidR="004E455A" w:rsidRPr="00122DD6" w14:paraId="59B80302" w14:textId="77777777" w:rsidTr="00E35948">
        <w:tc>
          <w:tcPr>
            <w:tcW w:w="6345" w:type="dxa"/>
            <w:shd w:val="clear" w:color="auto" w:fill="D9D9D9"/>
            <w:vAlign w:val="center"/>
          </w:tcPr>
          <w:p w14:paraId="435EAF6F" w14:textId="3FF4AFCB" w:rsidR="004E455A" w:rsidRPr="00A53566" w:rsidRDefault="004E455A" w:rsidP="004E455A">
            <w:r w:rsidRPr="00EC0D24">
              <w:rPr>
                <w:b/>
                <w:bCs/>
              </w:rPr>
              <w:t xml:space="preserve">Analyse </w:t>
            </w:r>
            <w:r w:rsidR="006D7CB9" w:rsidRPr="00EC0D24">
              <w:rPr>
                <w:b/>
                <w:bCs/>
              </w:rPr>
              <w:t>écrite</w:t>
            </w:r>
            <w:r w:rsidR="006D7CB9">
              <w:t xml:space="preserve"> </w:t>
            </w:r>
            <w:r w:rsidRPr="00EC0D24">
              <w:t>des rapports A</w:t>
            </w:r>
            <w:r w:rsidR="00CB0BD1">
              <w:t>V</w:t>
            </w:r>
            <w:r w:rsidRPr="00EC0D24">
              <w:t>P et/ou PRO</w:t>
            </w:r>
            <w:r w:rsidR="00CB0BD1">
              <w:t>-DCE</w:t>
            </w:r>
            <w:r w:rsidRPr="00EC0D24">
              <w:t xml:space="preserve">, </w:t>
            </w:r>
            <w:r w:rsidR="006D7CB9" w:rsidRPr="00EC0D24">
              <w:t xml:space="preserve">y compris </w:t>
            </w:r>
            <w:r w:rsidR="006D7CB9" w:rsidRPr="00784344">
              <w:t>sur les mesures envisagées</w:t>
            </w:r>
            <w:r w:rsidR="006D7CB9">
              <w:t xml:space="preserve"> ou à envisager</w:t>
            </w:r>
            <w:r w:rsidR="006D7CB9" w:rsidRPr="00784344">
              <w:t xml:space="preserve"> par le MOA pour garantir la sécurité lors des interventions </w:t>
            </w:r>
            <w:proofErr w:type="gramStart"/>
            <w:r w:rsidR="006D7CB9" w:rsidRPr="00784344">
              <w:t>ultérieures</w:t>
            </w:r>
            <w:r w:rsidR="006D7CB9" w:rsidRPr="00784344">
              <w:rPr>
                <w:rFonts w:ascii="Calibri" w:hAnsi="Calibri" w:cs="Calibri"/>
              </w:rPr>
              <w:t> </w:t>
            </w:r>
            <w:r w:rsidR="006D7CB9" w:rsidRPr="006D7CB9">
              <w:t xml:space="preserve"> </w:t>
            </w:r>
            <w:r w:rsidRPr="00EC0D24">
              <w:t>en</w:t>
            </w:r>
            <w:proofErr w:type="gramEnd"/>
            <w:r w:rsidRPr="00EC0D24">
              <w:t xml:space="preserve"> une ou plusieurs phases</w:t>
            </w:r>
            <w:r>
              <w:rPr>
                <w:rFonts w:ascii="Calibri" w:hAnsi="Calibri" w:cs="Calibri"/>
              </w:rPr>
              <w:t> </w:t>
            </w:r>
            <w:r>
              <w:t>:</w:t>
            </w:r>
            <w:r w:rsidRPr="00EC0D24">
              <w:t xml:space="preserve"> précisé dans le bon de commande</w:t>
            </w:r>
          </w:p>
        </w:tc>
        <w:tc>
          <w:tcPr>
            <w:tcW w:w="595" w:type="dxa"/>
            <w:vAlign w:val="center"/>
          </w:tcPr>
          <w:p w14:paraId="227D0174" w14:textId="7FC07F67" w:rsidR="004E455A" w:rsidRDefault="004E455A" w:rsidP="004E455A">
            <w:pPr>
              <w:jc w:val="center"/>
            </w:pPr>
            <w:r>
              <w:t>X</w:t>
            </w:r>
          </w:p>
        </w:tc>
        <w:tc>
          <w:tcPr>
            <w:tcW w:w="595" w:type="dxa"/>
            <w:vAlign w:val="center"/>
          </w:tcPr>
          <w:p w14:paraId="30AD8799" w14:textId="693BB960" w:rsidR="004E455A" w:rsidRPr="00122DD6" w:rsidRDefault="004E455A" w:rsidP="004E455A">
            <w:pPr>
              <w:jc w:val="center"/>
            </w:pPr>
            <w:r>
              <w:t>X</w:t>
            </w:r>
          </w:p>
        </w:tc>
        <w:tc>
          <w:tcPr>
            <w:tcW w:w="596" w:type="dxa"/>
            <w:vAlign w:val="center"/>
          </w:tcPr>
          <w:p w14:paraId="0C37C4DD" w14:textId="6BEC7E3E" w:rsidR="004E455A" w:rsidRPr="00122DD6" w:rsidRDefault="004E455A" w:rsidP="004E455A">
            <w:pPr>
              <w:jc w:val="center"/>
            </w:pPr>
            <w:r>
              <w:t>X</w:t>
            </w:r>
          </w:p>
        </w:tc>
        <w:tc>
          <w:tcPr>
            <w:tcW w:w="595" w:type="dxa"/>
            <w:vAlign w:val="center"/>
          </w:tcPr>
          <w:p w14:paraId="52880250" w14:textId="23FA66DC" w:rsidR="004E455A" w:rsidRPr="00122DD6" w:rsidRDefault="004E455A" w:rsidP="004E455A">
            <w:pPr>
              <w:jc w:val="center"/>
            </w:pPr>
            <w:r>
              <w:t>X</w:t>
            </w:r>
          </w:p>
        </w:tc>
        <w:tc>
          <w:tcPr>
            <w:tcW w:w="596" w:type="dxa"/>
            <w:vAlign w:val="center"/>
          </w:tcPr>
          <w:p w14:paraId="46CDA176" w14:textId="613B430E" w:rsidR="004E455A" w:rsidRPr="00122DD6" w:rsidRDefault="004E455A" w:rsidP="004E455A">
            <w:pPr>
              <w:jc w:val="center"/>
            </w:pPr>
            <w:r>
              <w:t>X</w:t>
            </w:r>
          </w:p>
        </w:tc>
      </w:tr>
      <w:tr w:rsidR="00415D33" w:rsidRPr="00122DD6" w14:paraId="4354BF1E" w14:textId="77777777" w:rsidTr="00E35948">
        <w:tc>
          <w:tcPr>
            <w:tcW w:w="6345" w:type="dxa"/>
            <w:shd w:val="clear" w:color="auto" w:fill="D9D9D9"/>
            <w:vAlign w:val="center"/>
          </w:tcPr>
          <w:p w14:paraId="6BE558A3" w14:textId="7EC87766" w:rsidR="00415D33" w:rsidRPr="00415D33" w:rsidRDefault="00415D33" w:rsidP="00415D33">
            <w:r w:rsidRPr="00EC0D24">
              <w:rPr>
                <w:b/>
                <w:bCs/>
              </w:rPr>
              <w:t>Examen préalable et avis écrit</w:t>
            </w:r>
            <w:r w:rsidRPr="00B03968">
              <w:t xml:space="preserve"> sur les documents relatifs aux risques spécifiques (RAAT, RAAD, rapports plomb, etc.)</w:t>
            </w:r>
          </w:p>
        </w:tc>
        <w:tc>
          <w:tcPr>
            <w:tcW w:w="595" w:type="dxa"/>
            <w:vAlign w:val="center"/>
          </w:tcPr>
          <w:p w14:paraId="588652E9" w14:textId="6B998E38" w:rsidR="00415D33" w:rsidRDefault="00415D33" w:rsidP="00415D33">
            <w:pPr>
              <w:jc w:val="center"/>
            </w:pPr>
            <w:r>
              <w:t>X</w:t>
            </w:r>
          </w:p>
        </w:tc>
        <w:tc>
          <w:tcPr>
            <w:tcW w:w="595" w:type="dxa"/>
            <w:vAlign w:val="center"/>
          </w:tcPr>
          <w:p w14:paraId="34278B7D" w14:textId="7CF1F872" w:rsidR="00415D33" w:rsidRDefault="00415D33" w:rsidP="00415D33">
            <w:pPr>
              <w:jc w:val="center"/>
            </w:pPr>
            <w:r>
              <w:t>X</w:t>
            </w:r>
          </w:p>
        </w:tc>
        <w:tc>
          <w:tcPr>
            <w:tcW w:w="596" w:type="dxa"/>
            <w:vAlign w:val="center"/>
          </w:tcPr>
          <w:p w14:paraId="6C1F01E4" w14:textId="69D5223A" w:rsidR="00415D33" w:rsidRDefault="00415D33" w:rsidP="00415D33">
            <w:pPr>
              <w:jc w:val="center"/>
            </w:pPr>
            <w:r>
              <w:t>X</w:t>
            </w:r>
          </w:p>
        </w:tc>
        <w:tc>
          <w:tcPr>
            <w:tcW w:w="595" w:type="dxa"/>
            <w:vAlign w:val="center"/>
          </w:tcPr>
          <w:p w14:paraId="7C986C9A" w14:textId="308EEBCE" w:rsidR="00415D33" w:rsidRDefault="00415D33" w:rsidP="00415D33">
            <w:pPr>
              <w:jc w:val="center"/>
            </w:pPr>
            <w:r>
              <w:t>X</w:t>
            </w:r>
          </w:p>
        </w:tc>
        <w:tc>
          <w:tcPr>
            <w:tcW w:w="596" w:type="dxa"/>
            <w:vAlign w:val="center"/>
          </w:tcPr>
          <w:p w14:paraId="7E8B5BFC" w14:textId="75F9046A" w:rsidR="00415D33" w:rsidRDefault="00415D33" w:rsidP="00415D33">
            <w:pPr>
              <w:jc w:val="center"/>
            </w:pPr>
            <w:r>
              <w:t>X</w:t>
            </w:r>
          </w:p>
        </w:tc>
      </w:tr>
      <w:tr w:rsidR="00415D33" w:rsidRPr="00122DD6" w14:paraId="5C168078" w14:textId="77777777" w:rsidTr="00E35948">
        <w:tc>
          <w:tcPr>
            <w:tcW w:w="6345" w:type="dxa"/>
            <w:shd w:val="clear" w:color="auto" w:fill="D9D9D9"/>
            <w:vAlign w:val="center"/>
          </w:tcPr>
          <w:p w14:paraId="08025650" w14:textId="49DF0BA4" w:rsidR="00415D33" w:rsidRPr="003B629D" w:rsidRDefault="00415D33" w:rsidP="00415D33">
            <w:r w:rsidRPr="00EC0D24">
              <w:rPr>
                <w:b/>
                <w:bCs/>
              </w:rPr>
              <w:t>Etablissement du PGC</w:t>
            </w:r>
            <w:r w:rsidRPr="006D7CB9">
              <w:rPr>
                <w:b/>
                <w:bCs/>
              </w:rPr>
              <w:t xml:space="preserve"> ou PGC</w:t>
            </w:r>
            <w:r w:rsidRPr="00EC0D24">
              <w:rPr>
                <w:b/>
                <w:bCs/>
              </w:rPr>
              <w:t>S</w:t>
            </w:r>
            <w:r w:rsidRPr="00EC0D24">
              <w:t xml:space="preserve"> (plan général de coordination</w:t>
            </w:r>
            <w:r>
              <w:t xml:space="preserve"> simplifié</w:t>
            </w:r>
            <w:r w:rsidRPr="00EC0D24">
              <w:t>) et mise à jour</w:t>
            </w:r>
          </w:p>
        </w:tc>
        <w:tc>
          <w:tcPr>
            <w:tcW w:w="595" w:type="dxa"/>
            <w:vAlign w:val="center"/>
          </w:tcPr>
          <w:p w14:paraId="5CB5DD27" w14:textId="5C8C14D7" w:rsidR="00415D33" w:rsidRDefault="00415D33" w:rsidP="00415D33">
            <w:pPr>
              <w:jc w:val="center"/>
            </w:pPr>
            <w:r>
              <w:t>X</w:t>
            </w:r>
          </w:p>
        </w:tc>
        <w:tc>
          <w:tcPr>
            <w:tcW w:w="595" w:type="dxa"/>
            <w:vAlign w:val="center"/>
          </w:tcPr>
          <w:p w14:paraId="47F213CF" w14:textId="62B432DB" w:rsidR="00415D33" w:rsidRPr="00122DD6" w:rsidRDefault="00415D33" w:rsidP="00415D33">
            <w:pPr>
              <w:jc w:val="center"/>
            </w:pPr>
            <w:r>
              <w:t>X</w:t>
            </w:r>
          </w:p>
        </w:tc>
        <w:tc>
          <w:tcPr>
            <w:tcW w:w="596" w:type="dxa"/>
            <w:vAlign w:val="center"/>
          </w:tcPr>
          <w:p w14:paraId="2CEEC298" w14:textId="48AF1279" w:rsidR="00415D33" w:rsidRPr="00122DD6" w:rsidRDefault="00415D33" w:rsidP="00415D33">
            <w:pPr>
              <w:jc w:val="center"/>
            </w:pPr>
            <w:r>
              <w:t>X</w:t>
            </w:r>
          </w:p>
        </w:tc>
        <w:tc>
          <w:tcPr>
            <w:tcW w:w="595" w:type="dxa"/>
            <w:vAlign w:val="center"/>
          </w:tcPr>
          <w:p w14:paraId="5EAC0541" w14:textId="6B656ABC" w:rsidR="00415D33" w:rsidRPr="00122DD6" w:rsidRDefault="00415D33" w:rsidP="00415D33">
            <w:pPr>
              <w:jc w:val="center"/>
            </w:pPr>
            <w:r>
              <w:t>X</w:t>
            </w:r>
          </w:p>
        </w:tc>
        <w:tc>
          <w:tcPr>
            <w:tcW w:w="596" w:type="dxa"/>
            <w:vAlign w:val="center"/>
          </w:tcPr>
          <w:p w14:paraId="085265C2" w14:textId="0ED5FA8C" w:rsidR="00415D33" w:rsidRPr="00122DD6" w:rsidRDefault="00415D33" w:rsidP="00415D33">
            <w:pPr>
              <w:jc w:val="center"/>
            </w:pPr>
            <w:r>
              <w:t>X</w:t>
            </w:r>
          </w:p>
        </w:tc>
      </w:tr>
      <w:tr w:rsidR="00415D33" w:rsidRPr="00122DD6" w14:paraId="4A8EF500" w14:textId="77777777" w:rsidTr="00E35948">
        <w:tc>
          <w:tcPr>
            <w:tcW w:w="6345" w:type="dxa"/>
            <w:shd w:val="clear" w:color="auto" w:fill="D9D9D9"/>
            <w:vAlign w:val="center"/>
          </w:tcPr>
          <w:p w14:paraId="61877F63" w14:textId="59342E3B" w:rsidR="00415D33" w:rsidRPr="00EC0D24" w:rsidRDefault="00415D33" w:rsidP="00415D33">
            <w:r w:rsidRPr="00EC0D24">
              <w:rPr>
                <w:b/>
                <w:bCs/>
              </w:rPr>
              <w:t>Production d'un rapport relatif au respect du PGC(S)</w:t>
            </w:r>
            <w:r w:rsidRPr="00EC0D24">
              <w:t xml:space="preserve"> dans les offres des entreprises</w:t>
            </w:r>
            <w:r>
              <w:t xml:space="preserve"> </w:t>
            </w:r>
          </w:p>
        </w:tc>
        <w:tc>
          <w:tcPr>
            <w:tcW w:w="595" w:type="dxa"/>
            <w:vAlign w:val="center"/>
          </w:tcPr>
          <w:p w14:paraId="262EDB33" w14:textId="5CA2D7F1" w:rsidR="00415D33" w:rsidRDefault="00415D33" w:rsidP="00415D33">
            <w:pPr>
              <w:jc w:val="center"/>
            </w:pPr>
            <w:r>
              <w:t>X</w:t>
            </w:r>
          </w:p>
        </w:tc>
        <w:tc>
          <w:tcPr>
            <w:tcW w:w="595" w:type="dxa"/>
            <w:vAlign w:val="center"/>
          </w:tcPr>
          <w:p w14:paraId="6E9BEC05" w14:textId="689D4130" w:rsidR="00415D33" w:rsidRPr="00122DD6" w:rsidRDefault="00415D33" w:rsidP="00415D33">
            <w:pPr>
              <w:jc w:val="center"/>
            </w:pPr>
            <w:r>
              <w:t>X</w:t>
            </w:r>
          </w:p>
        </w:tc>
        <w:tc>
          <w:tcPr>
            <w:tcW w:w="596" w:type="dxa"/>
            <w:vAlign w:val="center"/>
          </w:tcPr>
          <w:p w14:paraId="6EBA7A5E" w14:textId="473C1D43" w:rsidR="00415D33" w:rsidRPr="00122DD6" w:rsidRDefault="00415D33" w:rsidP="00415D33">
            <w:pPr>
              <w:jc w:val="center"/>
            </w:pPr>
            <w:r>
              <w:t>X</w:t>
            </w:r>
          </w:p>
        </w:tc>
        <w:tc>
          <w:tcPr>
            <w:tcW w:w="595" w:type="dxa"/>
            <w:vAlign w:val="center"/>
          </w:tcPr>
          <w:p w14:paraId="02F5606A" w14:textId="24EB0D92" w:rsidR="00415D33" w:rsidRPr="00122DD6" w:rsidRDefault="00415D33" w:rsidP="00415D33">
            <w:pPr>
              <w:jc w:val="center"/>
            </w:pPr>
            <w:r>
              <w:t>X</w:t>
            </w:r>
          </w:p>
        </w:tc>
        <w:tc>
          <w:tcPr>
            <w:tcW w:w="596" w:type="dxa"/>
            <w:vAlign w:val="center"/>
          </w:tcPr>
          <w:p w14:paraId="1A806427" w14:textId="6A6E7A3A" w:rsidR="00415D33" w:rsidRPr="00122DD6" w:rsidRDefault="00415D33" w:rsidP="00415D33">
            <w:pPr>
              <w:jc w:val="center"/>
            </w:pPr>
            <w:r>
              <w:t>X</w:t>
            </w:r>
          </w:p>
        </w:tc>
      </w:tr>
      <w:tr w:rsidR="00415D33" w:rsidRPr="00122DD6" w14:paraId="42232A9F" w14:textId="77777777" w:rsidTr="00E35948">
        <w:tc>
          <w:tcPr>
            <w:tcW w:w="6345" w:type="dxa"/>
            <w:shd w:val="clear" w:color="auto" w:fill="D9D9D9"/>
            <w:vAlign w:val="center"/>
          </w:tcPr>
          <w:p w14:paraId="0E1A0707" w14:textId="4EB48D74" w:rsidR="00415D33" w:rsidRPr="00EC0D24" w:rsidRDefault="00415D33" w:rsidP="00415D33">
            <w:r w:rsidRPr="00EC0D24">
              <w:rPr>
                <w:b/>
                <w:bCs/>
              </w:rPr>
              <w:t>Ouverture du registre journal</w:t>
            </w:r>
            <w:r w:rsidRPr="00EC0D24">
              <w:t xml:space="preserve"> et mise à jour</w:t>
            </w:r>
            <w:r>
              <w:t xml:space="preserve"> régulière</w:t>
            </w:r>
          </w:p>
        </w:tc>
        <w:tc>
          <w:tcPr>
            <w:tcW w:w="595" w:type="dxa"/>
            <w:vAlign w:val="center"/>
          </w:tcPr>
          <w:p w14:paraId="178C5EE1" w14:textId="6DA284C5" w:rsidR="00415D33" w:rsidRDefault="00415D33" w:rsidP="00415D33">
            <w:pPr>
              <w:jc w:val="center"/>
            </w:pPr>
            <w:r>
              <w:t>X</w:t>
            </w:r>
          </w:p>
        </w:tc>
        <w:tc>
          <w:tcPr>
            <w:tcW w:w="595" w:type="dxa"/>
            <w:vAlign w:val="center"/>
          </w:tcPr>
          <w:p w14:paraId="7F208E37" w14:textId="73DABCE1" w:rsidR="00415D33" w:rsidRPr="00122DD6" w:rsidRDefault="00415D33" w:rsidP="00415D33">
            <w:pPr>
              <w:jc w:val="center"/>
            </w:pPr>
            <w:r>
              <w:t>X</w:t>
            </w:r>
          </w:p>
        </w:tc>
        <w:tc>
          <w:tcPr>
            <w:tcW w:w="596" w:type="dxa"/>
            <w:vAlign w:val="center"/>
          </w:tcPr>
          <w:p w14:paraId="1EFCC1D4" w14:textId="683B7F16" w:rsidR="00415D33" w:rsidRPr="00122DD6" w:rsidRDefault="00415D33" w:rsidP="00415D33">
            <w:pPr>
              <w:jc w:val="center"/>
            </w:pPr>
            <w:r>
              <w:t>X</w:t>
            </w:r>
          </w:p>
        </w:tc>
        <w:tc>
          <w:tcPr>
            <w:tcW w:w="595" w:type="dxa"/>
            <w:vAlign w:val="center"/>
          </w:tcPr>
          <w:p w14:paraId="61A4A094" w14:textId="68744E69" w:rsidR="00415D33" w:rsidRPr="00122DD6" w:rsidRDefault="00415D33" w:rsidP="00415D33">
            <w:pPr>
              <w:jc w:val="center"/>
            </w:pPr>
            <w:r>
              <w:t>X</w:t>
            </w:r>
          </w:p>
        </w:tc>
        <w:tc>
          <w:tcPr>
            <w:tcW w:w="596" w:type="dxa"/>
            <w:vAlign w:val="center"/>
          </w:tcPr>
          <w:p w14:paraId="03B1414F" w14:textId="2B53F650" w:rsidR="00415D33" w:rsidRPr="00122DD6" w:rsidRDefault="00415D33" w:rsidP="00415D33">
            <w:pPr>
              <w:jc w:val="center"/>
            </w:pPr>
            <w:r>
              <w:t>X</w:t>
            </w:r>
          </w:p>
        </w:tc>
      </w:tr>
      <w:tr w:rsidR="00415D33" w:rsidRPr="00122DD6" w14:paraId="71A7C839" w14:textId="77777777" w:rsidTr="00E35948">
        <w:tc>
          <w:tcPr>
            <w:tcW w:w="6345" w:type="dxa"/>
            <w:shd w:val="clear" w:color="auto" w:fill="D9D9D9"/>
            <w:vAlign w:val="center"/>
          </w:tcPr>
          <w:p w14:paraId="12A6C25D" w14:textId="1665D61B" w:rsidR="00415D33" w:rsidRPr="004E455A" w:rsidRDefault="00415D33" w:rsidP="00415D33">
            <w:r>
              <w:t>Si opération soumise à déclaration SPS préalable, rédaction de la déclaration afférente</w:t>
            </w:r>
          </w:p>
        </w:tc>
        <w:tc>
          <w:tcPr>
            <w:tcW w:w="595" w:type="dxa"/>
            <w:vAlign w:val="center"/>
          </w:tcPr>
          <w:p w14:paraId="227B2C53" w14:textId="0BDB2CFB" w:rsidR="00415D33" w:rsidRDefault="00415D33" w:rsidP="00415D33">
            <w:pPr>
              <w:jc w:val="center"/>
            </w:pPr>
            <w:r>
              <w:t>X</w:t>
            </w:r>
          </w:p>
        </w:tc>
        <w:tc>
          <w:tcPr>
            <w:tcW w:w="595" w:type="dxa"/>
            <w:vAlign w:val="center"/>
          </w:tcPr>
          <w:p w14:paraId="6A602B04" w14:textId="58C766FD" w:rsidR="00415D33" w:rsidRDefault="00415D33" w:rsidP="00415D33">
            <w:pPr>
              <w:jc w:val="center"/>
            </w:pPr>
            <w:r>
              <w:t>X</w:t>
            </w:r>
          </w:p>
        </w:tc>
        <w:tc>
          <w:tcPr>
            <w:tcW w:w="596" w:type="dxa"/>
            <w:vAlign w:val="center"/>
          </w:tcPr>
          <w:p w14:paraId="065F2182" w14:textId="77B37A9E" w:rsidR="00415D33" w:rsidRDefault="00415D33" w:rsidP="00415D33">
            <w:pPr>
              <w:jc w:val="center"/>
            </w:pPr>
            <w:r>
              <w:t>X</w:t>
            </w:r>
          </w:p>
        </w:tc>
        <w:tc>
          <w:tcPr>
            <w:tcW w:w="595" w:type="dxa"/>
            <w:vAlign w:val="center"/>
          </w:tcPr>
          <w:p w14:paraId="0A951EAB" w14:textId="17FEF4DB" w:rsidR="00415D33" w:rsidRDefault="00415D33" w:rsidP="00415D33">
            <w:pPr>
              <w:jc w:val="center"/>
            </w:pPr>
            <w:r>
              <w:t>X</w:t>
            </w:r>
          </w:p>
        </w:tc>
        <w:tc>
          <w:tcPr>
            <w:tcW w:w="596" w:type="dxa"/>
            <w:vAlign w:val="center"/>
          </w:tcPr>
          <w:p w14:paraId="15C64091" w14:textId="02C844A7" w:rsidR="00415D33" w:rsidRPr="00122DD6" w:rsidRDefault="00415D33" w:rsidP="00415D33">
            <w:pPr>
              <w:jc w:val="center"/>
            </w:pPr>
            <w:r>
              <w:t>X</w:t>
            </w:r>
          </w:p>
        </w:tc>
      </w:tr>
      <w:bookmarkEnd w:id="60"/>
    </w:tbl>
    <w:p w14:paraId="5349E188" w14:textId="39949F50" w:rsidR="00612E1A" w:rsidRDefault="00612E1A"/>
    <w:p w14:paraId="15B095DC" w14:textId="12EFBFD2" w:rsidR="00612E1A" w:rsidRDefault="00EB4F78">
      <w:pPr>
        <w:spacing w:after="0" w:line="240" w:lineRule="auto"/>
        <w:jc w:val="left"/>
      </w:pPr>
      <w:r>
        <w:t>Toute reprise ou mise à jour de document, demandée par le MOA ou rendue nécessaire au regard de l’évolution du projet est réputée due par le titulaire dans le cadre des limites d’un type d’opération donné.</w:t>
      </w:r>
    </w:p>
    <w:p w14:paraId="683A9D1B" w14:textId="77777777" w:rsidR="00F27A13" w:rsidRPr="00727957" w:rsidRDefault="00F27A13" w:rsidP="00445CDB"/>
    <w:p w14:paraId="35F9871C" w14:textId="0C11CD32" w:rsidR="00513691" w:rsidRDefault="00513691">
      <w:pPr>
        <w:pStyle w:val="Titre3"/>
      </w:pPr>
      <w:bookmarkStart w:id="61" w:name="_Toc167956962"/>
      <w:r>
        <w:t>Prestations attendues en phase r</w:t>
      </w:r>
      <w:r w:rsidR="00EE192C" w:rsidRPr="00727957">
        <w:t>éalisation</w:t>
      </w:r>
      <w:bookmarkEnd w:id="61"/>
    </w:p>
    <w:p w14:paraId="6281A8BA" w14:textId="5BC37B2E" w:rsidR="000E560C" w:rsidRDefault="000E560C" w:rsidP="000E560C">
      <w:r>
        <w:lastRenderedPageBreak/>
        <w:t>Afin de garantir la bonne prise en compte des interférences avec les éventuelles activités d’exploitation du site, et quelle que soit la catégorie de l’opération, l</w:t>
      </w:r>
      <w:r w:rsidRPr="008B793E">
        <w:t>e CSPS</w:t>
      </w:r>
      <w:r>
        <w:rPr>
          <w:rFonts w:ascii="Calibri" w:hAnsi="Calibri" w:cs="Calibri"/>
        </w:rPr>
        <w:t> </w:t>
      </w:r>
      <w:r>
        <w:t>:</w:t>
      </w:r>
    </w:p>
    <w:p w14:paraId="2332D963" w14:textId="77777777" w:rsidR="000E560C" w:rsidRDefault="000E560C" w:rsidP="008C021C">
      <w:pPr>
        <w:pStyle w:val="Paragraphedeliste"/>
        <w:numPr>
          <w:ilvl w:val="0"/>
          <w:numId w:val="5"/>
        </w:numPr>
      </w:pPr>
      <w:r>
        <w:t>P</w:t>
      </w:r>
      <w:r w:rsidRPr="008B793E">
        <w:t>rocède avec le chef d’établissement en activité</w:t>
      </w:r>
      <w:r>
        <w:t xml:space="preserve"> (ou son représentant) et </w:t>
      </w:r>
      <w:r w:rsidRPr="008B793E">
        <w:t>préalablement au commencement des travaux</w:t>
      </w:r>
      <w:r>
        <w:t>,</w:t>
      </w:r>
      <w:r w:rsidRPr="006B5F54">
        <w:rPr>
          <w:rFonts w:ascii="Calibri" w:hAnsi="Calibri" w:cs="Calibri"/>
        </w:rPr>
        <w:t> </w:t>
      </w:r>
      <w:r w:rsidRPr="008B793E">
        <w:t xml:space="preserve">à une </w:t>
      </w:r>
      <w:r>
        <w:t xml:space="preserve">visite conjointe du site </w:t>
      </w:r>
      <w:r w:rsidRPr="008B793E">
        <w:t>visant notamment à délimiter le chantier, matérialiser les zones dangereuses pour les travailleurs des entreprises appelées à intervenir</w:t>
      </w:r>
      <w:r>
        <w:t xml:space="preserve"> et/ou pour les services occupants</w:t>
      </w:r>
      <w:r w:rsidRPr="008B793E">
        <w:t xml:space="preserve">, préciser les voies de circulation, ainsi qu'à définir, pour les chantiers non clos et non indépendants, </w:t>
      </w:r>
      <w:r>
        <w:t xml:space="preserve">sans que cette liste soit exhaustive, </w:t>
      </w:r>
      <w:r w:rsidRPr="008B793E">
        <w:t>les installations sanitaires, les vestiaires, les locaux de restauration</w:t>
      </w:r>
      <w:r>
        <w:t>, etc. Cette visite conjointe fait l’objet d’un compte-rendu diffusé au MOA et au MOE</w:t>
      </w:r>
      <w:r w:rsidRPr="006B5F54">
        <w:rPr>
          <w:rFonts w:ascii="Calibri" w:hAnsi="Calibri" w:cs="Calibri"/>
        </w:rPr>
        <w:t> </w:t>
      </w:r>
      <w:r>
        <w:t>;</w:t>
      </w:r>
    </w:p>
    <w:p w14:paraId="55245403" w14:textId="37C9328F" w:rsidR="00C67352" w:rsidRDefault="000E560C" w:rsidP="008C021C">
      <w:pPr>
        <w:pStyle w:val="Paragraphedeliste"/>
        <w:numPr>
          <w:ilvl w:val="0"/>
          <w:numId w:val="5"/>
        </w:numPr>
      </w:pPr>
      <w:r>
        <w:t>Conduit avant le démarrage des travaux et avec les</w:t>
      </w:r>
      <w:r w:rsidRPr="008B793E">
        <w:t xml:space="preserve"> entreprises appelées à intervenir sur le chantier</w:t>
      </w:r>
      <w:r>
        <w:t>, une réunion dédiée</w:t>
      </w:r>
      <w:r>
        <w:rPr>
          <w:rFonts w:ascii="Calibri" w:hAnsi="Calibri" w:cs="Calibri"/>
        </w:rPr>
        <w:t> </w:t>
      </w:r>
      <w:r>
        <w:t xml:space="preserve">: aux </w:t>
      </w:r>
      <w:r w:rsidRPr="008B793E">
        <w:t>consignes de sécurité arrêtées avec le chef d'établissement</w:t>
      </w:r>
      <w:r>
        <w:t xml:space="preserve"> (ou son représentant)</w:t>
      </w:r>
      <w:r w:rsidRPr="008B793E">
        <w:t xml:space="preserve"> et, s'agissant des chantiers non clos et non indépendants, </w:t>
      </w:r>
      <w:r>
        <w:t>aux modalités d’</w:t>
      </w:r>
      <w:r w:rsidRPr="008B793E">
        <w:t>organisation prévue</w:t>
      </w:r>
      <w:r>
        <w:t>s</w:t>
      </w:r>
      <w:r w:rsidRPr="008B793E">
        <w:t xml:space="preserve"> pour assurer les premiers secours en cas d'urgence.</w:t>
      </w:r>
      <w:r>
        <w:t xml:space="preserve"> Le titulaire rédige un compte-rendu puis le diffuse au MOA, MOE et entreprises</w:t>
      </w:r>
      <w:r>
        <w:rPr>
          <w:rFonts w:ascii="Calibri" w:hAnsi="Calibri" w:cs="Calibri"/>
        </w:rPr>
        <w:t> </w:t>
      </w:r>
      <w:r>
        <w:t>;</w:t>
      </w:r>
    </w:p>
    <w:p w14:paraId="61C03AE8" w14:textId="77777777" w:rsidR="000E560C" w:rsidRPr="00727957" w:rsidRDefault="000E560C" w:rsidP="00445CDB"/>
    <w:tbl>
      <w:tblPr>
        <w:tblStyle w:val="Grilledutableau"/>
        <w:tblW w:w="8075" w:type="dxa"/>
        <w:jc w:val="center"/>
        <w:tblLayout w:type="fixed"/>
        <w:tblLook w:val="04A0" w:firstRow="1" w:lastRow="0" w:firstColumn="1" w:lastColumn="0" w:noHBand="0" w:noVBand="1"/>
      </w:tblPr>
      <w:tblGrid>
        <w:gridCol w:w="5071"/>
        <w:gridCol w:w="533"/>
        <w:gridCol w:w="532"/>
        <w:gridCol w:w="533"/>
        <w:gridCol w:w="697"/>
        <w:gridCol w:w="709"/>
      </w:tblGrid>
      <w:tr w:rsidR="005E5E2A" w:rsidRPr="008B793E" w14:paraId="5CF5B951" w14:textId="77777777" w:rsidTr="00BF0A3B">
        <w:trPr>
          <w:trHeight w:val="527"/>
          <w:jc w:val="center"/>
        </w:trPr>
        <w:tc>
          <w:tcPr>
            <w:tcW w:w="5071" w:type="dxa"/>
            <w:shd w:val="clear" w:color="auto" w:fill="D9D9D9"/>
            <w:vAlign w:val="center"/>
          </w:tcPr>
          <w:p w14:paraId="24319377" w14:textId="0C6A5AB4" w:rsidR="004758D0" w:rsidRPr="008B793E" w:rsidRDefault="00F507E6" w:rsidP="00460897">
            <w:pPr>
              <w:jc w:val="center"/>
              <w:rPr>
                <w:b/>
                <w:bCs/>
              </w:rPr>
            </w:pPr>
            <w:r>
              <w:rPr>
                <w:b/>
                <w:bCs/>
              </w:rPr>
              <w:t xml:space="preserve">Prestation due par </w:t>
            </w:r>
            <w:r w:rsidR="00BF0A3B">
              <w:rPr>
                <w:b/>
                <w:bCs/>
              </w:rPr>
              <w:t>type</w:t>
            </w:r>
            <w:r>
              <w:rPr>
                <w:b/>
                <w:bCs/>
              </w:rPr>
              <w:t xml:space="preserve"> d’opération</w:t>
            </w:r>
          </w:p>
        </w:tc>
        <w:tc>
          <w:tcPr>
            <w:tcW w:w="533" w:type="dxa"/>
            <w:shd w:val="clear" w:color="auto" w:fill="D9D9D9"/>
            <w:vAlign w:val="center"/>
          </w:tcPr>
          <w:p w14:paraId="1CF30656" w14:textId="77777777" w:rsidR="004758D0" w:rsidRPr="008B793E" w:rsidRDefault="004758D0" w:rsidP="00460897">
            <w:pPr>
              <w:jc w:val="center"/>
              <w:rPr>
                <w:b/>
                <w:bCs/>
              </w:rPr>
            </w:pPr>
            <w:r w:rsidRPr="008B793E">
              <w:rPr>
                <w:b/>
                <w:bCs/>
              </w:rPr>
              <w:t>A</w:t>
            </w:r>
          </w:p>
        </w:tc>
        <w:tc>
          <w:tcPr>
            <w:tcW w:w="532" w:type="dxa"/>
            <w:shd w:val="clear" w:color="auto" w:fill="D9D9D9"/>
            <w:vAlign w:val="center"/>
          </w:tcPr>
          <w:p w14:paraId="3246DD5F" w14:textId="77777777" w:rsidR="004758D0" w:rsidRPr="008B793E" w:rsidRDefault="004758D0" w:rsidP="00460897">
            <w:pPr>
              <w:jc w:val="center"/>
              <w:rPr>
                <w:b/>
                <w:bCs/>
              </w:rPr>
            </w:pPr>
            <w:r w:rsidRPr="008B793E">
              <w:rPr>
                <w:b/>
                <w:bCs/>
              </w:rPr>
              <w:t>B</w:t>
            </w:r>
          </w:p>
        </w:tc>
        <w:tc>
          <w:tcPr>
            <w:tcW w:w="533" w:type="dxa"/>
            <w:shd w:val="clear" w:color="auto" w:fill="D9D9D9"/>
            <w:vAlign w:val="center"/>
          </w:tcPr>
          <w:p w14:paraId="63A74DF7" w14:textId="77777777" w:rsidR="004758D0" w:rsidRPr="008B793E" w:rsidRDefault="004758D0" w:rsidP="00460897">
            <w:pPr>
              <w:jc w:val="center"/>
              <w:rPr>
                <w:b/>
                <w:bCs/>
              </w:rPr>
            </w:pPr>
            <w:r w:rsidRPr="008B793E">
              <w:rPr>
                <w:b/>
                <w:bCs/>
              </w:rPr>
              <w:t>C</w:t>
            </w:r>
          </w:p>
        </w:tc>
        <w:tc>
          <w:tcPr>
            <w:tcW w:w="697" w:type="dxa"/>
            <w:shd w:val="clear" w:color="auto" w:fill="D9D9D9"/>
            <w:vAlign w:val="center"/>
          </w:tcPr>
          <w:p w14:paraId="2466EF5F" w14:textId="77777777" w:rsidR="004758D0" w:rsidRPr="008B793E" w:rsidRDefault="004758D0" w:rsidP="00460897">
            <w:pPr>
              <w:jc w:val="center"/>
              <w:rPr>
                <w:b/>
                <w:bCs/>
              </w:rPr>
            </w:pPr>
            <w:r w:rsidRPr="008B793E">
              <w:rPr>
                <w:b/>
                <w:bCs/>
              </w:rPr>
              <w:t>D</w:t>
            </w:r>
          </w:p>
        </w:tc>
        <w:tc>
          <w:tcPr>
            <w:tcW w:w="709" w:type="dxa"/>
            <w:shd w:val="clear" w:color="auto" w:fill="D9D9D9"/>
            <w:vAlign w:val="center"/>
          </w:tcPr>
          <w:p w14:paraId="1BF9E5E8" w14:textId="77777777" w:rsidR="004758D0" w:rsidRPr="008B793E" w:rsidRDefault="004758D0" w:rsidP="00460897">
            <w:pPr>
              <w:jc w:val="center"/>
              <w:rPr>
                <w:b/>
                <w:bCs/>
              </w:rPr>
            </w:pPr>
            <w:r w:rsidRPr="008B793E">
              <w:rPr>
                <w:b/>
                <w:bCs/>
              </w:rPr>
              <w:t>E</w:t>
            </w:r>
          </w:p>
        </w:tc>
      </w:tr>
      <w:tr w:rsidR="00415D33" w:rsidRPr="00122DD6" w14:paraId="103BA70F" w14:textId="77777777" w:rsidTr="00BF0A3B">
        <w:trPr>
          <w:jc w:val="center"/>
        </w:trPr>
        <w:tc>
          <w:tcPr>
            <w:tcW w:w="5071" w:type="dxa"/>
            <w:shd w:val="clear" w:color="auto" w:fill="D9D9D9"/>
            <w:vAlign w:val="center"/>
          </w:tcPr>
          <w:p w14:paraId="13F7819A" w14:textId="3A6CFFD2" w:rsidR="00415D33" w:rsidRPr="00415D33" w:rsidRDefault="00415D33" w:rsidP="00415D33">
            <w:r w:rsidRPr="000A3C6A">
              <w:t>Collaboration active lors de l’élaboration du PIC</w:t>
            </w:r>
          </w:p>
        </w:tc>
        <w:tc>
          <w:tcPr>
            <w:tcW w:w="533" w:type="dxa"/>
            <w:vAlign w:val="center"/>
          </w:tcPr>
          <w:p w14:paraId="19339F7A" w14:textId="029EE6BF" w:rsidR="00415D33" w:rsidRPr="004E455A" w:rsidRDefault="00415D33" w:rsidP="00415D33">
            <w:pPr>
              <w:jc w:val="center"/>
            </w:pPr>
            <w:r>
              <w:t>X</w:t>
            </w:r>
          </w:p>
        </w:tc>
        <w:tc>
          <w:tcPr>
            <w:tcW w:w="532" w:type="dxa"/>
            <w:vAlign w:val="center"/>
          </w:tcPr>
          <w:p w14:paraId="6C79DD70" w14:textId="2506DD7E" w:rsidR="00415D33" w:rsidRPr="004E455A" w:rsidRDefault="00415D33" w:rsidP="00415D33">
            <w:pPr>
              <w:jc w:val="center"/>
            </w:pPr>
            <w:r>
              <w:t>X</w:t>
            </w:r>
          </w:p>
        </w:tc>
        <w:tc>
          <w:tcPr>
            <w:tcW w:w="533" w:type="dxa"/>
            <w:vAlign w:val="center"/>
          </w:tcPr>
          <w:p w14:paraId="1A3114E4" w14:textId="136BF5C8" w:rsidR="00415D33" w:rsidRPr="004E455A" w:rsidRDefault="00415D33" w:rsidP="00415D33">
            <w:pPr>
              <w:jc w:val="center"/>
            </w:pPr>
            <w:r>
              <w:t>X</w:t>
            </w:r>
          </w:p>
        </w:tc>
        <w:tc>
          <w:tcPr>
            <w:tcW w:w="697" w:type="dxa"/>
            <w:vAlign w:val="center"/>
          </w:tcPr>
          <w:p w14:paraId="67FB2466" w14:textId="2FC0BD51" w:rsidR="00415D33" w:rsidRPr="004E455A" w:rsidRDefault="00415D33" w:rsidP="00415D33">
            <w:pPr>
              <w:jc w:val="center"/>
            </w:pPr>
            <w:r>
              <w:t>X</w:t>
            </w:r>
          </w:p>
        </w:tc>
        <w:tc>
          <w:tcPr>
            <w:tcW w:w="709" w:type="dxa"/>
            <w:vAlign w:val="center"/>
          </w:tcPr>
          <w:p w14:paraId="28B05863" w14:textId="102BA718" w:rsidR="00415D33" w:rsidRPr="004E455A" w:rsidRDefault="00415D33" w:rsidP="00415D33">
            <w:pPr>
              <w:jc w:val="center"/>
            </w:pPr>
            <w:r>
              <w:t>X</w:t>
            </w:r>
          </w:p>
        </w:tc>
      </w:tr>
      <w:tr w:rsidR="00415D33" w:rsidRPr="00122DD6" w14:paraId="08B32B54" w14:textId="77777777" w:rsidTr="00BF0A3B">
        <w:trPr>
          <w:jc w:val="center"/>
        </w:trPr>
        <w:tc>
          <w:tcPr>
            <w:tcW w:w="5071" w:type="dxa"/>
            <w:shd w:val="clear" w:color="auto" w:fill="D9D9D9"/>
            <w:vAlign w:val="center"/>
          </w:tcPr>
          <w:p w14:paraId="59D32F91" w14:textId="078DA19E" w:rsidR="00415D33" w:rsidRPr="004E455A" w:rsidRDefault="00415D33" w:rsidP="00415D33">
            <w:r w:rsidRPr="00727957">
              <w:rPr>
                <w:b/>
                <w:bCs/>
              </w:rPr>
              <w:t>Examen d</w:t>
            </w:r>
            <w:r w:rsidR="006D7CB9">
              <w:rPr>
                <w:b/>
                <w:bCs/>
              </w:rPr>
              <w:t>e chaque</w:t>
            </w:r>
            <w:r w:rsidRPr="00727957">
              <w:rPr>
                <w:b/>
                <w:bCs/>
              </w:rPr>
              <w:t xml:space="preserve"> PPSPS</w:t>
            </w:r>
            <w:r w:rsidRPr="00727957">
              <w:t xml:space="preserve"> de</w:t>
            </w:r>
            <w:r w:rsidR="006D7CB9">
              <w:t>s</w:t>
            </w:r>
            <w:r w:rsidRPr="00727957">
              <w:t xml:space="preserve"> entreprise</w:t>
            </w:r>
            <w:r w:rsidR="006D7CB9">
              <w:t>s</w:t>
            </w:r>
            <w:r w:rsidRPr="00727957">
              <w:t xml:space="preserve"> et sous-traitant</w:t>
            </w:r>
            <w:r w:rsidR="006D7CB9">
              <w:t>, le cas échéant actualisé</w:t>
            </w:r>
          </w:p>
        </w:tc>
        <w:tc>
          <w:tcPr>
            <w:tcW w:w="533" w:type="dxa"/>
            <w:vAlign w:val="center"/>
          </w:tcPr>
          <w:p w14:paraId="15D4B109" w14:textId="77777777" w:rsidR="00415D33" w:rsidRPr="004E455A" w:rsidRDefault="00415D33" w:rsidP="00415D33">
            <w:pPr>
              <w:jc w:val="center"/>
            </w:pPr>
            <w:r w:rsidRPr="004E455A">
              <w:t>X</w:t>
            </w:r>
          </w:p>
        </w:tc>
        <w:tc>
          <w:tcPr>
            <w:tcW w:w="532" w:type="dxa"/>
            <w:vAlign w:val="center"/>
          </w:tcPr>
          <w:p w14:paraId="1B985434" w14:textId="741524A1" w:rsidR="00415D33" w:rsidRPr="004E455A" w:rsidRDefault="00415D33" w:rsidP="00415D33">
            <w:pPr>
              <w:jc w:val="center"/>
            </w:pPr>
            <w:r w:rsidRPr="004E455A">
              <w:t>X</w:t>
            </w:r>
          </w:p>
        </w:tc>
        <w:tc>
          <w:tcPr>
            <w:tcW w:w="533" w:type="dxa"/>
            <w:vAlign w:val="center"/>
          </w:tcPr>
          <w:p w14:paraId="3DE30FA1" w14:textId="4A4A4E48" w:rsidR="00415D33" w:rsidRPr="004E455A" w:rsidRDefault="00415D33" w:rsidP="00415D33">
            <w:pPr>
              <w:jc w:val="center"/>
            </w:pPr>
            <w:r w:rsidRPr="004E455A">
              <w:t>X</w:t>
            </w:r>
          </w:p>
        </w:tc>
        <w:tc>
          <w:tcPr>
            <w:tcW w:w="697" w:type="dxa"/>
            <w:vAlign w:val="center"/>
          </w:tcPr>
          <w:p w14:paraId="4ADB6AEE" w14:textId="0C961DE6" w:rsidR="00415D33" w:rsidRPr="004E455A" w:rsidRDefault="00415D33" w:rsidP="00415D33">
            <w:pPr>
              <w:jc w:val="center"/>
            </w:pPr>
            <w:r w:rsidRPr="004E455A">
              <w:t>X</w:t>
            </w:r>
          </w:p>
        </w:tc>
        <w:tc>
          <w:tcPr>
            <w:tcW w:w="709" w:type="dxa"/>
            <w:vAlign w:val="center"/>
          </w:tcPr>
          <w:p w14:paraId="5EA20553" w14:textId="7A6FB25A" w:rsidR="00415D33" w:rsidRPr="004E455A" w:rsidRDefault="00415D33" w:rsidP="00415D33">
            <w:pPr>
              <w:jc w:val="center"/>
            </w:pPr>
            <w:r w:rsidRPr="004E455A">
              <w:t>X</w:t>
            </w:r>
          </w:p>
        </w:tc>
      </w:tr>
      <w:tr w:rsidR="00415D33" w:rsidRPr="00122DD6" w14:paraId="6E4F078D" w14:textId="77777777" w:rsidTr="00BF0A3B">
        <w:trPr>
          <w:jc w:val="center"/>
        </w:trPr>
        <w:tc>
          <w:tcPr>
            <w:tcW w:w="5071" w:type="dxa"/>
            <w:shd w:val="clear" w:color="auto" w:fill="D9D9D9"/>
            <w:vAlign w:val="center"/>
          </w:tcPr>
          <w:p w14:paraId="5C91F7C0" w14:textId="6A6E1688" w:rsidR="00415D33" w:rsidRPr="004E455A" w:rsidRDefault="00415D33" w:rsidP="00415D33">
            <w:r w:rsidRPr="00727957">
              <w:rPr>
                <w:b/>
                <w:bCs/>
              </w:rPr>
              <w:t>Réalisation de chaque inspection commune</w:t>
            </w:r>
            <w:r w:rsidRPr="00727957">
              <w:t xml:space="preserve"> sur site et consignation au registre journal du compte rendu</w:t>
            </w:r>
          </w:p>
        </w:tc>
        <w:tc>
          <w:tcPr>
            <w:tcW w:w="533" w:type="dxa"/>
            <w:vAlign w:val="center"/>
          </w:tcPr>
          <w:p w14:paraId="66DA7077" w14:textId="77777777" w:rsidR="00415D33" w:rsidRPr="004E455A" w:rsidRDefault="00415D33" w:rsidP="00415D33">
            <w:pPr>
              <w:jc w:val="center"/>
            </w:pPr>
            <w:r w:rsidRPr="004E455A">
              <w:t>X</w:t>
            </w:r>
          </w:p>
        </w:tc>
        <w:tc>
          <w:tcPr>
            <w:tcW w:w="532" w:type="dxa"/>
            <w:vAlign w:val="center"/>
          </w:tcPr>
          <w:p w14:paraId="65197EC3" w14:textId="6A2B2434" w:rsidR="00415D33" w:rsidRPr="004E455A" w:rsidRDefault="00415D33" w:rsidP="00415D33">
            <w:pPr>
              <w:jc w:val="center"/>
            </w:pPr>
            <w:r w:rsidRPr="004E455A">
              <w:t>X</w:t>
            </w:r>
          </w:p>
        </w:tc>
        <w:tc>
          <w:tcPr>
            <w:tcW w:w="533" w:type="dxa"/>
            <w:vAlign w:val="center"/>
          </w:tcPr>
          <w:p w14:paraId="1E20F082" w14:textId="1FA9EA6A" w:rsidR="00415D33" w:rsidRPr="004E455A" w:rsidRDefault="00415D33" w:rsidP="00415D33">
            <w:pPr>
              <w:jc w:val="center"/>
            </w:pPr>
            <w:r w:rsidRPr="004E455A">
              <w:t>X</w:t>
            </w:r>
          </w:p>
        </w:tc>
        <w:tc>
          <w:tcPr>
            <w:tcW w:w="697" w:type="dxa"/>
            <w:vAlign w:val="center"/>
          </w:tcPr>
          <w:p w14:paraId="70B773C1" w14:textId="7605A6B1" w:rsidR="00415D33" w:rsidRPr="004E455A" w:rsidRDefault="00415D33" w:rsidP="00415D33">
            <w:pPr>
              <w:jc w:val="center"/>
            </w:pPr>
            <w:r w:rsidRPr="004E455A">
              <w:t>X</w:t>
            </w:r>
          </w:p>
        </w:tc>
        <w:tc>
          <w:tcPr>
            <w:tcW w:w="709" w:type="dxa"/>
            <w:vAlign w:val="center"/>
          </w:tcPr>
          <w:p w14:paraId="48E0ACB9" w14:textId="2A1A2075" w:rsidR="00415D33" w:rsidRPr="004E455A" w:rsidRDefault="00415D33" w:rsidP="00415D33">
            <w:pPr>
              <w:jc w:val="center"/>
            </w:pPr>
            <w:r w:rsidRPr="004E455A">
              <w:t>X</w:t>
            </w:r>
          </w:p>
        </w:tc>
      </w:tr>
      <w:tr w:rsidR="00415D33" w:rsidRPr="00122DD6" w14:paraId="799F382B" w14:textId="77777777" w:rsidTr="00BF0A3B">
        <w:trPr>
          <w:jc w:val="center"/>
        </w:trPr>
        <w:tc>
          <w:tcPr>
            <w:tcW w:w="5071" w:type="dxa"/>
            <w:shd w:val="clear" w:color="auto" w:fill="D9D9D9"/>
            <w:vAlign w:val="center"/>
          </w:tcPr>
          <w:p w14:paraId="26CD67B4" w14:textId="609A25A2" w:rsidR="00415D33" w:rsidRPr="004E455A" w:rsidRDefault="00415D33" w:rsidP="00415D33">
            <w:r>
              <w:t xml:space="preserve">Fréquence hebdomadaire minimale de </w:t>
            </w:r>
            <w:r w:rsidRPr="00727957">
              <w:rPr>
                <w:b/>
                <w:bCs/>
              </w:rPr>
              <w:t>visites de chantier inopinées</w:t>
            </w:r>
            <w:r w:rsidRPr="00727957">
              <w:t xml:space="preserve"> avec suivi d’application des mesures</w:t>
            </w:r>
            <w:r w:rsidRPr="00727957">
              <w:rPr>
                <w:rFonts w:ascii="Calibri" w:hAnsi="Calibri" w:cs="Calibri"/>
              </w:rPr>
              <w:t> </w:t>
            </w:r>
            <w:r w:rsidRPr="00727957">
              <w:t>et compte-rendu des visites</w:t>
            </w:r>
          </w:p>
        </w:tc>
        <w:tc>
          <w:tcPr>
            <w:tcW w:w="533" w:type="dxa"/>
            <w:vAlign w:val="center"/>
          </w:tcPr>
          <w:p w14:paraId="31101F5C" w14:textId="55533B90" w:rsidR="00415D33" w:rsidRPr="004E455A" w:rsidRDefault="005D1143" w:rsidP="00415D33">
            <w:pPr>
              <w:jc w:val="center"/>
            </w:pPr>
            <w:r>
              <w:t>1</w:t>
            </w:r>
          </w:p>
        </w:tc>
        <w:tc>
          <w:tcPr>
            <w:tcW w:w="532" w:type="dxa"/>
            <w:vAlign w:val="center"/>
          </w:tcPr>
          <w:p w14:paraId="528FE463" w14:textId="0218AAE2" w:rsidR="00415D33" w:rsidRPr="004E455A" w:rsidRDefault="005D1143" w:rsidP="00415D33">
            <w:pPr>
              <w:jc w:val="center"/>
            </w:pPr>
            <w:r>
              <w:t>0,5</w:t>
            </w:r>
          </w:p>
        </w:tc>
        <w:tc>
          <w:tcPr>
            <w:tcW w:w="533" w:type="dxa"/>
            <w:vAlign w:val="center"/>
          </w:tcPr>
          <w:p w14:paraId="75398D3E" w14:textId="5E620B14" w:rsidR="00415D33" w:rsidRPr="004E455A" w:rsidRDefault="005D1143" w:rsidP="00415D33">
            <w:pPr>
              <w:jc w:val="center"/>
            </w:pPr>
            <w:r>
              <w:t>0,5</w:t>
            </w:r>
          </w:p>
        </w:tc>
        <w:tc>
          <w:tcPr>
            <w:tcW w:w="697" w:type="dxa"/>
            <w:vAlign w:val="center"/>
          </w:tcPr>
          <w:p w14:paraId="3BEC7737" w14:textId="3BFEF536" w:rsidR="00415D33" w:rsidRPr="004E455A" w:rsidRDefault="005A5AEE" w:rsidP="00415D33">
            <w:pPr>
              <w:jc w:val="center"/>
            </w:pPr>
            <w:r>
              <w:t>0,</w:t>
            </w:r>
            <w:r w:rsidR="00BF0A3B">
              <w:t>2</w:t>
            </w:r>
            <w:r>
              <w:t>5</w:t>
            </w:r>
          </w:p>
        </w:tc>
        <w:tc>
          <w:tcPr>
            <w:tcW w:w="709" w:type="dxa"/>
            <w:vAlign w:val="center"/>
          </w:tcPr>
          <w:p w14:paraId="79A63DD6" w14:textId="672674AB" w:rsidR="00415D33" w:rsidRPr="004E455A" w:rsidRDefault="005A5AEE" w:rsidP="00415D33">
            <w:pPr>
              <w:jc w:val="center"/>
            </w:pPr>
            <w:r>
              <w:t>0,</w:t>
            </w:r>
            <w:r w:rsidR="00BF0A3B">
              <w:t>2</w:t>
            </w:r>
            <w:r>
              <w:t>5</w:t>
            </w:r>
          </w:p>
        </w:tc>
      </w:tr>
      <w:tr w:rsidR="00415D33" w:rsidRPr="00122DD6" w14:paraId="7AAA388B" w14:textId="77777777" w:rsidTr="00BF0A3B">
        <w:trPr>
          <w:jc w:val="center"/>
        </w:trPr>
        <w:tc>
          <w:tcPr>
            <w:tcW w:w="5071" w:type="dxa"/>
            <w:shd w:val="clear" w:color="auto" w:fill="D9D9D9"/>
            <w:vAlign w:val="center"/>
          </w:tcPr>
          <w:p w14:paraId="6C3ACC85" w14:textId="6DD38258" w:rsidR="00415D33" w:rsidRPr="004E455A" w:rsidRDefault="00415D33" w:rsidP="00415D33">
            <w:r w:rsidRPr="00727957">
              <w:t xml:space="preserve">Participation impérative à toutes les </w:t>
            </w:r>
            <w:r w:rsidRPr="00727957">
              <w:rPr>
                <w:b/>
                <w:bCs/>
              </w:rPr>
              <w:t>réunions de chantier</w:t>
            </w:r>
            <w:r w:rsidRPr="00727957">
              <w:rPr>
                <w:rFonts w:ascii="Calibri" w:hAnsi="Calibri" w:cs="Calibri"/>
              </w:rPr>
              <w:t> </w:t>
            </w:r>
            <w:r w:rsidRPr="00727957">
              <w:t>et/ou au minimum une fois par semaine</w:t>
            </w:r>
          </w:p>
        </w:tc>
        <w:tc>
          <w:tcPr>
            <w:tcW w:w="533" w:type="dxa"/>
            <w:vAlign w:val="center"/>
          </w:tcPr>
          <w:p w14:paraId="26C4F0BF" w14:textId="77777777" w:rsidR="00415D33" w:rsidRPr="004E455A" w:rsidRDefault="00415D33" w:rsidP="00415D33">
            <w:pPr>
              <w:jc w:val="center"/>
            </w:pPr>
            <w:r w:rsidRPr="004E455A">
              <w:t>X</w:t>
            </w:r>
          </w:p>
        </w:tc>
        <w:tc>
          <w:tcPr>
            <w:tcW w:w="532" w:type="dxa"/>
            <w:vAlign w:val="center"/>
          </w:tcPr>
          <w:p w14:paraId="6C548E8D" w14:textId="7CC40856" w:rsidR="00415D33" w:rsidRPr="004E455A" w:rsidRDefault="00415D33" w:rsidP="00415D33">
            <w:pPr>
              <w:jc w:val="center"/>
            </w:pPr>
            <w:r w:rsidRPr="004E455A">
              <w:t>X</w:t>
            </w:r>
          </w:p>
        </w:tc>
        <w:tc>
          <w:tcPr>
            <w:tcW w:w="533" w:type="dxa"/>
            <w:vAlign w:val="center"/>
          </w:tcPr>
          <w:p w14:paraId="02ED95C9" w14:textId="12FA2B69" w:rsidR="00415D33" w:rsidRPr="004E455A" w:rsidRDefault="00415D33" w:rsidP="00415D33">
            <w:pPr>
              <w:jc w:val="center"/>
            </w:pPr>
            <w:r w:rsidRPr="004E455A">
              <w:t>X</w:t>
            </w:r>
          </w:p>
        </w:tc>
        <w:tc>
          <w:tcPr>
            <w:tcW w:w="697" w:type="dxa"/>
            <w:vAlign w:val="center"/>
          </w:tcPr>
          <w:p w14:paraId="6F97FC7C" w14:textId="10783BAB" w:rsidR="00415D33" w:rsidRPr="004E455A" w:rsidRDefault="00415D33" w:rsidP="00415D33">
            <w:pPr>
              <w:jc w:val="center"/>
            </w:pPr>
            <w:r w:rsidRPr="004E455A">
              <w:t>X</w:t>
            </w:r>
          </w:p>
        </w:tc>
        <w:tc>
          <w:tcPr>
            <w:tcW w:w="709" w:type="dxa"/>
            <w:vAlign w:val="center"/>
          </w:tcPr>
          <w:p w14:paraId="34BE114B" w14:textId="4149268C" w:rsidR="00415D33" w:rsidRPr="004E455A" w:rsidRDefault="00415D33" w:rsidP="00415D33">
            <w:pPr>
              <w:jc w:val="center"/>
            </w:pPr>
            <w:r w:rsidRPr="004E455A">
              <w:t>X</w:t>
            </w:r>
          </w:p>
        </w:tc>
      </w:tr>
      <w:tr w:rsidR="00415D33" w:rsidRPr="00122DD6" w14:paraId="41AA3234" w14:textId="77777777" w:rsidTr="00BF0A3B">
        <w:trPr>
          <w:jc w:val="center"/>
        </w:trPr>
        <w:tc>
          <w:tcPr>
            <w:tcW w:w="5071" w:type="dxa"/>
            <w:shd w:val="clear" w:color="auto" w:fill="D9D9D9"/>
            <w:vAlign w:val="center"/>
          </w:tcPr>
          <w:p w14:paraId="6F482594" w14:textId="45C69A15" w:rsidR="00415D33" w:rsidRPr="004E455A" w:rsidRDefault="00415D33" w:rsidP="00415D33">
            <w:r w:rsidRPr="00727957">
              <w:t>Réunions de coordination à l’initiative du CSPS ou du MOE</w:t>
            </w:r>
          </w:p>
        </w:tc>
        <w:tc>
          <w:tcPr>
            <w:tcW w:w="533" w:type="dxa"/>
            <w:vAlign w:val="center"/>
          </w:tcPr>
          <w:p w14:paraId="3DD68CFC" w14:textId="77777777" w:rsidR="00415D33" w:rsidRPr="004E455A" w:rsidRDefault="00415D33" w:rsidP="00415D33">
            <w:pPr>
              <w:jc w:val="center"/>
            </w:pPr>
            <w:r w:rsidRPr="004E455A">
              <w:t>X</w:t>
            </w:r>
          </w:p>
        </w:tc>
        <w:tc>
          <w:tcPr>
            <w:tcW w:w="532" w:type="dxa"/>
            <w:vAlign w:val="center"/>
          </w:tcPr>
          <w:p w14:paraId="6AEB80E0" w14:textId="0780C53B" w:rsidR="00415D33" w:rsidRPr="004E455A" w:rsidRDefault="00415D33" w:rsidP="00415D33">
            <w:pPr>
              <w:jc w:val="center"/>
            </w:pPr>
            <w:r w:rsidRPr="004E455A">
              <w:t>X</w:t>
            </w:r>
          </w:p>
        </w:tc>
        <w:tc>
          <w:tcPr>
            <w:tcW w:w="533" w:type="dxa"/>
            <w:vAlign w:val="center"/>
          </w:tcPr>
          <w:p w14:paraId="67BC0FB4" w14:textId="22600422" w:rsidR="00415D33" w:rsidRPr="004E455A" w:rsidRDefault="00415D33" w:rsidP="00415D33">
            <w:pPr>
              <w:jc w:val="center"/>
            </w:pPr>
            <w:r w:rsidRPr="004E455A">
              <w:t>X</w:t>
            </w:r>
          </w:p>
        </w:tc>
        <w:tc>
          <w:tcPr>
            <w:tcW w:w="697" w:type="dxa"/>
            <w:vAlign w:val="center"/>
          </w:tcPr>
          <w:p w14:paraId="34B34FD2" w14:textId="6F95C18C" w:rsidR="00415D33" w:rsidRPr="004E455A" w:rsidRDefault="00415D33" w:rsidP="00415D33">
            <w:pPr>
              <w:jc w:val="center"/>
            </w:pPr>
            <w:r w:rsidRPr="004E455A">
              <w:t>X</w:t>
            </w:r>
          </w:p>
        </w:tc>
        <w:tc>
          <w:tcPr>
            <w:tcW w:w="709" w:type="dxa"/>
            <w:vAlign w:val="center"/>
          </w:tcPr>
          <w:p w14:paraId="5E0A068D" w14:textId="2E5890F1" w:rsidR="00415D33" w:rsidRPr="004E455A" w:rsidRDefault="00415D33" w:rsidP="00415D33">
            <w:pPr>
              <w:jc w:val="center"/>
            </w:pPr>
            <w:r w:rsidRPr="004E455A">
              <w:t>X</w:t>
            </w:r>
          </w:p>
        </w:tc>
      </w:tr>
      <w:tr w:rsidR="00415D33" w:rsidRPr="00122DD6" w14:paraId="1D09E457" w14:textId="77777777" w:rsidTr="00BF0A3B">
        <w:trPr>
          <w:jc w:val="center"/>
        </w:trPr>
        <w:tc>
          <w:tcPr>
            <w:tcW w:w="5071" w:type="dxa"/>
            <w:shd w:val="clear" w:color="auto" w:fill="D9D9D9"/>
            <w:vAlign w:val="center"/>
          </w:tcPr>
          <w:p w14:paraId="3954CCB5" w14:textId="6F11F729" w:rsidR="00415D33" w:rsidRPr="004E455A" w:rsidRDefault="00415D33" w:rsidP="00415D33">
            <w:r w:rsidRPr="00727957">
              <w:t>Mise à jour, finalisation du DIUO et procès-verbal de transmission au MOA</w:t>
            </w:r>
          </w:p>
        </w:tc>
        <w:tc>
          <w:tcPr>
            <w:tcW w:w="533" w:type="dxa"/>
            <w:vAlign w:val="center"/>
          </w:tcPr>
          <w:p w14:paraId="053E111A" w14:textId="77777777" w:rsidR="00415D33" w:rsidRPr="004E455A" w:rsidRDefault="00415D33" w:rsidP="00415D33">
            <w:pPr>
              <w:jc w:val="center"/>
            </w:pPr>
            <w:r w:rsidRPr="004E455A">
              <w:t>X</w:t>
            </w:r>
          </w:p>
        </w:tc>
        <w:tc>
          <w:tcPr>
            <w:tcW w:w="532" w:type="dxa"/>
            <w:vAlign w:val="center"/>
          </w:tcPr>
          <w:p w14:paraId="3922C1A7" w14:textId="721B10D1" w:rsidR="00415D33" w:rsidRPr="004E455A" w:rsidRDefault="00415D33" w:rsidP="00415D33">
            <w:pPr>
              <w:jc w:val="center"/>
            </w:pPr>
            <w:r w:rsidRPr="004E455A">
              <w:t>X</w:t>
            </w:r>
          </w:p>
        </w:tc>
        <w:tc>
          <w:tcPr>
            <w:tcW w:w="533" w:type="dxa"/>
            <w:vAlign w:val="center"/>
          </w:tcPr>
          <w:p w14:paraId="056BE7C8" w14:textId="588B4D8A" w:rsidR="00415D33" w:rsidRPr="004E455A" w:rsidRDefault="00415D33" w:rsidP="00415D33">
            <w:pPr>
              <w:jc w:val="center"/>
            </w:pPr>
            <w:r w:rsidRPr="004E455A">
              <w:t>X</w:t>
            </w:r>
          </w:p>
        </w:tc>
        <w:tc>
          <w:tcPr>
            <w:tcW w:w="697" w:type="dxa"/>
            <w:vAlign w:val="center"/>
          </w:tcPr>
          <w:p w14:paraId="17A79B68" w14:textId="5F2F1211" w:rsidR="00415D33" w:rsidRPr="004E455A" w:rsidRDefault="00415D33" w:rsidP="00415D33">
            <w:pPr>
              <w:jc w:val="center"/>
            </w:pPr>
            <w:r w:rsidRPr="004E455A">
              <w:t>X</w:t>
            </w:r>
          </w:p>
        </w:tc>
        <w:tc>
          <w:tcPr>
            <w:tcW w:w="709" w:type="dxa"/>
            <w:vAlign w:val="center"/>
          </w:tcPr>
          <w:p w14:paraId="14019DA8" w14:textId="16BD3D5A" w:rsidR="00415D33" w:rsidRPr="004E455A" w:rsidRDefault="00415D33" w:rsidP="00415D33">
            <w:pPr>
              <w:jc w:val="center"/>
            </w:pPr>
            <w:r w:rsidRPr="004E455A">
              <w:t>X</w:t>
            </w:r>
          </w:p>
        </w:tc>
      </w:tr>
    </w:tbl>
    <w:p w14:paraId="56F8BC35" w14:textId="77777777" w:rsidR="00F802E7" w:rsidRDefault="00F802E7" w:rsidP="00EE192C">
      <w:pPr>
        <w:spacing w:after="120"/>
        <w:rPr>
          <w:rFonts w:ascii="Verdana" w:hAnsi="Verdana"/>
          <w:b/>
          <w:sz w:val="18"/>
          <w:szCs w:val="18"/>
        </w:rPr>
      </w:pPr>
    </w:p>
    <w:p w14:paraId="69C08774" w14:textId="3B39B48F" w:rsidR="00F802E7" w:rsidRDefault="00F802E7" w:rsidP="00F802E7">
      <w:r>
        <w:t>En complément, dans le cas où l’opération est soumise aux dispositions des articles R</w:t>
      </w:r>
      <w:r w:rsidR="00F9622B">
        <w:t>4511-1</w:t>
      </w:r>
      <w:r>
        <w:t xml:space="preserve"> et suivants du Code du travail</w:t>
      </w:r>
      <w:r>
        <w:rPr>
          <w:rFonts w:ascii="Calibri" w:hAnsi="Calibri" w:cs="Calibri"/>
        </w:rPr>
        <w:t> </w:t>
      </w:r>
      <w:r>
        <w:t>:</w:t>
      </w:r>
    </w:p>
    <w:p w14:paraId="1A195BD0" w14:textId="77777777" w:rsidR="00F802E7" w:rsidRDefault="00F802E7" w:rsidP="008C021C">
      <w:pPr>
        <w:pStyle w:val="Paragraphedeliste"/>
        <w:numPr>
          <w:ilvl w:val="0"/>
          <w:numId w:val="5"/>
        </w:numPr>
      </w:pPr>
      <w:r>
        <w:t>Elabore et transmet au MOA un projet de Plan de Prévention adapté aux contraintes du site, de l’opération et tenant compte des conclusions de la visite conjointe</w:t>
      </w:r>
      <w:r>
        <w:rPr>
          <w:rFonts w:ascii="Calibri" w:hAnsi="Calibri" w:cs="Calibri"/>
        </w:rPr>
        <w:t> </w:t>
      </w:r>
      <w:r>
        <w:t>;</w:t>
      </w:r>
    </w:p>
    <w:p w14:paraId="59E3F8E7" w14:textId="77777777" w:rsidR="00F802E7" w:rsidRDefault="00F802E7" w:rsidP="008C021C">
      <w:pPr>
        <w:pStyle w:val="Paragraphedeliste"/>
        <w:numPr>
          <w:ilvl w:val="0"/>
          <w:numId w:val="5"/>
        </w:numPr>
      </w:pPr>
      <w:r>
        <w:t>S’assure auprès du MOA et avant le démarrage des travaux, que le Plan de Prévention a été validé et transmis aux entreprises</w:t>
      </w:r>
      <w:r>
        <w:rPr>
          <w:rFonts w:ascii="Calibri" w:hAnsi="Calibri" w:cs="Calibri"/>
        </w:rPr>
        <w:t> </w:t>
      </w:r>
      <w:r>
        <w:t>;</w:t>
      </w:r>
    </w:p>
    <w:p w14:paraId="3316F78A" w14:textId="1E6BFBAB" w:rsidR="00EB4F78" w:rsidRDefault="00EB4F78" w:rsidP="00727957">
      <w:r>
        <w:t>Toute reprise ou mise à jour de document, demandée par le MOA ou rendue nécessaire au regard de l’évolution du projet est réputée due par le titulaire dans le cadre des limites d’un type d’opération donné.</w:t>
      </w:r>
    </w:p>
    <w:p w14:paraId="74489AE7" w14:textId="77777777" w:rsidR="00FB1116" w:rsidRDefault="00FB1116" w:rsidP="00727957">
      <w:pPr>
        <w:rPr>
          <w:rFonts w:ascii="Verdana" w:hAnsi="Verdana"/>
          <w:sz w:val="18"/>
          <w:szCs w:val="18"/>
        </w:rPr>
      </w:pPr>
      <w:bookmarkStart w:id="62" w:name="_Toc19433904"/>
      <w:bookmarkStart w:id="63" w:name="_Toc114385030"/>
    </w:p>
    <w:p w14:paraId="18DCC875" w14:textId="77777777" w:rsidR="00445CDB" w:rsidRPr="00897AF2" w:rsidRDefault="00445CDB" w:rsidP="00445CDB">
      <w:pPr>
        <w:pStyle w:val="Titre3"/>
      </w:pPr>
      <w:bookmarkStart w:id="64" w:name="_Toc114385032"/>
      <w:bookmarkStart w:id="65" w:name="_Toc167956963"/>
      <w:r w:rsidRPr="00897AF2">
        <w:t xml:space="preserve">Documents </w:t>
      </w:r>
      <w:r w:rsidRPr="00897AF2">
        <w:rPr>
          <w:rFonts w:cs="Marianne"/>
        </w:rPr>
        <w:t>à</w:t>
      </w:r>
      <w:r w:rsidRPr="00897AF2">
        <w:t xml:space="preserve"> remettre par le titulaire</w:t>
      </w:r>
      <w:bookmarkEnd w:id="64"/>
      <w:bookmarkEnd w:id="65"/>
    </w:p>
    <w:p w14:paraId="6902F4D6" w14:textId="77777777" w:rsidR="00445CDB" w:rsidRPr="00445CDB" w:rsidRDefault="00445CDB" w:rsidP="00445CDB">
      <w:pPr>
        <w:pStyle w:val="Default"/>
        <w:jc w:val="both"/>
        <w:rPr>
          <w:rFonts w:ascii="Marianne" w:hAnsi="Marianne" w:cs="Arial"/>
          <w:color w:val="auto"/>
          <w:sz w:val="20"/>
          <w:szCs w:val="20"/>
        </w:rPr>
      </w:pPr>
      <w:r w:rsidRPr="00445CDB">
        <w:rPr>
          <w:rFonts w:ascii="Marianne" w:hAnsi="Marianne" w:cs="Arial"/>
          <w:color w:val="auto"/>
          <w:sz w:val="20"/>
          <w:szCs w:val="20"/>
        </w:rPr>
        <w:t xml:space="preserve">Les conditions suivantes seront, en outre, appliquées : </w:t>
      </w:r>
    </w:p>
    <w:p w14:paraId="3177A8C2" w14:textId="77777777" w:rsidR="00445CDB" w:rsidRPr="00445CDB" w:rsidRDefault="00445CDB" w:rsidP="008C021C">
      <w:pPr>
        <w:numPr>
          <w:ilvl w:val="0"/>
          <w:numId w:val="2"/>
        </w:numPr>
        <w:spacing w:before="20" w:after="0" w:line="276" w:lineRule="auto"/>
        <w:ind w:left="714" w:hanging="374"/>
      </w:pPr>
      <w:proofErr w:type="gramStart"/>
      <w:r w:rsidRPr="00445CDB">
        <w:t>si</w:t>
      </w:r>
      <w:proofErr w:type="gramEnd"/>
      <w:r w:rsidRPr="00445CDB">
        <w:t xml:space="preserve"> le </w:t>
      </w:r>
      <w:r>
        <w:t>coordonnateur</w:t>
      </w:r>
      <w:r w:rsidRPr="00445CDB">
        <w:t xml:space="preserve"> n'a pas reçu les documents qu'il estime nécessaire à son intervention, il est tenu de le signaler à la personne responsable du marché sans délai ; </w:t>
      </w:r>
    </w:p>
    <w:p w14:paraId="5691ED59" w14:textId="77777777" w:rsidR="00445CDB" w:rsidRPr="00445CDB" w:rsidRDefault="00445CDB" w:rsidP="008C021C">
      <w:pPr>
        <w:numPr>
          <w:ilvl w:val="0"/>
          <w:numId w:val="2"/>
        </w:numPr>
        <w:spacing w:before="20" w:after="0" w:line="276" w:lineRule="auto"/>
        <w:ind w:left="714" w:hanging="374"/>
      </w:pPr>
      <w:proofErr w:type="gramStart"/>
      <w:r w:rsidRPr="00445CDB">
        <w:t>le</w:t>
      </w:r>
      <w:proofErr w:type="gramEnd"/>
      <w:r w:rsidRPr="00445CDB">
        <w:t xml:space="preserve"> </w:t>
      </w:r>
      <w:r>
        <w:t>coordonnateur</w:t>
      </w:r>
      <w:r w:rsidRPr="00844AEB">
        <w:t xml:space="preserve"> </w:t>
      </w:r>
      <w:r w:rsidRPr="00445CDB">
        <w:t xml:space="preserve">adressera directement copie de ses avis aux entreprises à la maitrise d’œuvre et au maître d’ouvrage, l'original étant adressé à la personne responsable du marché </w:t>
      </w:r>
    </w:p>
    <w:p w14:paraId="5DA7B5A3" w14:textId="77777777" w:rsidR="00445CDB" w:rsidRDefault="00445CDB" w:rsidP="00445CDB"/>
    <w:p w14:paraId="05F02654" w14:textId="77777777" w:rsidR="00445CDB" w:rsidRPr="00CB0BD1" w:rsidRDefault="00445CDB" w:rsidP="00445CDB">
      <w:r w:rsidRPr="00CB0BD1">
        <w:t xml:space="preserve">Dans le cadre de ses missions, le coordinateur SPS devra remettre </w:t>
      </w:r>
      <w:r>
        <w:t xml:space="preserve">notamment </w:t>
      </w:r>
      <w:r w:rsidRPr="00CB0BD1">
        <w:t xml:space="preserve">les éléments suivants au </w:t>
      </w:r>
      <w:r>
        <w:t>m</w:t>
      </w:r>
      <w:r w:rsidRPr="00CB0BD1">
        <w:t>aître d’</w:t>
      </w:r>
      <w:r>
        <w:t>o</w:t>
      </w:r>
      <w:r w:rsidRPr="00CB0BD1">
        <w:t>uvrage</w:t>
      </w:r>
      <w:r w:rsidRPr="00445CDB">
        <w:rPr>
          <w:rFonts w:ascii="Calibri" w:hAnsi="Calibri" w:cs="Calibri"/>
        </w:rPr>
        <w:t> </w:t>
      </w:r>
      <w:r w:rsidRPr="00CB0BD1">
        <w:t>:</w:t>
      </w:r>
    </w:p>
    <w:p w14:paraId="68FB1E82" w14:textId="77777777" w:rsidR="00445CDB" w:rsidRPr="00CB0BD1" w:rsidRDefault="00445CDB" w:rsidP="008C021C">
      <w:pPr>
        <w:pStyle w:val="Paragraphedeliste"/>
        <w:numPr>
          <w:ilvl w:val="0"/>
          <w:numId w:val="8"/>
        </w:numPr>
      </w:pPr>
      <w:r w:rsidRPr="00CB0BD1">
        <w:t>Les comptes rendus de visite de site</w:t>
      </w:r>
      <w:r>
        <w:t xml:space="preserve"> (VIC, visite inopinée ou prévue du chantier, visite conjointe avec le chef d’établissement, etc.)</w:t>
      </w:r>
      <w:r w:rsidRPr="00445CDB">
        <w:rPr>
          <w:rFonts w:ascii="Calibri" w:hAnsi="Calibri" w:cs="Calibri"/>
        </w:rPr>
        <w:t> </w:t>
      </w:r>
      <w:r w:rsidRPr="00CB0BD1">
        <w:t>;</w:t>
      </w:r>
    </w:p>
    <w:p w14:paraId="04CE51B3" w14:textId="77777777" w:rsidR="00445CDB" w:rsidRPr="00CB0BD1" w:rsidRDefault="00445CDB" w:rsidP="008C021C">
      <w:pPr>
        <w:pStyle w:val="Paragraphedeliste"/>
        <w:numPr>
          <w:ilvl w:val="0"/>
          <w:numId w:val="8"/>
        </w:numPr>
      </w:pPr>
      <w:r w:rsidRPr="00CB0BD1">
        <w:t>Le PGC</w:t>
      </w:r>
      <w:r>
        <w:t>SPS, PGSCSPS, projet de Plan de Prévention et leurs éventuelles mises à jour</w:t>
      </w:r>
      <w:r w:rsidRPr="00445CDB">
        <w:rPr>
          <w:rFonts w:ascii="Calibri" w:hAnsi="Calibri" w:cs="Calibri"/>
        </w:rPr>
        <w:t> </w:t>
      </w:r>
      <w:r w:rsidRPr="00CB0BD1">
        <w:t>;</w:t>
      </w:r>
    </w:p>
    <w:p w14:paraId="7A20E5CA" w14:textId="77777777" w:rsidR="00445CDB" w:rsidRPr="00CB0BD1" w:rsidRDefault="00445CDB" w:rsidP="008C021C">
      <w:pPr>
        <w:pStyle w:val="Paragraphedeliste"/>
        <w:numPr>
          <w:ilvl w:val="0"/>
          <w:numId w:val="8"/>
        </w:numPr>
      </w:pPr>
      <w:r w:rsidRPr="00CB0BD1">
        <w:t>Les rapports d’analyse des rapports A</w:t>
      </w:r>
      <w:r>
        <w:t>VP</w:t>
      </w:r>
      <w:r w:rsidRPr="00CB0BD1">
        <w:t xml:space="preserve"> </w:t>
      </w:r>
      <w:r>
        <w:t>et/ou</w:t>
      </w:r>
      <w:r w:rsidRPr="00CB0BD1">
        <w:t xml:space="preserve"> PRO</w:t>
      </w:r>
      <w:r>
        <w:t>-DCE</w:t>
      </w:r>
      <w:r w:rsidRPr="00445CDB">
        <w:rPr>
          <w:rFonts w:ascii="Calibri" w:hAnsi="Calibri" w:cs="Calibri"/>
        </w:rPr>
        <w:t> </w:t>
      </w:r>
      <w:r w:rsidRPr="00CB0BD1">
        <w:t>;</w:t>
      </w:r>
    </w:p>
    <w:p w14:paraId="5B1C6533" w14:textId="77777777" w:rsidR="00445CDB" w:rsidRPr="00CB0BD1" w:rsidRDefault="00445CDB" w:rsidP="008C021C">
      <w:pPr>
        <w:pStyle w:val="Paragraphedeliste"/>
        <w:numPr>
          <w:ilvl w:val="0"/>
          <w:numId w:val="8"/>
        </w:numPr>
      </w:pPr>
      <w:r w:rsidRPr="00CB0BD1">
        <w:t>Le registre journal avec les mises à jour régulières</w:t>
      </w:r>
      <w:r w:rsidRPr="00C57A02">
        <w:rPr>
          <w:rFonts w:ascii="Calibri" w:hAnsi="Calibri" w:cs="Calibri"/>
        </w:rPr>
        <w:t> </w:t>
      </w:r>
      <w:r w:rsidRPr="00CB0BD1">
        <w:t>;</w:t>
      </w:r>
    </w:p>
    <w:p w14:paraId="6B63483D" w14:textId="77777777" w:rsidR="00445CDB" w:rsidRPr="001C19EF" w:rsidRDefault="00445CDB" w:rsidP="008C021C">
      <w:pPr>
        <w:pStyle w:val="Paragraphedeliste"/>
        <w:numPr>
          <w:ilvl w:val="0"/>
          <w:numId w:val="8"/>
        </w:numPr>
        <w:rPr>
          <w:rFonts w:cs="Arial"/>
          <w:b/>
          <w:color w:val="1F3864" w:themeColor="accent1" w:themeShade="80"/>
          <w:kern w:val="28"/>
          <w:sz w:val="22"/>
          <w:u w:val="single"/>
        </w:rPr>
      </w:pPr>
      <w:r w:rsidRPr="00CB0BD1">
        <w:t>Le DIUO</w:t>
      </w:r>
      <w:r>
        <w:rPr>
          <w:rFonts w:ascii="Calibri" w:hAnsi="Calibri" w:cs="Calibri"/>
        </w:rPr>
        <w:t> </w:t>
      </w:r>
      <w:r>
        <w:t>;</w:t>
      </w:r>
    </w:p>
    <w:p w14:paraId="403D02F2" w14:textId="77777777" w:rsidR="001C19EF" w:rsidRPr="001C19EF" w:rsidRDefault="001C19EF" w:rsidP="001C19EF">
      <w:pPr>
        <w:rPr>
          <w:rFonts w:cs="Arial"/>
          <w:b/>
          <w:color w:val="1F3864" w:themeColor="accent1" w:themeShade="80"/>
          <w:kern w:val="28"/>
          <w:sz w:val="22"/>
          <w:u w:val="single"/>
        </w:rPr>
      </w:pPr>
    </w:p>
    <w:p w14:paraId="68B23D0B" w14:textId="77777777" w:rsidR="00445CDB" w:rsidRPr="00184118" w:rsidRDefault="00445CDB" w:rsidP="00727957">
      <w:pPr>
        <w:rPr>
          <w:rFonts w:ascii="Verdana" w:hAnsi="Verdana"/>
          <w:sz w:val="18"/>
          <w:szCs w:val="18"/>
        </w:rPr>
      </w:pPr>
    </w:p>
    <w:p w14:paraId="5C7008C2" w14:textId="285C5A0D" w:rsidR="00783488" w:rsidRPr="00981B53" w:rsidRDefault="00783488" w:rsidP="00980240">
      <w:pPr>
        <w:pStyle w:val="Titre1"/>
      </w:pPr>
      <w:bookmarkStart w:id="66" w:name="_Toc139883263"/>
      <w:bookmarkStart w:id="67" w:name="_Toc142376080"/>
      <w:bookmarkStart w:id="68" w:name="_Toc142492154"/>
      <w:bookmarkStart w:id="69" w:name="_Toc142376083"/>
      <w:bookmarkStart w:id="70" w:name="_Toc142492157"/>
      <w:bookmarkStart w:id="71" w:name="_Toc142376084"/>
      <w:bookmarkStart w:id="72" w:name="_Toc142492158"/>
      <w:bookmarkStart w:id="73" w:name="_Toc142376085"/>
      <w:bookmarkStart w:id="74" w:name="_Toc142492159"/>
      <w:bookmarkStart w:id="75" w:name="_Toc142376086"/>
      <w:bookmarkStart w:id="76" w:name="_Toc142492160"/>
      <w:bookmarkStart w:id="77" w:name="_Toc142376087"/>
      <w:bookmarkStart w:id="78" w:name="_Toc142492161"/>
      <w:bookmarkStart w:id="79" w:name="_Toc142376088"/>
      <w:bookmarkStart w:id="80" w:name="_Toc142492162"/>
      <w:bookmarkStart w:id="81" w:name="_Toc142376090"/>
      <w:bookmarkStart w:id="82" w:name="_Toc142492164"/>
      <w:bookmarkStart w:id="83" w:name="_Toc114385031"/>
      <w:bookmarkStart w:id="84" w:name="_Toc167956964"/>
      <w:bookmarkEnd w:id="62"/>
      <w:bookmarkEnd w:id="63"/>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981B53">
        <w:t xml:space="preserve">Documents </w:t>
      </w:r>
      <w:r w:rsidRPr="00981B53">
        <w:rPr>
          <w:rFonts w:cs="Marianne"/>
        </w:rPr>
        <w:t>à</w:t>
      </w:r>
      <w:r w:rsidRPr="00981B53">
        <w:t xml:space="preserve"> fournir par l</w:t>
      </w:r>
      <w:r w:rsidR="00DD55E1">
        <w:t>e pouvoir adjudicateur</w:t>
      </w:r>
      <w:bookmarkEnd w:id="83"/>
      <w:bookmarkEnd w:id="84"/>
    </w:p>
    <w:p w14:paraId="510CD4EA" w14:textId="38ACB678" w:rsidR="005127EF" w:rsidRDefault="00DD55E1" w:rsidP="00CB0BD1">
      <w:r>
        <w:t>Le pouvoir adjudicateur</w:t>
      </w:r>
      <w:r w:rsidR="00783488" w:rsidRPr="00981B53">
        <w:t xml:space="preserve"> mettra à disposition du titulaire les documents en sa possession qui seraient nécessaires à la réalisation de</w:t>
      </w:r>
      <w:r w:rsidR="00CB0BD1">
        <w:t xml:space="preserve">s </w:t>
      </w:r>
      <w:r w:rsidR="00CB0BD1" w:rsidRPr="00620E73">
        <w:t>prestations</w:t>
      </w:r>
      <w:r w:rsidR="00783488" w:rsidRPr="00727957">
        <w:t>.</w:t>
      </w:r>
      <w:r w:rsidR="00620E73">
        <w:t xml:space="preserve"> </w:t>
      </w:r>
    </w:p>
    <w:p w14:paraId="4AD56F45" w14:textId="594C10AD" w:rsidR="00783488" w:rsidRPr="00981B53" w:rsidRDefault="00783488" w:rsidP="00980240">
      <w:pPr>
        <w:pStyle w:val="Titre1"/>
      </w:pPr>
      <w:bookmarkStart w:id="85" w:name="_Toc114385033"/>
      <w:bookmarkStart w:id="86" w:name="_Toc167956965"/>
      <w:r w:rsidRPr="00981B53">
        <w:t>D</w:t>
      </w:r>
      <w:r w:rsidRPr="00981B53">
        <w:rPr>
          <w:rFonts w:cs="Marianne"/>
        </w:rPr>
        <w:t>é</w:t>
      </w:r>
      <w:r w:rsidRPr="00981B53">
        <w:t>lais et prolongation du d</w:t>
      </w:r>
      <w:r w:rsidRPr="00981B53">
        <w:rPr>
          <w:rFonts w:cs="Marianne"/>
        </w:rPr>
        <w:t>é</w:t>
      </w:r>
      <w:r w:rsidRPr="00981B53">
        <w:t>lai</w:t>
      </w:r>
      <w:bookmarkEnd w:id="85"/>
      <w:r w:rsidRPr="00981B53">
        <w:t xml:space="preserve"> d</w:t>
      </w:r>
      <w:r w:rsidRPr="00981B53">
        <w:rPr>
          <w:rFonts w:cs="Marianne"/>
        </w:rPr>
        <w:t>’</w:t>
      </w:r>
      <w:r w:rsidRPr="00981B53">
        <w:t>ex</w:t>
      </w:r>
      <w:r w:rsidRPr="00981B53">
        <w:rPr>
          <w:rFonts w:cs="Marianne"/>
        </w:rPr>
        <w:t>é</w:t>
      </w:r>
      <w:r w:rsidRPr="00981B53">
        <w:t>cution</w:t>
      </w:r>
      <w:bookmarkEnd w:id="86"/>
    </w:p>
    <w:p w14:paraId="791A9330" w14:textId="229C4C9E" w:rsidR="00242ABA" w:rsidRPr="00242ABA" w:rsidRDefault="00242ABA" w:rsidP="00B85A0A">
      <w:pPr>
        <w:pStyle w:val="Titre3"/>
      </w:pPr>
      <w:bookmarkStart w:id="87" w:name="_Toc167956966"/>
      <w:r w:rsidRPr="00242ABA">
        <w:t>Délais d’exécution</w:t>
      </w:r>
      <w:bookmarkEnd w:id="87"/>
    </w:p>
    <w:p w14:paraId="1EBC751B" w14:textId="77777777" w:rsidR="00834052" w:rsidRDefault="00834052" w:rsidP="00727957"/>
    <w:p w14:paraId="71575069" w14:textId="77777777" w:rsidR="00834052" w:rsidRDefault="00834052" w:rsidP="00834052">
      <w:pPr>
        <w:rPr>
          <w:rFonts w:cs="Arial"/>
          <w:bCs/>
          <w:szCs w:val="18"/>
        </w:rPr>
      </w:pPr>
      <w:r w:rsidRPr="00F72251">
        <w:rPr>
          <w:rFonts w:cs="Arial"/>
          <w:bCs/>
          <w:szCs w:val="18"/>
        </w:rPr>
        <w:t>Des bons de commandes et des marchés subséquents pourront être notifiés au titulaire pendant toute la période de validité de l’accord-cadre. Les bons de commande et les marchés subséquents peuvent être adressés à compter de la date de notification de l’</w:t>
      </w:r>
      <w:r>
        <w:rPr>
          <w:rFonts w:cs="Arial"/>
          <w:bCs/>
          <w:szCs w:val="18"/>
        </w:rPr>
        <w:t>a</w:t>
      </w:r>
      <w:r w:rsidRPr="00F72251">
        <w:rPr>
          <w:rFonts w:cs="Arial"/>
          <w:bCs/>
          <w:szCs w:val="18"/>
        </w:rPr>
        <w:t>ccord-cadre jusqu’à son échéance.</w:t>
      </w:r>
    </w:p>
    <w:p w14:paraId="1AC84FCA" w14:textId="77777777" w:rsidR="00834052" w:rsidRDefault="00834052" w:rsidP="00727957"/>
    <w:p w14:paraId="2A50421D" w14:textId="4AA45E24" w:rsidR="00727957" w:rsidRDefault="00727957" w:rsidP="00727957">
      <w:r w:rsidRPr="00A455E3">
        <w:t xml:space="preserve">Le tableau ci-après fixe, pour les principaux éléments de mission, sauf indication différente dans le </w:t>
      </w:r>
      <w:r>
        <w:t xml:space="preserve">bon de commande ou </w:t>
      </w:r>
      <w:r w:rsidRPr="00A455E3">
        <w:t>marché subséquent des délais (en semaines ou jours calendaires), leurs points de départ et les montants des pénalités</w:t>
      </w:r>
    </w:p>
    <w:p w14:paraId="7FC9098B" w14:textId="77777777" w:rsidR="00834052" w:rsidRPr="00A455E3" w:rsidRDefault="00834052" w:rsidP="00727957"/>
    <w:tbl>
      <w:tblPr>
        <w:tblW w:w="9072" w:type="dxa"/>
        <w:tblInd w:w="70" w:type="dxa"/>
        <w:tblBorders>
          <w:top w:val="single" w:sz="6" w:space="0" w:color="auto"/>
          <w:bottom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2127"/>
        <w:gridCol w:w="1559"/>
        <w:gridCol w:w="5386"/>
      </w:tblGrid>
      <w:tr w:rsidR="008B5CBB" w:rsidRPr="008B5CBB" w14:paraId="3E3F75CA" w14:textId="77777777" w:rsidTr="008125FC">
        <w:trPr>
          <w:cantSplit/>
        </w:trPr>
        <w:tc>
          <w:tcPr>
            <w:tcW w:w="2127" w:type="dxa"/>
            <w:shd w:val="clear" w:color="auto" w:fill="E0E0E0"/>
          </w:tcPr>
          <w:p w14:paraId="28EC05A2" w14:textId="77777777" w:rsidR="008B5CBB" w:rsidRPr="00B85A0A" w:rsidRDefault="008B5CBB" w:rsidP="008B5CBB">
            <w:pPr>
              <w:spacing w:before="120" w:after="120" w:line="276" w:lineRule="auto"/>
              <w:rPr>
                <w:rFonts w:cs="Calibri"/>
                <w:b/>
                <w:bCs/>
              </w:rPr>
            </w:pPr>
            <w:r w:rsidRPr="00B85A0A">
              <w:rPr>
                <w:rFonts w:cs="Calibri"/>
                <w:b/>
                <w:bCs/>
              </w:rPr>
              <w:t>Livrable</w:t>
            </w:r>
          </w:p>
        </w:tc>
        <w:tc>
          <w:tcPr>
            <w:tcW w:w="1559" w:type="dxa"/>
            <w:shd w:val="clear" w:color="auto" w:fill="E0E0E0"/>
          </w:tcPr>
          <w:p w14:paraId="01A0D7B2" w14:textId="77777777" w:rsidR="008B5CBB" w:rsidRPr="00B85A0A" w:rsidRDefault="008B5CBB" w:rsidP="008B5CBB">
            <w:pPr>
              <w:spacing w:before="120" w:after="120" w:line="276" w:lineRule="auto"/>
              <w:jc w:val="center"/>
              <w:rPr>
                <w:rFonts w:cs="Calibri"/>
                <w:b/>
                <w:bCs/>
              </w:rPr>
            </w:pPr>
            <w:r w:rsidRPr="00B85A0A">
              <w:rPr>
                <w:rFonts w:cs="Calibri"/>
                <w:b/>
                <w:bCs/>
              </w:rPr>
              <w:t>Délai</w:t>
            </w:r>
          </w:p>
        </w:tc>
        <w:tc>
          <w:tcPr>
            <w:tcW w:w="5386" w:type="dxa"/>
            <w:shd w:val="clear" w:color="auto" w:fill="E0E0E0"/>
          </w:tcPr>
          <w:p w14:paraId="127F71DA" w14:textId="77777777" w:rsidR="008B5CBB" w:rsidRPr="00B85A0A" w:rsidRDefault="008B5CBB" w:rsidP="008B5CBB">
            <w:pPr>
              <w:spacing w:before="120" w:after="120" w:line="276" w:lineRule="auto"/>
              <w:jc w:val="center"/>
              <w:rPr>
                <w:rFonts w:cs="Calibri"/>
                <w:b/>
                <w:bCs/>
              </w:rPr>
            </w:pPr>
            <w:r w:rsidRPr="00B85A0A">
              <w:rPr>
                <w:rFonts w:cs="Calibri"/>
                <w:b/>
                <w:bCs/>
              </w:rPr>
              <w:t>Point de départ du délai</w:t>
            </w:r>
          </w:p>
        </w:tc>
      </w:tr>
    </w:tbl>
    <w:tbl>
      <w:tblPr>
        <w:tblW w:w="9072" w:type="dxa"/>
        <w:tblInd w:w="70" w:type="dxa"/>
        <w:tblBorders>
          <w:top w:val="single" w:sz="6" w:space="0" w:color="auto"/>
          <w:bottom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2340"/>
        <w:gridCol w:w="1701"/>
        <w:gridCol w:w="5031"/>
      </w:tblGrid>
      <w:tr w:rsidR="008B5CBB" w:rsidRPr="008B5CBB" w14:paraId="52244901" w14:textId="77777777" w:rsidTr="008125FC">
        <w:trPr>
          <w:cantSplit/>
        </w:trPr>
        <w:tc>
          <w:tcPr>
            <w:tcW w:w="2340" w:type="dxa"/>
            <w:tcBorders>
              <w:top w:val="dotted" w:sz="4" w:space="0" w:color="auto"/>
              <w:bottom w:val="dotted" w:sz="4" w:space="0" w:color="auto"/>
            </w:tcBorders>
            <w:vAlign w:val="center"/>
          </w:tcPr>
          <w:p w14:paraId="23969133" w14:textId="3B9EC955"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lastRenderedPageBreak/>
              <w:t>Rapports d’analyse des AP</w:t>
            </w:r>
            <w:r w:rsidR="00951048">
              <w:rPr>
                <w:rFonts w:cs="Verdana"/>
                <w:color w:val="000000"/>
              </w:rPr>
              <w:t>S ou APD</w:t>
            </w:r>
            <w:r w:rsidRPr="00B85A0A">
              <w:rPr>
                <w:rFonts w:cs="Verdana"/>
                <w:color w:val="000000"/>
              </w:rPr>
              <w:t xml:space="preserve"> ou PRO-DCE</w:t>
            </w:r>
          </w:p>
        </w:tc>
        <w:tc>
          <w:tcPr>
            <w:tcW w:w="1701" w:type="dxa"/>
            <w:tcBorders>
              <w:top w:val="dotted" w:sz="4" w:space="0" w:color="auto"/>
              <w:bottom w:val="dotted" w:sz="4" w:space="0" w:color="auto"/>
            </w:tcBorders>
            <w:vAlign w:val="center"/>
          </w:tcPr>
          <w:p w14:paraId="624D2658"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2 sem.</w:t>
            </w:r>
          </w:p>
        </w:tc>
        <w:tc>
          <w:tcPr>
            <w:tcW w:w="5031" w:type="dxa"/>
            <w:tcBorders>
              <w:top w:val="dotted" w:sz="4" w:space="0" w:color="auto"/>
              <w:bottom w:val="dotted" w:sz="4" w:space="0" w:color="auto"/>
            </w:tcBorders>
            <w:vAlign w:val="center"/>
          </w:tcPr>
          <w:p w14:paraId="44C4EF7C"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Transmission des rapports AVP ou PRO-DCE au titulaire</w:t>
            </w:r>
          </w:p>
        </w:tc>
      </w:tr>
      <w:tr w:rsidR="008B5CBB" w:rsidRPr="008B5CBB" w14:paraId="32005A14" w14:textId="77777777" w:rsidTr="008125FC">
        <w:trPr>
          <w:cantSplit/>
        </w:trPr>
        <w:tc>
          <w:tcPr>
            <w:tcW w:w="2340" w:type="dxa"/>
            <w:tcBorders>
              <w:top w:val="dotted" w:sz="4" w:space="0" w:color="auto"/>
              <w:bottom w:val="dotted" w:sz="4" w:space="0" w:color="auto"/>
            </w:tcBorders>
            <w:vAlign w:val="center"/>
          </w:tcPr>
          <w:p w14:paraId="551186DA" w14:textId="6A3C8E83"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PG</w:t>
            </w:r>
            <w:r w:rsidR="00996D85">
              <w:rPr>
                <w:rFonts w:cs="Verdana"/>
                <w:color w:val="000000"/>
              </w:rPr>
              <w:t>(S)</w:t>
            </w:r>
            <w:r w:rsidRPr="00B85A0A">
              <w:rPr>
                <w:rFonts w:cs="Verdana"/>
                <w:color w:val="000000"/>
              </w:rPr>
              <w:t>CSPS</w:t>
            </w:r>
            <w:r w:rsidR="001F0720">
              <w:rPr>
                <w:rFonts w:cs="Verdana"/>
                <w:color w:val="000000"/>
              </w:rPr>
              <w:t xml:space="preserve"> ou Plan de Prévention</w:t>
            </w:r>
          </w:p>
        </w:tc>
        <w:tc>
          <w:tcPr>
            <w:tcW w:w="1701" w:type="dxa"/>
            <w:tcBorders>
              <w:top w:val="dotted" w:sz="4" w:space="0" w:color="auto"/>
              <w:bottom w:val="dotted" w:sz="4" w:space="0" w:color="auto"/>
            </w:tcBorders>
            <w:vAlign w:val="center"/>
          </w:tcPr>
          <w:p w14:paraId="1C6F2AB8"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 xml:space="preserve">2 sem. </w:t>
            </w:r>
          </w:p>
        </w:tc>
        <w:tc>
          <w:tcPr>
            <w:tcW w:w="5031" w:type="dxa"/>
            <w:tcBorders>
              <w:top w:val="dotted" w:sz="4" w:space="0" w:color="auto"/>
              <w:bottom w:val="dotted" w:sz="4" w:space="0" w:color="auto"/>
            </w:tcBorders>
            <w:vAlign w:val="center"/>
          </w:tcPr>
          <w:p w14:paraId="6FC6A04B" w14:textId="1797108D"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 xml:space="preserve">Date de notification du </w:t>
            </w:r>
            <w:r>
              <w:rPr>
                <w:rFonts w:cs="Verdana"/>
                <w:color w:val="000000"/>
              </w:rPr>
              <w:t xml:space="preserve">bon de commande ou du </w:t>
            </w:r>
            <w:r w:rsidRPr="00B85A0A">
              <w:rPr>
                <w:rFonts w:cs="Verdana"/>
                <w:color w:val="000000"/>
              </w:rPr>
              <w:t>marché</w:t>
            </w:r>
            <w:r>
              <w:rPr>
                <w:rFonts w:cs="Verdana"/>
                <w:color w:val="000000"/>
              </w:rPr>
              <w:t xml:space="preserve"> subséquent</w:t>
            </w:r>
          </w:p>
        </w:tc>
      </w:tr>
      <w:tr w:rsidR="008B5CBB" w:rsidRPr="008B5CBB" w14:paraId="246CA376" w14:textId="77777777" w:rsidTr="008125FC">
        <w:trPr>
          <w:cantSplit/>
        </w:trPr>
        <w:tc>
          <w:tcPr>
            <w:tcW w:w="2340" w:type="dxa"/>
            <w:tcBorders>
              <w:top w:val="dotted" w:sz="4" w:space="0" w:color="auto"/>
              <w:bottom w:val="dotted" w:sz="4" w:space="0" w:color="auto"/>
            </w:tcBorders>
            <w:vAlign w:val="center"/>
          </w:tcPr>
          <w:p w14:paraId="528C7C6B" w14:textId="4A30C6E9" w:rsidR="008B5CBB" w:rsidRPr="00B85A0A" w:rsidRDefault="00BF0073" w:rsidP="008B5CBB">
            <w:pPr>
              <w:framePr w:hSpace="142" w:wrap="notBeside" w:vAnchor="text" w:hAnchor="text" w:y="1"/>
              <w:spacing w:before="120" w:after="120" w:line="276" w:lineRule="auto"/>
              <w:jc w:val="left"/>
              <w:rPr>
                <w:rFonts w:cs="Verdana"/>
                <w:color w:val="000000"/>
              </w:rPr>
            </w:pPr>
            <w:r>
              <w:rPr>
                <w:rFonts w:cs="Verdana"/>
                <w:color w:val="000000"/>
              </w:rPr>
              <w:t>Visite et c</w:t>
            </w:r>
            <w:r w:rsidR="008B5CBB" w:rsidRPr="00B85A0A">
              <w:rPr>
                <w:rFonts w:cs="Verdana"/>
                <w:color w:val="000000"/>
              </w:rPr>
              <w:t>ompte-rendu VIC</w:t>
            </w:r>
          </w:p>
        </w:tc>
        <w:tc>
          <w:tcPr>
            <w:tcW w:w="1701" w:type="dxa"/>
            <w:tcBorders>
              <w:top w:val="dotted" w:sz="4" w:space="0" w:color="auto"/>
              <w:bottom w:val="dotted" w:sz="4" w:space="0" w:color="auto"/>
            </w:tcBorders>
            <w:vAlign w:val="center"/>
          </w:tcPr>
          <w:p w14:paraId="728DF5D3"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1 sem.</w:t>
            </w:r>
          </w:p>
        </w:tc>
        <w:tc>
          <w:tcPr>
            <w:tcW w:w="5031" w:type="dxa"/>
            <w:tcBorders>
              <w:top w:val="dotted" w:sz="4" w:space="0" w:color="auto"/>
              <w:bottom w:val="dotted" w:sz="4" w:space="0" w:color="auto"/>
            </w:tcBorders>
            <w:vAlign w:val="center"/>
          </w:tcPr>
          <w:p w14:paraId="5AE2799B" w14:textId="08E72103" w:rsidR="00BF0073" w:rsidRDefault="00BF0073" w:rsidP="008B5CBB">
            <w:pPr>
              <w:framePr w:hSpace="142" w:wrap="notBeside" w:vAnchor="text" w:hAnchor="text" w:y="1"/>
              <w:spacing w:before="120" w:after="120" w:line="276" w:lineRule="auto"/>
              <w:jc w:val="left"/>
              <w:rPr>
                <w:rFonts w:cs="Verdana"/>
                <w:color w:val="000000"/>
              </w:rPr>
            </w:pPr>
            <w:r>
              <w:rPr>
                <w:rFonts w:cs="Verdana"/>
                <w:color w:val="000000"/>
              </w:rPr>
              <w:t>Date de la demande de l’entreprise</w:t>
            </w:r>
          </w:p>
          <w:p w14:paraId="4B1CA181" w14:textId="2D84CE13"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la VIC</w:t>
            </w:r>
          </w:p>
        </w:tc>
      </w:tr>
      <w:tr w:rsidR="008B5CBB" w:rsidRPr="008B5CBB" w14:paraId="6D883DEE" w14:textId="77777777" w:rsidTr="008125FC">
        <w:trPr>
          <w:cantSplit/>
        </w:trPr>
        <w:tc>
          <w:tcPr>
            <w:tcW w:w="2340" w:type="dxa"/>
            <w:tcBorders>
              <w:top w:val="dotted" w:sz="4" w:space="0" w:color="auto"/>
              <w:bottom w:val="dotted" w:sz="4" w:space="0" w:color="auto"/>
            </w:tcBorders>
            <w:vAlign w:val="center"/>
          </w:tcPr>
          <w:p w14:paraId="76C7B849"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Analyse sur les PPSPS entreprises</w:t>
            </w:r>
          </w:p>
        </w:tc>
        <w:tc>
          <w:tcPr>
            <w:tcW w:w="1701" w:type="dxa"/>
            <w:tcBorders>
              <w:top w:val="dotted" w:sz="4" w:space="0" w:color="auto"/>
              <w:bottom w:val="dotted" w:sz="4" w:space="0" w:color="auto"/>
            </w:tcBorders>
            <w:vAlign w:val="center"/>
          </w:tcPr>
          <w:p w14:paraId="66F5C13A" w14:textId="3BFE971D"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1 sem.</w:t>
            </w:r>
          </w:p>
        </w:tc>
        <w:tc>
          <w:tcPr>
            <w:tcW w:w="5031" w:type="dxa"/>
            <w:tcBorders>
              <w:top w:val="dotted" w:sz="4" w:space="0" w:color="auto"/>
              <w:bottom w:val="dotted" w:sz="4" w:space="0" w:color="auto"/>
            </w:tcBorders>
            <w:vAlign w:val="center"/>
          </w:tcPr>
          <w:p w14:paraId="7D02BFE2"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transmission du PPSPS au titulaire</w:t>
            </w:r>
          </w:p>
        </w:tc>
      </w:tr>
      <w:tr w:rsidR="008B5CBB" w:rsidRPr="008B5CBB" w14:paraId="4A313012" w14:textId="77777777" w:rsidTr="008125FC">
        <w:trPr>
          <w:cantSplit/>
        </w:trPr>
        <w:tc>
          <w:tcPr>
            <w:tcW w:w="2340" w:type="dxa"/>
            <w:tcBorders>
              <w:top w:val="dotted" w:sz="4" w:space="0" w:color="auto"/>
              <w:bottom w:val="dotted" w:sz="4" w:space="0" w:color="auto"/>
            </w:tcBorders>
            <w:vAlign w:val="center"/>
          </w:tcPr>
          <w:p w14:paraId="1EBCC4FB"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Compte-rendu visite de chantier</w:t>
            </w:r>
          </w:p>
        </w:tc>
        <w:tc>
          <w:tcPr>
            <w:tcW w:w="1701" w:type="dxa"/>
            <w:tcBorders>
              <w:top w:val="dotted" w:sz="4" w:space="0" w:color="auto"/>
              <w:bottom w:val="dotted" w:sz="4" w:space="0" w:color="auto"/>
            </w:tcBorders>
            <w:vAlign w:val="center"/>
          </w:tcPr>
          <w:p w14:paraId="4ADD8BDA"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2 jours ouvrés</w:t>
            </w:r>
          </w:p>
        </w:tc>
        <w:tc>
          <w:tcPr>
            <w:tcW w:w="5031" w:type="dxa"/>
            <w:tcBorders>
              <w:top w:val="dotted" w:sz="4" w:space="0" w:color="auto"/>
              <w:bottom w:val="dotted" w:sz="4" w:space="0" w:color="auto"/>
            </w:tcBorders>
            <w:vAlign w:val="center"/>
          </w:tcPr>
          <w:p w14:paraId="304B0CA7"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la visite de chantier</w:t>
            </w:r>
          </w:p>
        </w:tc>
      </w:tr>
      <w:tr w:rsidR="008B5CBB" w:rsidRPr="008B5CBB" w14:paraId="36D35B94" w14:textId="77777777" w:rsidTr="008125FC">
        <w:trPr>
          <w:cantSplit/>
        </w:trPr>
        <w:tc>
          <w:tcPr>
            <w:tcW w:w="2340" w:type="dxa"/>
            <w:tcBorders>
              <w:top w:val="dotted" w:sz="4" w:space="0" w:color="auto"/>
              <w:bottom w:val="dotted" w:sz="4" w:space="0" w:color="auto"/>
            </w:tcBorders>
            <w:vAlign w:val="center"/>
          </w:tcPr>
          <w:p w14:paraId="5C0DEE5D"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Registre journal</w:t>
            </w:r>
          </w:p>
        </w:tc>
        <w:tc>
          <w:tcPr>
            <w:tcW w:w="1701" w:type="dxa"/>
            <w:tcBorders>
              <w:top w:val="dotted" w:sz="4" w:space="0" w:color="auto"/>
              <w:bottom w:val="dotted" w:sz="4" w:space="0" w:color="auto"/>
            </w:tcBorders>
            <w:vAlign w:val="center"/>
          </w:tcPr>
          <w:p w14:paraId="1D7E5F19"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2 sem.</w:t>
            </w:r>
          </w:p>
        </w:tc>
        <w:tc>
          <w:tcPr>
            <w:tcW w:w="5031" w:type="dxa"/>
            <w:tcBorders>
              <w:top w:val="dotted" w:sz="4" w:space="0" w:color="auto"/>
              <w:bottom w:val="dotted" w:sz="4" w:space="0" w:color="auto"/>
            </w:tcBorders>
            <w:vAlign w:val="center"/>
          </w:tcPr>
          <w:p w14:paraId="1412F87C"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la réception des travaux</w:t>
            </w:r>
          </w:p>
        </w:tc>
      </w:tr>
      <w:tr w:rsidR="008B5CBB" w:rsidRPr="008B5CBB" w14:paraId="1D047FBF" w14:textId="77777777" w:rsidTr="008125FC">
        <w:trPr>
          <w:cantSplit/>
        </w:trPr>
        <w:tc>
          <w:tcPr>
            <w:tcW w:w="2340" w:type="dxa"/>
            <w:tcBorders>
              <w:top w:val="dotted" w:sz="4" w:space="0" w:color="auto"/>
              <w:bottom w:val="dotted" w:sz="4" w:space="0" w:color="auto"/>
            </w:tcBorders>
            <w:vAlign w:val="center"/>
          </w:tcPr>
          <w:p w14:paraId="656D0EE3"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DIUO</w:t>
            </w:r>
          </w:p>
        </w:tc>
        <w:tc>
          <w:tcPr>
            <w:tcW w:w="1701" w:type="dxa"/>
            <w:tcBorders>
              <w:top w:val="dotted" w:sz="4" w:space="0" w:color="auto"/>
              <w:bottom w:val="dotted" w:sz="4" w:space="0" w:color="auto"/>
            </w:tcBorders>
            <w:vAlign w:val="center"/>
          </w:tcPr>
          <w:p w14:paraId="23E0F74E"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2 sem.</w:t>
            </w:r>
          </w:p>
        </w:tc>
        <w:tc>
          <w:tcPr>
            <w:tcW w:w="5031" w:type="dxa"/>
            <w:tcBorders>
              <w:top w:val="dotted" w:sz="4" w:space="0" w:color="auto"/>
              <w:bottom w:val="dotted" w:sz="4" w:space="0" w:color="auto"/>
            </w:tcBorders>
            <w:vAlign w:val="center"/>
          </w:tcPr>
          <w:p w14:paraId="087C20D7"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la réception des travaux</w:t>
            </w:r>
          </w:p>
        </w:tc>
      </w:tr>
      <w:tr w:rsidR="008B5CBB" w:rsidRPr="008B5CBB" w14:paraId="430E4A31" w14:textId="77777777" w:rsidTr="008125FC">
        <w:trPr>
          <w:cantSplit/>
        </w:trPr>
        <w:tc>
          <w:tcPr>
            <w:tcW w:w="2340" w:type="dxa"/>
            <w:tcBorders>
              <w:top w:val="dotted" w:sz="4" w:space="0" w:color="auto"/>
              <w:bottom w:val="dotted" w:sz="4" w:space="0" w:color="auto"/>
            </w:tcBorders>
            <w:vAlign w:val="center"/>
          </w:tcPr>
          <w:p w14:paraId="50A5793C"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Reprise / révision de tout livrable</w:t>
            </w:r>
          </w:p>
        </w:tc>
        <w:tc>
          <w:tcPr>
            <w:tcW w:w="1701" w:type="dxa"/>
            <w:tcBorders>
              <w:top w:val="dotted" w:sz="4" w:space="0" w:color="auto"/>
              <w:bottom w:val="dotted" w:sz="4" w:space="0" w:color="auto"/>
            </w:tcBorders>
            <w:vAlign w:val="center"/>
          </w:tcPr>
          <w:p w14:paraId="7728CB22"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2 jours ouvrés</w:t>
            </w:r>
          </w:p>
        </w:tc>
        <w:tc>
          <w:tcPr>
            <w:tcW w:w="5031" w:type="dxa"/>
            <w:tcBorders>
              <w:top w:val="dotted" w:sz="4" w:space="0" w:color="auto"/>
              <w:bottom w:val="dotted" w:sz="4" w:space="0" w:color="auto"/>
            </w:tcBorders>
            <w:vAlign w:val="center"/>
          </w:tcPr>
          <w:p w14:paraId="7305DD78" w14:textId="77777777" w:rsidR="008B5CBB" w:rsidRPr="00B85A0A" w:rsidRDefault="008B5CBB" w:rsidP="008B5CBB">
            <w:pPr>
              <w:framePr w:hSpace="142" w:wrap="notBeside" w:vAnchor="text" w:hAnchor="text" w:y="1"/>
              <w:spacing w:before="120" w:after="120" w:line="276" w:lineRule="auto"/>
              <w:jc w:val="left"/>
              <w:rPr>
                <w:rFonts w:cs="Verdana"/>
                <w:color w:val="000000"/>
              </w:rPr>
            </w:pPr>
            <w:r w:rsidRPr="00B85A0A">
              <w:rPr>
                <w:rFonts w:cs="Verdana"/>
                <w:color w:val="000000"/>
              </w:rPr>
              <w:t>Date de la demande du MOA</w:t>
            </w:r>
          </w:p>
        </w:tc>
      </w:tr>
    </w:tbl>
    <w:p w14:paraId="0AE03061" w14:textId="77777777" w:rsidR="008B5CBB" w:rsidRPr="00981B53" w:rsidRDefault="008B5CBB" w:rsidP="00CB0BD1"/>
    <w:p w14:paraId="513CC7E0" w14:textId="6133FF92" w:rsidR="00242ABA" w:rsidRDefault="00727957" w:rsidP="00B85A0A">
      <w:r>
        <w:t xml:space="preserve"> Conformément aux dispositions de</w:t>
      </w:r>
      <w:r w:rsidR="00242ABA" w:rsidRPr="00E56E28">
        <w:t xml:space="preserve"> l'article 13.1.2. </w:t>
      </w:r>
      <w:proofErr w:type="gramStart"/>
      <w:r w:rsidR="00242ABA" w:rsidRPr="00E56E28">
        <w:t>du</w:t>
      </w:r>
      <w:proofErr w:type="gramEnd"/>
      <w:r w:rsidR="00242ABA" w:rsidRPr="00E56E28">
        <w:t xml:space="preserve"> </w:t>
      </w:r>
      <w:r w:rsidR="006B6A08">
        <w:t>CCAG-PI</w:t>
      </w:r>
      <w:r w:rsidR="00242ABA" w:rsidRPr="00E56E28">
        <w:t>, le bon de commande pourra préciser une date de départ du délai d'exécution autre que la date de notification du bon de commande.</w:t>
      </w:r>
    </w:p>
    <w:p w14:paraId="140B01E5" w14:textId="165E5CD1" w:rsidR="00727957" w:rsidRDefault="00727957" w:rsidP="00B85A0A">
      <w:r w:rsidRPr="00652AF7">
        <w:t xml:space="preserve">Il est précisé que le déroulement des différentes missions </w:t>
      </w:r>
      <w:r>
        <w:t>listées à l’article 6 du CCP</w:t>
      </w:r>
      <w:r w:rsidRPr="00652AF7">
        <w:t xml:space="preserve"> n’est pas nécessairement séquentiel. </w:t>
      </w:r>
      <w:r>
        <w:t>Certaines missions</w:t>
      </w:r>
      <w:r w:rsidRPr="00652AF7">
        <w:t xml:space="preserve"> pourront être commandé</w:t>
      </w:r>
      <w:r>
        <w:t>e</w:t>
      </w:r>
      <w:r w:rsidRPr="00652AF7">
        <w:t>s simultanément par le pouvoir adjudicateur. Dans ce cas les délais ne sont pas cumulables.</w:t>
      </w:r>
    </w:p>
    <w:p w14:paraId="349D40D8" w14:textId="77777777" w:rsidR="00727957" w:rsidRDefault="00727957" w:rsidP="00CB0BD1"/>
    <w:p w14:paraId="7FC4CA28" w14:textId="77777777" w:rsidR="00FE65F5" w:rsidRDefault="00FE65F5" w:rsidP="0009371D">
      <w:pPr>
        <w:rPr>
          <w:rFonts w:ascii="Verdana" w:hAnsi="Verdana"/>
          <w:sz w:val="18"/>
          <w:szCs w:val="18"/>
        </w:rPr>
      </w:pPr>
    </w:p>
    <w:p w14:paraId="3B8C641B" w14:textId="32EDEDF7" w:rsidR="00FE65F5" w:rsidRPr="00242ABA" w:rsidRDefault="00FE65F5" w:rsidP="00C5374A">
      <w:pPr>
        <w:pStyle w:val="Titre3"/>
      </w:pPr>
      <w:bookmarkStart w:id="88" w:name="_Toc167956967"/>
      <w:r>
        <w:t>Délais d’acceptation des documents</w:t>
      </w:r>
      <w:bookmarkEnd w:id="88"/>
      <w:r w:rsidRPr="00242ABA">
        <w:t xml:space="preserve"> </w:t>
      </w:r>
    </w:p>
    <w:p w14:paraId="751BE98F" w14:textId="002DA6B9" w:rsidR="00282340" w:rsidRDefault="001C19EF" w:rsidP="00CB0BD1">
      <w:r>
        <w:t>Par dérogation à l’article 28.2 du CCAG-PI, l</w:t>
      </w:r>
      <w:r w:rsidR="00FE65F5">
        <w:t>a décision par le M</w:t>
      </w:r>
      <w:r w:rsidR="00CB0BD1">
        <w:t>OA</w:t>
      </w:r>
      <w:r w:rsidR="00FE65F5">
        <w:t xml:space="preserve"> de réception, d’ajournement, de réception avec réfaction ou de rejet des documents remis par le Titulaire doivent intervenir à l’expiration d’un délai de </w:t>
      </w:r>
      <w:r w:rsidR="00107A74">
        <w:t>30</w:t>
      </w:r>
      <w:r w:rsidR="00FE65F5">
        <w:t xml:space="preserve"> jours.</w:t>
      </w:r>
    </w:p>
    <w:p w14:paraId="4ADC1865" w14:textId="5B39EC11" w:rsidR="00FE65F5" w:rsidRDefault="00FE65F5" w:rsidP="00CB0BD1">
      <w:r>
        <w:t>Ce délai cour</w:t>
      </w:r>
      <w:r w:rsidR="00555C15">
        <w:t>t</w:t>
      </w:r>
      <w:r>
        <w:t xml:space="preserve"> à compter de la date d’accusé de réception par le M</w:t>
      </w:r>
      <w:r w:rsidR="00CB0BD1">
        <w:t>OA</w:t>
      </w:r>
      <w:r>
        <w:t xml:space="preserve"> du document à réceptionner.</w:t>
      </w:r>
      <w:r w:rsidR="00CB0BD1">
        <w:t xml:space="preserve"> Cet accusé de réception peut être électronique.</w:t>
      </w:r>
    </w:p>
    <w:p w14:paraId="2DB96B73" w14:textId="58223DF6" w:rsidR="00FE65F5" w:rsidRDefault="00FE65F5" w:rsidP="00CB0BD1">
      <w:r>
        <w:t>En cas de rejet ou d’ajournement, le M</w:t>
      </w:r>
      <w:r w:rsidR="00CB0BD1">
        <w:t>OA</w:t>
      </w:r>
      <w:r>
        <w:t xml:space="preserve"> dispose pour donner son avis, après présentation par le Titulaire des documents modifiés, du même délai que celui indiqués ci-dessus.</w:t>
      </w:r>
    </w:p>
    <w:p w14:paraId="074376EF" w14:textId="25A7DED0" w:rsidR="00242ABA" w:rsidRPr="00242ABA" w:rsidRDefault="00242ABA" w:rsidP="00C5374A">
      <w:pPr>
        <w:pStyle w:val="Titre3"/>
      </w:pPr>
      <w:bookmarkStart w:id="89" w:name="_Toc167956968"/>
      <w:bookmarkStart w:id="90" w:name="_Toc114385035"/>
      <w:r>
        <w:t>Prolongation d</w:t>
      </w:r>
      <w:r w:rsidR="006A124E">
        <w:t>es</w:t>
      </w:r>
      <w:r w:rsidRPr="00242ABA">
        <w:t xml:space="preserve"> délai</w:t>
      </w:r>
      <w:r w:rsidR="006A124E">
        <w:t>s</w:t>
      </w:r>
      <w:r>
        <w:t xml:space="preserve"> d’exécution</w:t>
      </w:r>
      <w:bookmarkEnd w:id="89"/>
    </w:p>
    <w:p w14:paraId="423664C6" w14:textId="0C517843" w:rsidR="00242ABA" w:rsidRPr="00ED7C98" w:rsidRDefault="00242ABA" w:rsidP="00CB0BD1">
      <w:r w:rsidRPr="00ED7C98">
        <w:t>Le titulaire est tenu d’informer par tout moyen le pouvoir adjudicateur de toute circonstance qui mettrait en cause le</w:t>
      </w:r>
      <w:r w:rsidR="006A124E">
        <w:t>s</w:t>
      </w:r>
      <w:r w:rsidRPr="00ED7C98">
        <w:t xml:space="preserve"> délai</w:t>
      </w:r>
      <w:r w:rsidR="006A124E">
        <w:t>s</w:t>
      </w:r>
      <w:r w:rsidRPr="00ED7C98">
        <w:t xml:space="preserve"> d’exécution prévu </w:t>
      </w:r>
      <w:r w:rsidR="006A124E">
        <w:t>dans l’article 9.1 du présent CCP</w:t>
      </w:r>
      <w:r w:rsidRPr="00ED7C98">
        <w:t>.</w:t>
      </w:r>
    </w:p>
    <w:p w14:paraId="3BC4D161" w14:textId="08E228DD" w:rsidR="00873D92" w:rsidRPr="00ED7C98" w:rsidRDefault="00412F3B" w:rsidP="00CB0BD1">
      <w:bookmarkStart w:id="91" w:name="_Toc499903668"/>
      <w:r w:rsidRPr="00ED7C98">
        <w:t>Par dérogation à l’article 13.3.2 du CCAG-PI, le titulaire peut bénéficier des dispositions de l’article 13.3.1 du CCAG-PI par le simple constat par le pouvoir adjudicateur de la survenance d’évènements f</w:t>
      </w:r>
      <w:r w:rsidR="00C53DFD" w:rsidRPr="00ED7C98">
        <w:t>aisant obstacle à l’exécution de</w:t>
      </w:r>
      <w:r w:rsidRPr="00ED7C98">
        <w:t xml:space="preserve"> </w:t>
      </w:r>
      <w:r w:rsidR="00C53DFD" w:rsidRPr="00ED7C98">
        <w:t xml:space="preserve">l’accord-cadre </w:t>
      </w:r>
      <w:r w:rsidRPr="00ED7C98">
        <w:t>dans le délai contractuel. L’importance de la prolongation de</w:t>
      </w:r>
      <w:r w:rsidR="006A124E">
        <w:t>s</w:t>
      </w:r>
      <w:r w:rsidRPr="00ED7C98">
        <w:t xml:space="preserve"> délai</w:t>
      </w:r>
      <w:r w:rsidR="006A124E">
        <w:t>s</w:t>
      </w:r>
      <w:r w:rsidRPr="00ED7C98">
        <w:t xml:space="preserve"> est débattue entre le titulaire et le pouvoir adjudicateur. La décision est prise par le pouvoir adjudicateur et notifiée au titulaire</w:t>
      </w:r>
      <w:r w:rsidR="008B5CBB">
        <w:t>.</w:t>
      </w:r>
      <w:bookmarkEnd w:id="91"/>
    </w:p>
    <w:p w14:paraId="08A13ABA" w14:textId="0D9FF288" w:rsidR="00783488" w:rsidRPr="00651311" w:rsidRDefault="00783488" w:rsidP="00980240">
      <w:pPr>
        <w:pStyle w:val="Titre1"/>
      </w:pPr>
      <w:bookmarkStart w:id="92" w:name="_Toc167956969"/>
      <w:r w:rsidRPr="00651311">
        <w:t>P</w:t>
      </w:r>
      <w:r w:rsidRPr="00651311">
        <w:rPr>
          <w:rFonts w:cs="Marianne"/>
        </w:rPr>
        <w:t>é</w:t>
      </w:r>
      <w:r w:rsidRPr="00651311">
        <w:t>nalit</w:t>
      </w:r>
      <w:r w:rsidRPr="00651311">
        <w:rPr>
          <w:rFonts w:cs="Marianne"/>
        </w:rPr>
        <w:t>é</w:t>
      </w:r>
      <w:r w:rsidRPr="00651311">
        <w:t>s pour retard</w:t>
      </w:r>
      <w:bookmarkEnd w:id="90"/>
      <w:bookmarkEnd w:id="92"/>
    </w:p>
    <w:p w14:paraId="13234DBE" w14:textId="79B26B62" w:rsidR="00D15D8B" w:rsidRPr="00727957" w:rsidRDefault="00994DE5" w:rsidP="00D612E0">
      <w:r w:rsidRPr="00BD1AF3">
        <w:t>Par dérogation à l'article 14.1.</w:t>
      </w:r>
      <w:r w:rsidR="004849A2">
        <w:t>1</w:t>
      </w:r>
      <w:r w:rsidRPr="00BD1AF3">
        <w:t xml:space="preserve"> du </w:t>
      </w:r>
      <w:r w:rsidR="006B6A08" w:rsidRPr="00BD1AF3">
        <w:t>CCAG-PI</w:t>
      </w:r>
      <w:r w:rsidRPr="00BD1AF3">
        <w:t xml:space="preserve">, </w:t>
      </w:r>
      <w:r w:rsidR="00D15D8B">
        <w:t>il sera fait application des pénalités suivantes</w:t>
      </w:r>
      <w:r w:rsidR="00D15D8B">
        <w:rPr>
          <w:rFonts w:ascii="Calibri" w:hAnsi="Calibri" w:cs="Calibri"/>
        </w:rPr>
        <w:t> </w:t>
      </w:r>
      <w:r w:rsidR="00D15D8B">
        <w:t>:</w:t>
      </w:r>
      <w:r w:rsidRPr="00BD1AF3">
        <w:t xml:space="preserve"> </w:t>
      </w:r>
    </w:p>
    <w:tbl>
      <w:tblPr>
        <w:tblW w:w="8401" w:type="dxa"/>
        <w:tblInd w:w="70" w:type="dxa"/>
        <w:tblBorders>
          <w:top w:val="single" w:sz="6" w:space="0" w:color="auto"/>
          <w:bottom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5459"/>
        <w:gridCol w:w="2942"/>
      </w:tblGrid>
      <w:tr w:rsidR="00996D85" w:rsidRPr="00996D85" w14:paraId="046E67F7" w14:textId="77777777" w:rsidTr="00727957">
        <w:trPr>
          <w:cantSplit/>
        </w:trPr>
        <w:tc>
          <w:tcPr>
            <w:tcW w:w="5459" w:type="dxa"/>
            <w:shd w:val="clear" w:color="auto" w:fill="D9D9D9" w:themeFill="background1" w:themeFillShade="D9"/>
          </w:tcPr>
          <w:p w14:paraId="4C6A2234" w14:textId="7D16B419" w:rsidR="00996D85" w:rsidRPr="00727957" w:rsidRDefault="00996D85" w:rsidP="00BD06B9">
            <w:pPr>
              <w:rPr>
                <w:rFonts w:cs="Calibri"/>
                <w:b/>
                <w:bCs/>
              </w:rPr>
            </w:pPr>
            <w:r w:rsidRPr="00727957">
              <w:rPr>
                <w:rFonts w:cs="Calibri"/>
                <w:b/>
                <w:bCs/>
              </w:rPr>
              <w:t>Item</w:t>
            </w:r>
          </w:p>
        </w:tc>
        <w:tc>
          <w:tcPr>
            <w:tcW w:w="2942" w:type="dxa"/>
            <w:shd w:val="clear" w:color="auto" w:fill="D9D9D9" w:themeFill="background1" w:themeFillShade="D9"/>
          </w:tcPr>
          <w:p w14:paraId="18EE2E2E" w14:textId="77777777" w:rsidR="00996D85" w:rsidRPr="00727957" w:rsidRDefault="00996D85" w:rsidP="00BD06B9">
            <w:pPr>
              <w:rPr>
                <w:rFonts w:cs="Calibri"/>
                <w:b/>
                <w:bCs/>
              </w:rPr>
            </w:pPr>
            <w:r w:rsidRPr="00727957">
              <w:rPr>
                <w:rFonts w:cs="Calibri"/>
                <w:b/>
                <w:bCs/>
              </w:rPr>
              <w:t>Pénalités en cas de retard</w:t>
            </w:r>
          </w:p>
        </w:tc>
      </w:tr>
      <w:tr w:rsidR="00996D85" w:rsidRPr="00996D85" w14:paraId="16EF7F43" w14:textId="77777777" w:rsidTr="00727957">
        <w:trPr>
          <w:cantSplit/>
        </w:trPr>
        <w:tc>
          <w:tcPr>
            <w:tcW w:w="5459" w:type="dxa"/>
            <w:tcBorders>
              <w:bottom w:val="dotted" w:sz="4" w:space="0" w:color="auto"/>
            </w:tcBorders>
            <w:shd w:val="clear" w:color="auto" w:fill="auto"/>
            <w:vAlign w:val="center"/>
          </w:tcPr>
          <w:p w14:paraId="1A972CA0" w14:textId="2D664492" w:rsidR="00996D85" w:rsidRPr="00727957" w:rsidRDefault="00996D85" w:rsidP="00BD06B9">
            <w:pPr>
              <w:pStyle w:val="Corpsdetexte"/>
              <w:rPr>
                <w:rFonts w:cs="Verdana"/>
              </w:rPr>
            </w:pPr>
            <w:r w:rsidRPr="00727957">
              <w:rPr>
                <w:rFonts w:cs="Verdana"/>
              </w:rPr>
              <w:t>Absence à une réunion</w:t>
            </w:r>
          </w:p>
        </w:tc>
        <w:tc>
          <w:tcPr>
            <w:tcW w:w="2942" w:type="dxa"/>
            <w:tcBorders>
              <w:bottom w:val="dotted" w:sz="4" w:space="0" w:color="auto"/>
            </w:tcBorders>
            <w:shd w:val="clear" w:color="auto" w:fill="auto"/>
            <w:vAlign w:val="center"/>
          </w:tcPr>
          <w:p w14:paraId="65F8DAD1" w14:textId="30D76C28" w:rsidR="00996D85" w:rsidRPr="00727957" w:rsidRDefault="00996D85" w:rsidP="00BD06B9">
            <w:pPr>
              <w:pStyle w:val="Corpsdetexte"/>
              <w:rPr>
                <w:rFonts w:cs="Verdana"/>
              </w:rPr>
            </w:pPr>
            <w:r w:rsidRPr="00727957">
              <w:rPr>
                <w:rFonts w:cs="Verdana"/>
              </w:rPr>
              <w:t>50 € par absence</w:t>
            </w:r>
          </w:p>
        </w:tc>
      </w:tr>
      <w:tr w:rsidR="00996D85" w:rsidRPr="00996D85" w14:paraId="4B9886A3" w14:textId="77777777" w:rsidTr="00727957">
        <w:trPr>
          <w:cantSplit/>
        </w:trPr>
        <w:tc>
          <w:tcPr>
            <w:tcW w:w="5459" w:type="dxa"/>
            <w:tcBorders>
              <w:top w:val="dotted" w:sz="4" w:space="0" w:color="auto"/>
              <w:bottom w:val="dotted" w:sz="4" w:space="0" w:color="auto"/>
            </w:tcBorders>
            <w:shd w:val="clear" w:color="auto" w:fill="auto"/>
            <w:vAlign w:val="center"/>
          </w:tcPr>
          <w:p w14:paraId="7CF1E010" w14:textId="77777777" w:rsidR="00996D85" w:rsidRPr="00727957" w:rsidRDefault="00996D85" w:rsidP="00985089">
            <w:pPr>
              <w:pStyle w:val="Corpsdetexte"/>
              <w:rPr>
                <w:rFonts w:cs="Verdana"/>
              </w:rPr>
            </w:pPr>
            <w:r w:rsidRPr="00727957">
              <w:rPr>
                <w:rFonts w:cs="Verdana"/>
              </w:rPr>
              <w:t>Remise du registre journal</w:t>
            </w:r>
          </w:p>
        </w:tc>
        <w:tc>
          <w:tcPr>
            <w:tcW w:w="2942" w:type="dxa"/>
            <w:tcBorders>
              <w:top w:val="dotted" w:sz="4" w:space="0" w:color="auto"/>
              <w:bottom w:val="dotted" w:sz="4" w:space="0" w:color="auto"/>
            </w:tcBorders>
            <w:shd w:val="clear" w:color="auto" w:fill="auto"/>
            <w:vAlign w:val="center"/>
          </w:tcPr>
          <w:p w14:paraId="35D1C5A8" w14:textId="33FFB46B" w:rsidR="00996D85" w:rsidRPr="00727957" w:rsidRDefault="00996D85" w:rsidP="00BD06B9">
            <w:pPr>
              <w:pStyle w:val="Corpsdetexte"/>
              <w:rPr>
                <w:rFonts w:cs="Verdana"/>
              </w:rPr>
            </w:pPr>
            <w:r w:rsidRPr="00727957">
              <w:rPr>
                <w:rFonts w:cs="Verdana"/>
              </w:rPr>
              <w:t>50 € par jour calendaire</w:t>
            </w:r>
          </w:p>
        </w:tc>
      </w:tr>
      <w:tr w:rsidR="00996D85" w:rsidRPr="00996D85" w14:paraId="35DFF5B7" w14:textId="77777777" w:rsidTr="00727957">
        <w:trPr>
          <w:cantSplit/>
        </w:trPr>
        <w:tc>
          <w:tcPr>
            <w:tcW w:w="5459" w:type="dxa"/>
            <w:tcBorders>
              <w:top w:val="dotted" w:sz="4" w:space="0" w:color="auto"/>
              <w:bottom w:val="dotted" w:sz="4" w:space="0" w:color="auto"/>
            </w:tcBorders>
            <w:shd w:val="clear" w:color="auto" w:fill="auto"/>
            <w:vAlign w:val="center"/>
          </w:tcPr>
          <w:p w14:paraId="3571F56E" w14:textId="07CE8ABB" w:rsidR="00996D85" w:rsidRPr="00727957" w:rsidRDefault="00996D85" w:rsidP="00BD06B9">
            <w:pPr>
              <w:pStyle w:val="Corpsdetexte"/>
              <w:rPr>
                <w:rFonts w:cs="Verdana"/>
              </w:rPr>
            </w:pPr>
            <w:r w:rsidRPr="00727957">
              <w:rPr>
                <w:rFonts w:cs="Verdana"/>
              </w:rPr>
              <w:lastRenderedPageBreak/>
              <w:t>Remise du PG(S)C</w:t>
            </w:r>
            <w:r>
              <w:rPr>
                <w:rFonts w:cs="Verdana"/>
              </w:rPr>
              <w:t xml:space="preserve"> ou du Plan de Prévention</w:t>
            </w:r>
          </w:p>
        </w:tc>
        <w:tc>
          <w:tcPr>
            <w:tcW w:w="2942" w:type="dxa"/>
            <w:tcBorders>
              <w:top w:val="dotted" w:sz="4" w:space="0" w:color="auto"/>
              <w:bottom w:val="dotted" w:sz="4" w:space="0" w:color="auto"/>
            </w:tcBorders>
            <w:shd w:val="clear" w:color="auto" w:fill="auto"/>
            <w:vAlign w:val="center"/>
          </w:tcPr>
          <w:p w14:paraId="1BE1860A" w14:textId="791A6B80" w:rsidR="00996D85" w:rsidRPr="00727957" w:rsidRDefault="00BF376E" w:rsidP="00BD06B9">
            <w:pPr>
              <w:pStyle w:val="Corpsdetexte"/>
              <w:rPr>
                <w:rFonts w:cs="Verdana"/>
              </w:rPr>
            </w:pPr>
            <w:r>
              <w:rPr>
                <w:rFonts w:cs="Verdana"/>
              </w:rPr>
              <w:t>10</w:t>
            </w:r>
            <w:r w:rsidR="00996D85" w:rsidRPr="00727957">
              <w:rPr>
                <w:rFonts w:cs="Verdana"/>
              </w:rPr>
              <w:t>0 € par jour calendaire</w:t>
            </w:r>
          </w:p>
        </w:tc>
      </w:tr>
      <w:tr w:rsidR="00996D85" w:rsidRPr="00996D85" w14:paraId="09D1CB34" w14:textId="77777777" w:rsidTr="00727957">
        <w:trPr>
          <w:cantSplit/>
        </w:trPr>
        <w:tc>
          <w:tcPr>
            <w:tcW w:w="5459" w:type="dxa"/>
            <w:tcBorders>
              <w:top w:val="dotted" w:sz="4" w:space="0" w:color="auto"/>
              <w:bottom w:val="dotted" w:sz="4" w:space="0" w:color="auto"/>
            </w:tcBorders>
            <w:shd w:val="clear" w:color="auto" w:fill="auto"/>
            <w:vAlign w:val="center"/>
          </w:tcPr>
          <w:p w14:paraId="6BE23D47" w14:textId="430BE8F1" w:rsidR="00996D85" w:rsidRPr="00727957" w:rsidRDefault="00996D85" w:rsidP="00BF3EC6">
            <w:pPr>
              <w:pStyle w:val="Corpsdetexte"/>
              <w:rPr>
                <w:rFonts w:cs="Verdana"/>
              </w:rPr>
            </w:pPr>
            <w:r w:rsidRPr="00727957">
              <w:rPr>
                <w:rFonts w:cs="Verdana"/>
              </w:rPr>
              <w:t>Remise des rapport</w:t>
            </w:r>
            <w:r w:rsidR="00834052">
              <w:rPr>
                <w:rFonts w:cs="Verdana"/>
              </w:rPr>
              <w:t>s</w:t>
            </w:r>
            <w:r w:rsidRPr="00727957">
              <w:rPr>
                <w:rFonts w:cs="Verdana"/>
              </w:rPr>
              <w:t xml:space="preserve"> d’analyse APS, APD ou PRO/DCE</w:t>
            </w:r>
          </w:p>
        </w:tc>
        <w:tc>
          <w:tcPr>
            <w:tcW w:w="2942" w:type="dxa"/>
            <w:tcBorders>
              <w:top w:val="dotted" w:sz="4" w:space="0" w:color="auto"/>
              <w:bottom w:val="dotted" w:sz="4" w:space="0" w:color="auto"/>
            </w:tcBorders>
            <w:shd w:val="clear" w:color="auto" w:fill="auto"/>
            <w:vAlign w:val="center"/>
          </w:tcPr>
          <w:p w14:paraId="1FF4B509" w14:textId="247F6830" w:rsidR="00996D85" w:rsidRPr="00727957" w:rsidRDefault="00BF376E" w:rsidP="00BD06B9">
            <w:pPr>
              <w:pStyle w:val="Corpsdetexte"/>
              <w:rPr>
                <w:rFonts w:cs="Verdana"/>
              </w:rPr>
            </w:pPr>
            <w:r>
              <w:rPr>
                <w:rFonts w:cs="Verdana"/>
              </w:rPr>
              <w:t xml:space="preserve">100 </w:t>
            </w:r>
            <w:r w:rsidR="00996D85" w:rsidRPr="00727957">
              <w:rPr>
                <w:rFonts w:cs="Verdana"/>
              </w:rPr>
              <w:t>€ par jour calendaire</w:t>
            </w:r>
          </w:p>
        </w:tc>
      </w:tr>
      <w:tr w:rsidR="00996D85" w:rsidRPr="00996D85" w14:paraId="40ECD003" w14:textId="77777777" w:rsidTr="00727957">
        <w:trPr>
          <w:cantSplit/>
        </w:trPr>
        <w:tc>
          <w:tcPr>
            <w:tcW w:w="5459" w:type="dxa"/>
            <w:tcBorders>
              <w:top w:val="dotted" w:sz="4" w:space="0" w:color="auto"/>
              <w:bottom w:val="dotted" w:sz="4" w:space="0" w:color="auto"/>
            </w:tcBorders>
            <w:shd w:val="clear" w:color="auto" w:fill="auto"/>
            <w:vAlign w:val="center"/>
          </w:tcPr>
          <w:p w14:paraId="506D2E74" w14:textId="79F3DA92" w:rsidR="00996D85" w:rsidRPr="00727957" w:rsidRDefault="00B51F1F" w:rsidP="00BD06B9">
            <w:pPr>
              <w:pStyle w:val="Corpsdetexte"/>
              <w:rPr>
                <w:rFonts w:cs="Verdana"/>
              </w:rPr>
            </w:pPr>
            <w:r>
              <w:rPr>
                <w:rFonts w:cs="Verdana"/>
              </w:rPr>
              <w:t>Compte-rendu d</w:t>
            </w:r>
            <w:r w:rsidR="00996D85" w:rsidRPr="00727957">
              <w:rPr>
                <w:rFonts w:cs="Verdana"/>
              </w:rPr>
              <w:t>e visite de chantier</w:t>
            </w:r>
          </w:p>
        </w:tc>
        <w:tc>
          <w:tcPr>
            <w:tcW w:w="2942" w:type="dxa"/>
            <w:tcBorders>
              <w:top w:val="dotted" w:sz="4" w:space="0" w:color="auto"/>
              <w:bottom w:val="dotted" w:sz="4" w:space="0" w:color="auto"/>
            </w:tcBorders>
            <w:shd w:val="clear" w:color="auto" w:fill="auto"/>
            <w:vAlign w:val="center"/>
          </w:tcPr>
          <w:p w14:paraId="2C688616" w14:textId="270CABDD" w:rsidR="00996D85" w:rsidRPr="00727957" w:rsidRDefault="00996D85" w:rsidP="00BD06B9">
            <w:pPr>
              <w:pStyle w:val="Corpsdetexte"/>
              <w:rPr>
                <w:rFonts w:cs="Verdana"/>
              </w:rPr>
            </w:pPr>
            <w:r w:rsidRPr="00727957">
              <w:rPr>
                <w:rFonts w:cs="Verdana"/>
              </w:rPr>
              <w:t>50 € par jour calendaire</w:t>
            </w:r>
          </w:p>
        </w:tc>
      </w:tr>
      <w:tr w:rsidR="00996D85" w:rsidRPr="00996D85" w14:paraId="079328F9" w14:textId="77777777" w:rsidTr="00727957">
        <w:trPr>
          <w:cantSplit/>
        </w:trPr>
        <w:tc>
          <w:tcPr>
            <w:tcW w:w="5459" w:type="dxa"/>
            <w:tcBorders>
              <w:top w:val="dotted" w:sz="4" w:space="0" w:color="auto"/>
              <w:bottom w:val="dotted" w:sz="4" w:space="0" w:color="auto"/>
            </w:tcBorders>
            <w:shd w:val="clear" w:color="auto" w:fill="auto"/>
            <w:vAlign w:val="center"/>
          </w:tcPr>
          <w:p w14:paraId="57F4CAA5" w14:textId="77777777" w:rsidR="00996D85" w:rsidRPr="00727957" w:rsidRDefault="00996D85" w:rsidP="00BD06B9">
            <w:pPr>
              <w:pStyle w:val="Corpsdetexte"/>
              <w:rPr>
                <w:rFonts w:cs="Verdana"/>
              </w:rPr>
            </w:pPr>
            <w:r w:rsidRPr="00727957">
              <w:rPr>
                <w:rFonts w:cs="Verdana"/>
              </w:rPr>
              <w:t>Rapport d’inspection commune</w:t>
            </w:r>
          </w:p>
        </w:tc>
        <w:tc>
          <w:tcPr>
            <w:tcW w:w="2942" w:type="dxa"/>
            <w:tcBorders>
              <w:top w:val="dotted" w:sz="4" w:space="0" w:color="auto"/>
              <w:bottom w:val="dotted" w:sz="4" w:space="0" w:color="auto"/>
            </w:tcBorders>
            <w:shd w:val="clear" w:color="auto" w:fill="auto"/>
            <w:vAlign w:val="center"/>
          </w:tcPr>
          <w:p w14:paraId="75FD0AC5" w14:textId="1F422F7A" w:rsidR="00996D85" w:rsidRPr="00727957" w:rsidRDefault="00996D85" w:rsidP="00BD06B9">
            <w:pPr>
              <w:pStyle w:val="Corpsdetexte"/>
              <w:rPr>
                <w:rFonts w:cs="Verdana"/>
              </w:rPr>
            </w:pPr>
            <w:r w:rsidRPr="00727957">
              <w:rPr>
                <w:rFonts w:cs="Verdana"/>
              </w:rPr>
              <w:t>50 € par jour calendaire</w:t>
            </w:r>
          </w:p>
        </w:tc>
      </w:tr>
      <w:tr w:rsidR="00996D85" w:rsidRPr="00996D85" w14:paraId="0BB77842" w14:textId="77777777" w:rsidTr="00727957">
        <w:trPr>
          <w:cantSplit/>
        </w:trPr>
        <w:tc>
          <w:tcPr>
            <w:tcW w:w="5459" w:type="dxa"/>
            <w:tcBorders>
              <w:top w:val="dotted" w:sz="4" w:space="0" w:color="auto"/>
              <w:bottom w:val="dotted" w:sz="4" w:space="0" w:color="auto"/>
            </w:tcBorders>
            <w:shd w:val="clear" w:color="auto" w:fill="auto"/>
            <w:vAlign w:val="center"/>
          </w:tcPr>
          <w:p w14:paraId="3397803F" w14:textId="774E7E04" w:rsidR="00996D85" w:rsidRPr="00727957" w:rsidRDefault="00B51F1F" w:rsidP="00BD06B9">
            <w:pPr>
              <w:pStyle w:val="Corpsdetexte"/>
              <w:rPr>
                <w:rFonts w:cs="Verdana"/>
              </w:rPr>
            </w:pPr>
            <w:r>
              <w:rPr>
                <w:rFonts w:cs="Verdana"/>
              </w:rPr>
              <w:t>Remise du</w:t>
            </w:r>
            <w:r w:rsidR="00996D85" w:rsidRPr="00727957">
              <w:rPr>
                <w:rFonts w:cs="Verdana"/>
              </w:rPr>
              <w:t xml:space="preserve"> DIUO</w:t>
            </w:r>
          </w:p>
        </w:tc>
        <w:tc>
          <w:tcPr>
            <w:tcW w:w="2942" w:type="dxa"/>
            <w:tcBorders>
              <w:top w:val="dotted" w:sz="4" w:space="0" w:color="auto"/>
              <w:bottom w:val="dotted" w:sz="4" w:space="0" w:color="auto"/>
            </w:tcBorders>
            <w:shd w:val="clear" w:color="auto" w:fill="auto"/>
            <w:vAlign w:val="center"/>
          </w:tcPr>
          <w:p w14:paraId="44F1CFA3" w14:textId="19DE6693" w:rsidR="00996D85" w:rsidRPr="00727957" w:rsidRDefault="00B51F1F" w:rsidP="00BD06B9">
            <w:pPr>
              <w:pStyle w:val="Corpsdetexte"/>
              <w:rPr>
                <w:rFonts w:cs="Verdana"/>
              </w:rPr>
            </w:pPr>
            <w:r>
              <w:rPr>
                <w:rFonts w:cs="Verdana"/>
              </w:rPr>
              <w:t>10</w:t>
            </w:r>
            <w:r w:rsidR="00996D85" w:rsidRPr="00727957">
              <w:rPr>
                <w:rFonts w:cs="Verdana"/>
              </w:rPr>
              <w:t>0 € par jour calendaire</w:t>
            </w:r>
          </w:p>
        </w:tc>
      </w:tr>
      <w:tr w:rsidR="00996D85" w:rsidRPr="00A359F8" w14:paraId="2DC7F636" w14:textId="77777777" w:rsidTr="00727957">
        <w:trPr>
          <w:cantSplit/>
        </w:trPr>
        <w:tc>
          <w:tcPr>
            <w:tcW w:w="5459" w:type="dxa"/>
            <w:tcBorders>
              <w:top w:val="dotted" w:sz="4" w:space="0" w:color="auto"/>
              <w:bottom w:val="dotted" w:sz="4" w:space="0" w:color="auto"/>
            </w:tcBorders>
            <w:shd w:val="clear" w:color="auto" w:fill="auto"/>
            <w:vAlign w:val="center"/>
          </w:tcPr>
          <w:p w14:paraId="188D3FDD" w14:textId="77777777" w:rsidR="00996D85" w:rsidRPr="00727957" w:rsidRDefault="00996D85" w:rsidP="00BD06B9">
            <w:pPr>
              <w:pStyle w:val="Corpsdetexte"/>
              <w:rPr>
                <w:rFonts w:cs="Verdana"/>
              </w:rPr>
            </w:pPr>
            <w:r w:rsidRPr="00727957">
              <w:rPr>
                <w:rFonts w:cs="Verdana"/>
              </w:rPr>
              <w:t>Retour d’analyse sur les PPSPS entreprises</w:t>
            </w:r>
          </w:p>
        </w:tc>
        <w:tc>
          <w:tcPr>
            <w:tcW w:w="2942" w:type="dxa"/>
            <w:tcBorders>
              <w:top w:val="dotted" w:sz="4" w:space="0" w:color="auto"/>
              <w:bottom w:val="dotted" w:sz="4" w:space="0" w:color="auto"/>
            </w:tcBorders>
            <w:shd w:val="clear" w:color="auto" w:fill="auto"/>
            <w:vAlign w:val="center"/>
          </w:tcPr>
          <w:p w14:paraId="7CE66545" w14:textId="4E772DF6" w:rsidR="00996D85" w:rsidRPr="00727957" w:rsidRDefault="00996D85" w:rsidP="00BD06B9">
            <w:pPr>
              <w:pStyle w:val="Corpsdetexte"/>
              <w:rPr>
                <w:rFonts w:cs="Verdana"/>
              </w:rPr>
            </w:pPr>
            <w:r w:rsidRPr="00727957">
              <w:rPr>
                <w:rFonts w:cs="Verdana"/>
              </w:rPr>
              <w:t>50 € par jour calendaire</w:t>
            </w:r>
          </w:p>
        </w:tc>
      </w:tr>
      <w:tr w:rsidR="00B51F1F" w:rsidRPr="00A359F8" w14:paraId="5BD9E439" w14:textId="77777777" w:rsidTr="00996D85">
        <w:trPr>
          <w:cantSplit/>
        </w:trPr>
        <w:tc>
          <w:tcPr>
            <w:tcW w:w="5459" w:type="dxa"/>
            <w:tcBorders>
              <w:top w:val="dotted" w:sz="4" w:space="0" w:color="auto"/>
              <w:bottom w:val="dotted" w:sz="4" w:space="0" w:color="auto"/>
            </w:tcBorders>
            <w:shd w:val="clear" w:color="auto" w:fill="auto"/>
            <w:vAlign w:val="center"/>
          </w:tcPr>
          <w:p w14:paraId="5CF877D5" w14:textId="137534C2" w:rsidR="00B51F1F" w:rsidRPr="00B51F1F" w:rsidRDefault="00B51F1F" w:rsidP="00BD06B9">
            <w:pPr>
              <w:pStyle w:val="Corpsdetexte"/>
              <w:rPr>
                <w:rFonts w:cs="Verdana"/>
              </w:rPr>
            </w:pPr>
            <w:r>
              <w:rPr>
                <w:rFonts w:cs="Verdana"/>
              </w:rPr>
              <w:t>Reprise-mise à jour de tout livrable</w:t>
            </w:r>
          </w:p>
        </w:tc>
        <w:tc>
          <w:tcPr>
            <w:tcW w:w="2942" w:type="dxa"/>
            <w:tcBorders>
              <w:top w:val="dotted" w:sz="4" w:space="0" w:color="auto"/>
              <w:bottom w:val="dotted" w:sz="4" w:space="0" w:color="auto"/>
            </w:tcBorders>
            <w:shd w:val="clear" w:color="auto" w:fill="auto"/>
            <w:vAlign w:val="center"/>
          </w:tcPr>
          <w:p w14:paraId="431A1D11" w14:textId="0D41F64D" w:rsidR="00B51F1F" w:rsidRPr="00B51F1F" w:rsidRDefault="00B51F1F" w:rsidP="00BD06B9">
            <w:pPr>
              <w:pStyle w:val="Corpsdetexte"/>
              <w:rPr>
                <w:rFonts w:cs="Verdana"/>
              </w:rPr>
            </w:pPr>
            <w:r w:rsidRPr="008125FC">
              <w:rPr>
                <w:rFonts w:cs="Verdana"/>
              </w:rPr>
              <w:t>50 € par jour calendaire</w:t>
            </w:r>
          </w:p>
        </w:tc>
      </w:tr>
    </w:tbl>
    <w:p w14:paraId="6B3D500E" w14:textId="77777777" w:rsidR="00D15D8B" w:rsidRPr="00727957" w:rsidRDefault="00D15D8B" w:rsidP="00BA3B17"/>
    <w:p w14:paraId="2A350C25" w14:textId="77777777" w:rsidR="00994DE5" w:rsidRPr="00727957" w:rsidRDefault="00994DE5" w:rsidP="00BA3B17">
      <w:pPr>
        <w:spacing w:before="160"/>
      </w:pPr>
      <w:r w:rsidRPr="00727957">
        <w:t xml:space="preserve">Sauf indication contraire, les pénalités sont appliquées sans mise en demeure, sur simple constatation du pouvoir adjudicateur. Le nombre de jours de retard est obtenu par différence entre la date d'achèvement réelle des prestations et la date limite initialement fixée. </w:t>
      </w:r>
    </w:p>
    <w:p w14:paraId="501FA003" w14:textId="77777777" w:rsidR="00994DE5" w:rsidRDefault="00994DE5" w:rsidP="00BA3B17">
      <w:pPr>
        <w:spacing w:before="160"/>
      </w:pPr>
      <w:r w:rsidRPr="00727957">
        <w:t>En cas de non-respect de plusieurs délais, les pénalités sont cumulables.</w:t>
      </w:r>
    </w:p>
    <w:p w14:paraId="1FC7F3A9" w14:textId="341B9440" w:rsidR="00323FF8" w:rsidRDefault="00323FF8" w:rsidP="00323FF8">
      <w:pPr>
        <w:pStyle w:val="Normal1"/>
      </w:pPr>
      <w:r w:rsidRPr="00BA4EBD">
        <w:rPr>
          <w:szCs w:val="18"/>
        </w:rPr>
        <w:t>Par dérogation à l'article 14.1.</w:t>
      </w:r>
      <w:r>
        <w:rPr>
          <w:szCs w:val="18"/>
        </w:rPr>
        <w:t>2</w:t>
      </w:r>
      <w:r w:rsidRPr="00BA4EBD">
        <w:rPr>
          <w:szCs w:val="18"/>
        </w:rPr>
        <w:t xml:space="preserve"> du CCAG-PI, </w:t>
      </w:r>
      <w:r w:rsidR="00727957">
        <w:rPr>
          <w:szCs w:val="18"/>
        </w:rPr>
        <w:t>les pénalités de retard ne sont pas plafonnées.</w:t>
      </w:r>
    </w:p>
    <w:p w14:paraId="54DB65EC" w14:textId="2113280E" w:rsidR="00323FF8" w:rsidRPr="00BD1AF3" w:rsidRDefault="00323FF8" w:rsidP="00323FF8">
      <w:pPr>
        <w:pStyle w:val="Normal1"/>
        <w:rPr>
          <w:szCs w:val="18"/>
        </w:rPr>
      </w:pPr>
      <w:r w:rsidRPr="00BA4EBD">
        <w:rPr>
          <w:szCs w:val="18"/>
        </w:rPr>
        <w:t>Par dérogation à l'article 14.1.</w:t>
      </w:r>
      <w:r>
        <w:rPr>
          <w:szCs w:val="18"/>
        </w:rPr>
        <w:t>3</w:t>
      </w:r>
      <w:r w:rsidRPr="00BA4EBD">
        <w:rPr>
          <w:szCs w:val="18"/>
        </w:rPr>
        <w:t xml:space="preserve"> du CCAG-PI, </w:t>
      </w:r>
      <w:r>
        <w:rPr>
          <w:szCs w:val="18"/>
        </w:rPr>
        <w:t>l</w:t>
      </w:r>
      <w:r>
        <w:t xml:space="preserve">e titulaire est exonéré des pénalités </w:t>
      </w:r>
      <w:r w:rsidRPr="00FB4CDD">
        <w:rPr>
          <w:b/>
          <w:bCs/>
          <w:u w:val="single"/>
        </w:rPr>
        <w:t>de retard</w:t>
      </w:r>
      <w:r>
        <w:t xml:space="preserve"> dont le montant total ne dépasse pas 1 000 € pour l’ensemble du marché.</w:t>
      </w:r>
    </w:p>
    <w:p w14:paraId="018E8172" w14:textId="77777777" w:rsidR="00323FF8" w:rsidRPr="006B0E16" w:rsidRDefault="00323FF8" w:rsidP="00BA3B17">
      <w:pPr>
        <w:spacing w:before="160"/>
      </w:pPr>
    </w:p>
    <w:p w14:paraId="0B0DCEF4" w14:textId="2BE8A502" w:rsidR="00B6179C" w:rsidRDefault="00783488" w:rsidP="00BA3B17">
      <w:pPr>
        <w:rPr>
          <w:rFonts w:cs="Arial"/>
        </w:rPr>
      </w:pPr>
      <w:r w:rsidRPr="006B0E16">
        <w:rPr>
          <w:rFonts w:cs="Arial"/>
        </w:rPr>
        <w:t>Il ne sera pas appliqué de pénalités si le retard est imputable au pouvoir adjudicateur.</w:t>
      </w:r>
      <w:bookmarkStart w:id="93" w:name="_Toc114385037"/>
    </w:p>
    <w:p w14:paraId="170F0A3B" w14:textId="77777777" w:rsidR="00B6179C" w:rsidRDefault="00B6179C">
      <w:pPr>
        <w:spacing w:after="0" w:line="240" w:lineRule="auto"/>
        <w:jc w:val="left"/>
        <w:rPr>
          <w:rFonts w:cs="Arial"/>
        </w:rPr>
      </w:pPr>
      <w:r>
        <w:rPr>
          <w:rFonts w:cs="Arial"/>
        </w:rPr>
        <w:br w:type="page"/>
      </w:r>
    </w:p>
    <w:p w14:paraId="683A9EBD" w14:textId="77777777" w:rsidR="00DD6C0D" w:rsidRDefault="00DD6C0D" w:rsidP="00BA3B17">
      <w:pPr>
        <w:rPr>
          <w:rFonts w:ascii="Verdana" w:hAnsi="Verdana"/>
          <w:sz w:val="18"/>
          <w:szCs w:val="18"/>
        </w:rPr>
      </w:pPr>
    </w:p>
    <w:p w14:paraId="2BC927FB" w14:textId="1D823D6A" w:rsidR="00783488" w:rsidRPr="008B6F11" w:rsidRDefault="00783488" w:rsidP="008B6F11">
      <w:pPr>
        <w:pStyle w:val="Titre2"/>
      </w:pPr>
      <w:bookmarkStart w:id="94" w:name="_Toc139883274"/>
      <w:bookmarkStart w:id="95" w:name="_Toc142376099"/>
      <w:bookmarkStart w:id="96" w:name="_Toc142492173"/>
      <w:bookmarkStart w:id="97" w:name="_Toc167956970"/>
      <w:bookmarkEnd w:id="94"/>
      <w:bookmarkEnd w:id="95"/>
      <w:bookmarkEnd w:id="96"/>
      <w:r w:rsidRPr="008B6F11">
        <w:t>PRIX ET REGLEMENT</w:t>
      </w:r>
      <w:bookmarkEnd w:id="93"/>
      <w:bookmarkEnd w:id="97"/>
    </w:p>
    <w:p w14:paraId="5F0F8AA5" w14:textId="6D550B94" w:rsidR="00783488" w:rsidRPr="00981B53" w:rsidRDefault="00783488" w:rsidP="00980240">
      <w:pPr>
        <w:pStyle w:val="Titre1"/>
      </w:pPr>
      <w:bookmarkStart w:id="98" w:name="_Toc114385038"/>
      <w:bookmarkStart w:id="99" w:name="_Toc505703274"/>
      <w:bookmarkStart w:id="100" w:name="_Toc167956971"/>
      <w:r w:rsidRPr="00981B53">
        <w:t>Prix</w:t>
      </w:r>
      <w:bookmarkEnd w:id="98"/>
      <w:bookmarkEnd w:id="99"/>
      <w:bookmarkEnd w:id="100"/>
    </w:p>
    <w:p w14:paraId="7246BA33" w14:textId="067E5AA5" w:rsidR="00783488" w:rsidRPr="00006200" w:rsidRDefault="00783488" w:rsidP="0073779B">
      <w:pPr>
        <w:pStyle w:val="Titre3"/>
      </w:pPr>
      <w:bookmarkStart w:id="101" w:name="_Toc114385040"/>
      <w:bookmarkStart w:id="102" w:name="_Toc167956972"/>
      <w:r w:rsidRPr="00006200">
        <w:t xml:space="preserve">Contenu </w:t>
      </w:r>
      <w:bookmarkEnd w:id="101"/>
      <w:r w:rsidR="000759D9" w:rsidRPr="00006200">
        <w:t>et condition</w:t>
      </w:r>
      <w:r w:rsidR="001628A7" w:rsidRPr="00006200">
        <w:t xml:space="preserve">s </w:t>
      </w:r>
      <w:r w:rsidR="000759D9" w:rsidRPr="00006200">
        <w:t>d’établissement des prix</w:t>
      </w:r>
      <w:bookmarkEnd w:id="102"/>
    </w:p>
    <w:p w14:paraId="7E6671EF" w14:textId="77777777" w:rsidR="00834052" w:rsidRDefault="000F63C6" w:rsidP="000A53EB">
      <w:pPr>
        <w:rPr>
          <w:rFonts w:cs="Arial"/>
        </w:rPr>
      </w:pPr>
      <w:r w:rsidRPr="009907BC">
        <w:t xml:space="preserve">Les prix </w:t>
      </w:r>
      <w:r w:rsidR="00C53DFD" w:rsidRPr="009907BC">
        <w:t>de</w:t>
      </w:r>
      <w:r w:rsidR="004B3561" w:rsidRPr="009907BC">
        <w:t>s missions de l’accord-cadre exécutées par bons de commande</w:t>
      </w:r>
      <w:r w:rsidR="00821645" w:rsidRPr="009907BC">
        <w:t xml:space="preserve"> </w:t>
      </w:r>
      <w:r w:rsidRPr="009907BC">
        <w:t xml:space="preserve">sont </w:t>
      </w:r>
      <w:r w:rsidR="00763BE0">
        <w:t>unitaires</w:t>
      </w:r>
      <w:r w:rsidR="00C06CE7" w:rsidRPr="009907BC">
        <w:t xml:space="preserve"> conformément au </w:t>
      </w:r>
      <w:r w:rsidR="00A00D9F" w:rsidRPr="009907BC">
        <w:t>bordereau des prix unitaires</w:t>
      </w:r>
      <w:r w:rsidR="009F6228">
        <w:t>.</w:t>
      </w:r>
      <w:r w:rsidR="00184118">
        <w:t xml:space="preserve"> </w:t>
      </w:r>
      <w:r w:rsidR="00A44FBE">
        <w:t>Il</w:t>
      </w:r>
      <w:r w:rsidR="009E3BB8">
        <w:t>s</w:t>
      </w:r>
      <w:r w:rsidR="00A44FBE">
        <w:t xml:space="preserve"> s</w:t>
      </w:r>
      <w:r w:rsidR="009E3BB8">
        <w:t>ont</w:t>
      </w:r>
      <w:r w:rsidR="00A44FBE">
        <w:t xml:space="preserve"> déterminé</w:t>
      </w:r>
      <w:r w:rsidR="009E3BB8">
        <w:t>s</w:t>
      </w:r>
      <w:r w:rsidR="00A44FBE">
        <w:t xml:space="preserve"> par rapport aux types d’opérations de travaux (A, B, C, </w:t>
      </w:r>
      <w:r w:rsidR="00DF6C12">
        <w:t xml:space="preserve">D </w:t>
      </w:r>
      <w:r w:rsidR="00A44FBE">
        <w:t>ou E</w:t>
      </w:r>
      <w:r w:rsidR="00090BE0">
        <w:t xml:space="preserve">, tels que définis à l’article </w:t>
      </w:r>
      <w:r w:rsidR="00BF0073">
        <w:t>5</w:t>
      </w:r>
      <w:r w:rsidR="00090BE0">
        <w:t>.1</w:t>
      </w:r>
      <w:r w:rsidR="00A44FBE">
        <w:t>)</w:t>
      </w:r>
      <w:r w:rsidR="009E3BB8">
        <w:t>.</w:t>
      </w:r>
      <w:r w:rsidR="00F4181E" w:rsidRPr="00F4181E">
        <w:rPr>
          <w:rFonts w:cs="Arial"/>
        </w:rPr>
        <w:t xml:space="preserve"> </w:t>
      </w:r>
    </w:p>
    <w:p w14:paraId="1E6223B3" w14:textId="4CB6083A" w:rsidR="00060871" w:rsidRDefault="009E3BB8" w:rsidP="000A53EB">
      <w:r>
        <w:rPr>
          <w:rFonts w:cs="Arial"/>
        </w:rPr>
        <w:t>Les prix</w:t>
      </w:r>
      <w:r w:rsidR="00F4181E" w:rsidRPr="009907BC">
        <w:rPr>
          <w:rFonts w:cs="Arial"/>
        </w:rPr>
        <w:t xml:space="preserve"> sont établis hors T.V.A</w:t>
      </w:r>
      <w:r w:rsidR="00F4181E" w:rsidRPr="009907BC">
        <w:t>.</w:t>
      </w:r>
    </w:p>
    <w:p w14:paraId="061FF3B2" w14:textId="7B181F69" w:rsidR="00924534" w:rsidRDefault="00924534" w:rsidP="00924534">
      <w:pPr>
        <w:pStyle w:val="Normal2"/>
      </w:pPr>
      <w:r w:rsidRPr="001C4FC6">
        <w:t>Les marchés subséquents seront réglés en application des prix indiqués dans le BPU et, le cas échéant, de prix nouveaux</w:t>
      </w:r>
      <w:r w:rsidR="00834052">
        <w:t>.</w:t>
      </w:r>
      <w:r w:rsidRPr="001C4FC6">
        <w:t xml:space="preserve"> </w:t>
      </w:r>
      <w:r w:rsidR="00834052">
        <w:t xml:space="preserve"> Il est précisé que ces prix unitaires sont des prix plafonds. Dans </w:t>
      </w:r>
      <w:proofErr w:type="gramStart"/>
      <w:r w:rsidR="00834052">
        <w:t>le cadres</w:t>
      </w:r>
      <w:proofErr w:type="gramEnd"/>
      <w:r w:rsidR="00834052">
        <w:t xml:space="preserve"> des marchés subséquents, le titulaire pourra proposer une modification des prix du BPU, à la baisse.</w:t>
      </w:r>
    </w:p>
    <w:p w14:paraId="72041244" w14:textId="77777777" w:rsidR="00924534" w:rsidRDefault="00924534" w:rsidP="000A53EB"/>
    <w:p w14:paraId="46046457" w14:textId="059FDED3" w:rsidR="008A69EE" w:rsidRPr="00981B53" w:rsidRDefault="008A69EE" w:rsidP="000A53EB">
      <w:pPr>
        <w:rPr>
          <w:rFonts w:cs="Arial"/>
        </w:rPr>
      </w:pPr>
      <w:r w:rsidRPr="00981B53">
        <w:rPr>
          <w:rFonts w:cs="Arial"/>
        </w:rPr>
        <w:t xml:space="preserve">Les prix </w:t>
      </w:r>
      <w:r w:rsidR="00B6179C">
        <w:rPr>
          <w:rFonts w:cs="Arial"/>
        </w:rPr>
        <w:t>sont r</w:t>
      </w:r>
      <w:r w:rsidRPr="00981B53">
        <w:rPr>
          <w:rFonts w:cs="Arial"/>
        </w:rPr>
        <w:t>éputés tenir compte de toutes les sujétions d’exécution des prestations qui sont normalement prévisibles dans les conditions de temps et de lieu où s'exécutent ces prestations.</w:t>
      </w:r>
    </w:p>
    <w:p w14:paraId="318A3BA4" w14:textId="77777777" w:rsidR="008A69EE" w:rsidRPr="008A69EE" w:rsidRDefault="008A69EE" w:rsidP="0073779B">
      <w:r w:rsidRPr="00E405A3">
        <w:t xml:space="preserve">Les prix unitaires du présent </w:t>
      </w:r>
      <w:r w:rsidR="00C53DFD" w:rsidRPr="00E405A3">
        <w:t>accord-cadre</w:t>
      </w:r>
      <w:r w:rsidR="00C53DFD" w:rsidRPr="008A69EE">
        <w:t xml:space="preserve"> </w:t>
      </w:r>
      <w:r w:rsidRPr="008A69EE">
        <w:t xml:space="preserve">comprennent toutes les dépenses nécessaires pour l’exécution des prestations décrites dans le </w:t>
      </w:r>
      <w:r w:rsidR="00961514">
        <w:t xml:space="preserve">présent </w:t>
      </w:r>
      <w:r w:rsidRPr="008A69EE">
        <w:t>CCP.</w:t>
      </w:r>
    </w:p>
    <w:p w14:paraId="1F1EDAD9" w14:textId="77777777" w:rsidR="008A69EE" w:rsidRPr="008A69EE" w:rsidRDefault="008A69EE" w:rsidP="0073779B">
      <w:r w:rsidRPr="008A69EE">
        <w:t>En complément de l'article 10.</w:t>
      </w:r>
      <w:r w:rsidRPr="00272586">
        <w:t>1 du C.C.A.G.-</w:t>
      </w:r>
      <w:r w:rsidR="00CF5AAA" w:rsidRPr="00272586">
        <w:t>PI</w:t>
      </w:r>
      <w:r w:rsidRPr="00272586">
        <w:t>.,</w:t>
      </w:r>
      <w:r w:rsidRPr="008A69EE">
        <w:t xml:space="preserve"> les prix </w:t>
      </w:r>
      <w:r w:rsidR="00C53DFD">
        <w:t>de l’accord-cadre</w:t>
      </w:r>
      <w:r w:rsidRPr="008A69EE">
        <w:t xml:space="preserve"> tiennent compte notamment :</w:t>
      </w:r>
    </w:p>
    <w:p w14:paraId="7DBE6941"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docume</w:t>
      </w:r>
      <w:r w:rsidR="001E5DC6" w:rsidRPr="00ED7C98">
        <w:t>nts généraux visés à l’article 4</w:t>
      </w:r>
      <w:r w:rsidRPr="00ED7C98">
        <w:t xml:space="preserve"> ci-dessus, en vigueur au premier jour du mois d'établissement des prix, tel que ce mois est défini dans l’acte d’engagement</w:t>
      </w:r>
      <w:r w:rsidRPr="000A53EB">
        <w:rPr>
          <w:rFonts w:ascii="Calibri" w:hAnsi="Calibri" w:cs="Calibri"/>
        </w:rPr>
        <w:t> </w:t>
      </w:r>
      <w:r w:rsidRPr="00ED7C98">
        <w:t>;</w:t>
      </w:r>
    </w:p>
    <w:p w14:paraId="0CD8EC2F"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charges fiscales ou autres frappant obligatoirement les prestations</w:t>
      </w:r>
      <w:r w:rsidRPr="000A53EB">
        <w:rPr>
          <w:rFonts w:ascii="Calibri" w:hAnsi="Calibri" w:cs="Calibri"/>
        </w:rPr>
        <w:t> </w:t>
      </w:r>
      <w:r w:rsidRPr="00ED7C98">
        <w:t>;</w:t>
      </w:r>
    </w:p>
    <w:p w14:paraId="78E98D6E" w14:textId="77777777" w:rsidR="008A69EE" w:rsidRPr="00ED7C98" w:rsidRDefault="008A69EE" w:rsidP="008C021C">
      <w:pPr>
        <w:numPr>
          <w:ilvl w:val="0"/>
          <w:numId w:val="2"/>
        </w:numPr>
        <w:spacing w:before="20" w:line="276" w:lineRule="auto"/>
        <w:ind w:left="714" w:hanging="374"/>
      </w:pPr>
      <w:proofErr w:type="gramStart"/>
      <w:r w:rsidRPr="00ED7C98">
        <w:t>les</w:t>
      </w:r>
      <w:proofErr w:type="gramEnd"/>
      <w:r w:rsidRPr="00ED7C98">
        <w:t xml:space="preserve"> marges pour risques et les marges bénéficiaires</w:t>
      </w:r>
      <w:r w:rsidRPr="000A53EB">
        <w:rPr>
          <w:rFonts w:ascii="Calibri" w:hAnsi="Calibri" w:cs="Calibri"/>
        </w:rPr>
        <w:t> </w:t>
      </w:r>
      <w:r w:rsidRPr="00ED7C98">
        <w:t>;</w:t>
      </w:r>
    </w:p>
    <w:p w14:paraId="37D24413" w14:textId="2B1AF7DB" w:rsidR="004C7ADB" w:rsidRPr="00ED7C98" w:rsidRDefault="008A69EE" w:rsidP="008C021C">
      <w:pPr>
        <w:pStyle w:val="Paragraphedeliste"/>
        <w:numPr>
          <w:ilvl w:val="0"/>
          <w:numId w:val="9"/>
        </w:numPr>
      </w:pPr>
      <w:proofErr w:type="gramStart"/>
      <w:r w:rsidRPr="00ED7C98">
        <w:t>des</w:t>
      </w:r>
      <w:proofErr w:type="gramEnd"/>
      <w:r w:rsidRPr="00ED7C98">
        <w:t xml:space="preserve"> sujétions liées à l’exécution des prestations à proximité d’un site pénitentiaire et aux contraintes de sécurité y afférentes</w:t>
      </w:r>
      <w:r w:rsidRPr="000A53EB">
        <w:rPr>
          <w:rFonts w:ascii="Calibri" w:hAnsi="Calibri" w:cs="Calibri"/>
        </w:rPr>
        <w:t> </w:t>
      </w:r>
      <w:r w:rsidRPr="00ED7C98">
        <w:t>;</w:t>
      </w:r>
    </w:p>
    <w:p w14:paraId="62231B2D"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sujétions techniques et administratives en matière de protection de la santé du personnel et de l’environnement</w:t>
      </w:r>
      <w:r w:rsidR="004B3561" w:rsidRPr="00ED7C98">
        <w:t xml:space="preserve"> </w:t>
      </w:r>
      <w:r w:rsidRPr="00ED7C98">
        <w:t>;</w:t>
      </w:r>
    </w:p>
    <w:p w14:paraId="77D67B30"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frais résultant des mesures réglementaires intéressant la sécurité intervenant sur le site ;</w:t>
      </w:r>
    </w:p>
    <w:p w14:paraId="7A40EB93" w14:textId="77777777" w:rsidR="00585F43" w:rsidRPr="00ED7C98" w:rsidRDefault="00585F43" w:rsidP="008C021C">
      <w:pPr>
        <w:numPr>
          <w:ilvl w:val="0"/>
          <w:numId w:val="2"/>
        </w:numPr>
        <w:spacing w:before="20" w:line="276" w:lineRule="auto"/>
        <w:ind w:left="714" w:hanging="374"/>
      </w:pPr>
      <w:proofErr w:type="gramStart"/>
      <w:r w:rsidRPr="00ED7C98">
        <w:t>de</w:t>
      </w:r>
      <w:proofErr w:type="gramEnd"/>
      <w:r w:rsidRPr="00ED7C98">
        <w:t xml:space="preserve"> tous les frais supplémentaires pour l’exécution du marché qui sont liés au territoire </w:t>
      </w:r>
      <w:proofErr w:type="gramStart"/>
      <w:r w:rsidRPr="00ED7C98">
        <w:t>d’étude;</w:t>
      </w:r>
      <w:proofErr w:type="gramEnd"/>
    </w:p>
    <w:p w14:paraId="279A7272"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pertes de rendement résultant des sujétions mentionnées dans les alinéas précédents</w:t>
      </w:r>
      <w:r w:rsidRPr="000A53EB">
        <w:rPr>
          <w:rFonts w:ascii="Calibri" w:hAnsi="Calibri" w:cs="Calibri"/>
        </w:rPr>
        <w:t> </w:t>
      </w:r>
      <w:r w:rsidRPr="00ED7C98">
        <w:t>;</w:t>
      </w:r>
    </w:p>
    <w:p w14:paraId="6B25459F" w14:textId="77777777" w:rsidR="008A69EE" w:rsidRPr="00ED7C98" w:rsidRDefault="008A69EE" w:rsidP="008C021C">
      <w:pPr>
        <w:numPr>
          <w:ilvl w:val="0"/>
          <w:numId w:val="2"/>
        </w:numPr>
        <w:spacing w:before="20" w:line="276" w:lineRule="auto"/>
        <w:ind w:left="714" w:hanging="374"/>
      </w:pPr>
      <w:proofErr w:type="gramStart"/>
      <w:r w:rsidRPr="00ED7C98">
        <w:t>des</w:t>
      </w:r>
      <w:proofErr w:type="gramEnd"/>
      <w:r w:rsidRPr="00ED7C98">
        <w:t xml:space="preserve"> frais d'assurances.</w:t>
      </w:r>
    </w:p>
    <w:p w14:paraId="0FECC62C" w14:textId="0CFCD67C" w:rsidR="00510053" w:rsidRDefault="008A69EE" w:rsidP="000A53EB">
      <w:r>
        <w:t>Les prix</w:t>
      </w:r>
      <w:r w:rsidR="000F63C6" w:rsidRPr="00981B53">
        <w:t xml:space="preserve"> sont révisables selon les modalités prévues à </w:t>
      </w:r>
      <w:proofErr w:type="gramStart"/>
      <w:r w:rsidR="000F63C6" w:rsidRPr="00981B53">
        <w:t xml:space="preserve">l’article </w:t>
      </w:r>
      <w:r w:rsidR="00834052">
        <w:t xml:space="preserve"> 10.2</w:t>
      </w:r>
      <w:proofErr w:type="gramEnd"/>
      <w:r w:rsidR="00834052">
        <w:t xml:space="preserve"> du présent CCP</w:t>
      </w:r>
      <w:r w:rsidR="000F63C6" w:rsidRPr="00981B53">
        <w:t>.</w:t>
      </w:r>
    </w:p>
    <w:p w14:paraId="38BEE917" w14:textId="6937A775" w:rsidR="00012D61" w:rsidRPr="00006200" w:rsidRDefault="000F63C6" w:rsidP="0073779B">
      <w:pPr>
        <w:pStyle w:val="Titre3"/>
      </w:pPr>
      <w:bookmarkStart w:id="103" w:name="_Toc114385041"/>
      <w:bookmarkStart w:id="104" w:name="_Toc167956973"/>
      <w:r w:rsidRPr="00006200">
        <w:t xml:space="preserve">Variation </w:t>
      </w:r>
      <w:r w:rsidR="00783488" w:rsidRPr="00006200">
        <w:t>des prix</w:t>
      </w:r>
      <w:bookmarkEnd w:id="103"/>
      <w:bookmarkEnd w:id="104"/>
    </w:p>
    <w:p w14:paraId="0F00D8B2" w14:textId="66B8519A" w:rsidR="008A69EE" w:rsidRPr="008A69EE" w:rsidRDefault="008A69EE" w:rsidP="006C095B">
      <w:bookmarkStart w:id="105" w:name="_Toc114385042"/>
      <w:r w:rsidRPr="00C34D62">
        <w:t>Les prix sont réputés établis sur la base des conditions économiques du mois M</w:t>
      </w:r>
      <w:r w:rsidRPr="00C34D62">
        <w:rPr>
          <w:vertAlign w:val="subscript"/>
        </w:rPr>
        <w:t>0</w:t>
      </w:r>
      <w:r w:rsidRPr="00C34D62">
        <w:t xml:space="preserve"> défini à l’acte d’engagement. Les prix </w:t>
      </w:r>
      <w:r w:rsidR="004B3561">
        <w:t>des prestations</w:t>
      </w:r>
      <w:r w:rsidRPr="00C34D62">
        <w:t xml:space="preserve"> sont révisables</w:t>
      </w:r>
      <w:r>
        <w:rPr>
          <w:color w:val="00B0F0"/>
        </w:rPr>
        <w:t xml:space="preserve"> </w:t>
      </w:r>
      <w:r w:rsidR="000339AF" w:rsidRPr="000339AF">
        <w:t>annuellement</w:t>
      </w:r>
      <w:r w:rsidR="007767BD">
        <w:t xml:space="preserve"> à la date anniversaire de notification </w:t>
      </w:r>
      <w:r w:rsidR="00C53DFD">
        <w:t>de l’accord-cadre</w:t>
      </w:r>
      <w:r w:rsidR="007767BD">
        <w:t>.</w:t>
      </w:r>
      <w:r w:rsidR="00834052">
        <w:t xml:space="preserve"> Dans le cadre des marchés subséquents, les prix des prestations sont révisables annuellement à la date anniversaire de notification du marché subséquent. </w:t>
      </w:r>
    </w:p>
    <w:p w14:paraId="2E85E720" w14:textId="77777777" w:rsidR="00832441" w:rsidRDefault="00832441" w:rsidP="0073779B">
      <w:r w:rsidRPr="00832441">
        <w:t xml:space="preserve">L’index de référence choisi en raison de sa structure pour la révision du prix des prestations faisant l’objet </w:t>
      </w:r>
      <w:r w:rsidR="00C53DFD">
        <w:t>de l’accord-cadre</w:t>
      </w:r>
      <w:r w:rsidRPr="00832441">
        <w:t xml:space="preserve"> est </w:t>
      </w:r>
      <w:r w:rsidRPr="0041344D">
        <w:rPr>
          <w:b/>
        </w:rPr>
        <w:t xml:space="preserve">l’index d’ingénierie I, </w:t>
      </w:r>
      <w:r w:rsidR="00412F3B" w:rsidRPr="0041344D">
        <w:rPr>
          <w:b/>
        </w:rPr>
        <w:t>publié sur le site Internet de l’INSEE</w:t>
      </w:r>
      <w:r w:rsidR="00412F3B">
        <w:t>.</w:t>
      </w:r>
    </w:p>
    <w:p w14:paraId="620094E2" w14:textId="77777777" w:rsidR="008A69EE" w:rsidRPr="00C34D62" w:rsidRDefault="008A69EE" w:rsidP="006C095B">
      <w:r w:rsidRPr="00C34D62">
        <w:t xml:space="preserve">Le coefficient de révision, </w:t>
      </w:r>
      <w:proofErr w:type="spellStart"/>
      <w:r w:rsidRPr="00C34D62">
        <w:t>Cn</w:t>
      </w:r>
      <w:proofErr w:type="spellEnd"/>
      <w:r w:rsidRPr="00C34D62">
        <w:t xml:space="preserve"> s’applique à chacun des prix </w:t>
      </w:r>
      <w:r w:rsidR="004B3561">
        <w:t>des prestations</w:t>
      </w:r>
      <w:r w:rsidR="004B3561" w:rsidRPr="00C34D62">
        <w:t xml:space="preserve"> </w:t>
      </w:r>
      <w:r w:rsidR="00C53DFD">
        <w:t>de l’accord-cadre</w:t>
      </w:r>
      <w:r>
        <w:t>.</w:t>
      </w:r>
    </w:p>
    <w:p w14:paraId="4B5C8F46" w14:textId="77777777" w:rsidR="008A69EE" w:rsidRPr="00C34D62" w:rsidRDefault="008A69EE" w:rsidP="006C095B">
      <w:r w:rsidRPr="00C34D62">
        <w:t xml:space="preserve">Le coefficient de révision </w:t>
      </w:r>
      <w:proofErr w:type="spellStart"/>
      <w:r w:rsidRPr="00C34D62">
        <w:t>Cn</w:t>
      </w:r>
      <w:proofErr w:type="spellEnd"/>
      <w:r w:rsidRPr="00C34D62">
        <w:t xml:space="preserve"> applicable pour le calcul de la révision est donné par la formule</w:t>
      </w:r>
      <w:r w:rsidRPr="00C34D62">
        <w:rPr>
          <w:rFonts w:ascii="Calibri" w:hAnsi="Calibri" w:cs="Calibri"/>
        </w:rPr>
        <w:t> </w:t>
      </w:r>
      <w:r w:rsidRPr="00C34D62">
        <w:t>:</w:t>
      </w:r>
    </w:p>
    <w:p w14:paraId="38F13CDB" w14:textId="77777777" w:rsidR="008A69EE" w:rsidRPr="00C34D62" w:rsidRDefault="008A69EE" w:rsidP="006C095B">
      <w:pPr>
        <w:jc w:val="center"/>
      </w:pPr>
      <w:proofErr w:type="spellStart"/>
      <w:r w:rsidRPr="00C34D62">
        <w:t>Cn</w:t>
      </w:r>
      <w:proofErr w:type="spellEnd"/>
      <w:r w:rsidRPr="00C34D62">
        <w:t xml:space="preserve"> = 0,15 + 0,85 (In-4/ Io-4)</w:t>
      </w:r>
    </w:p>
    <w:p w14:paraId="19B881E4" w14:textId="77777777" w:rsidR="008A69EE" w:rsidRPr="00C34D62" w:rsidRDefault="008A69EE" w:rsidP="006C095B">
      <w:proofErr w:type="gramStart"/>
      <w:r w:rsidRPr="00C34D62">
        <w:lastRenderedPageBreak/>
        <w:t>dans</w:t>
      </w:r>
      <w:proofErr w:type="gramEnd"/>
      <w:r w:rsidRPr="00C34D62">
        <w:t xml:space="preserve"> laquelle In-4 et Io-4 sont les valeurs prises respectivement par l'index I quatre mois avant le mois au cours duquel a lieu la révision et quatre mois avant le mois zéro.</w:t>
      </w:r>
    </w:p>
    <w:p w14:paraId="565BC39F" w14:textId="77777777" w:rsidR="008A69EE" w:rsidRPr="00C34D62" w:rsidRDefault="008A69EE" w:rsidP="006C095B">
      <w:r w:rsidRPr="00C34D62">
        <w:t>Ce coefficient est arrondi au millième supérieur.</w:t>
      </w:r>
    </w:p>
    <w:p w14:paraId="196C82A8" w14:textId="77777777" w:rsidR="00510053" w:rsidRDefault="008A69EE" w:rsidP="006C095B">
      <w:r w:rsidRPr="00C34D62">
        <w:t>Pour la mise en œuvre de cette formule, les calculs sont effectués avec au maximum quatre décimales. Pour ces calculs, l’arrondi sera pris à la décimale inférieure.</w:t>
      </w:r>
    </w:p>
    <w:p w14:paraId="2332196A" w14:textId="77777777" w:rsidR="00885920" w:rsidRDefault="00885920" w:rsidP="006C095B"/>
    <w:p w14:paraId="7C930BE4" w14:textId="77777777" w:rsidR="00885920" w:rsidRPr="001156C7" w:rsidRDefault="00885920" w:rsidP="0073779B">
      <w:pPr>
        <w:pStyle w:val="Titre3"/>
      </w:pPr>
      <w:bookmarkStart w:id="106" w:name="_Toc154408035"/>
      <w:bookmarkStart w:id="107" w:name="_Toc536451072"/>
      <w:bookmarkStart w:id="108" w:name="_Toc139641787"/>
      <w:bookmarkStart w:id="109" w:name="_Toc167956974"/>
      <w:r w:rsidRPr="001156C7">
        <w:t>Taxe sur la valeur ajoutée (TVA)</w:t>
      </w:r>
      <w:bookmarkEnd w:id="106"/>
      <w:bookmarkEnd w:id="107"/>
      <w:bookmarkEnd w:id="108"/>
      <w:bookmarkEnd w:id="109"/>
    </w:p>
    <w:p w14:paraId="303C3618" w14:textId="77777777" w:rsidR="00885920" w:rsidRPr="005E28F6" w:rsidRDefault="00885920" w:rsidP="00C16C38">
      <w:r w:rsidRPr="001156C7">
        <w:t>Les montants des acomptes et du solde sont calculés en appliquant</w:t>
      </w:r>
      <w:r w:rsidRPr="005E28F6">
        <w:t xml:space="preserve"> les taux de TVA en vigueur lors de l’établissement des pièces de mandatement. Ces montants sont éventuellement rectifiés, en vue de l’établissement du décompte général en appliquant les taux de TVA en vigueur lors des encaissements.</w:t>
      </w:r>
    </w:p>
    <w:p w14:paraId="339225FA" w14:textId="77777777" w:rsidR="00885920" w:rsidRDefault="00885920" w:rsidP="006C095B"/>
    <w:p w14:paraId="72DD1CFA" w14:textId="64F045BD" w:rsidR="00783488" w:rsidRPr="00ED7C98" w:rsidRDefault="00783488" w:rsidP="00980240">
      <w:pPr>
        <w:pStyle w:val="Titre1"/>
      </w:pPr>
      <w:bookmarkStart w:id="110" w:name="_Toc167956975"/>
      <w:r w:rsidRPr="00ED7C98">
        <w:t>Modalit</w:t>
      </w:r>
      <w:r w:rsidRPr="00ED7C98">
        <w:rPr>
          <w:rFonts w:cs="Marianne"/>
        </w:rPr>
        <w:t>é</w:t>
      </w:r>
      <w:r w:rsidRPr="00ED7C98">
        <w:t>s de r</w:t>
      </w:r>
      <w:r w:rsidRPr="00ED7C98">
        <w:rPr>
          <w:rFonts w:cs="Marianne"/>
        </w:rPr>
        <w:t>è</w:t>
      </w:r>
      <w:r w:rsidRPr="00ED7C98">
        <w:t>glement</w:t>
      </w:r>
      <w:bookmarkEnd w:id="105"/>
      <w:bookmarkEnd w:id="110"/>
      <w:r w:rsidR="00AA61CD" w:rsidRPr="00ED7C98">
        <w:t xml:space="preserve"> </w:t>
      </w:r>
    </w:p>
    <w:p w14:paraId="27AD9AA2" w14:textId="39362F7E" w:rsidR="006B6A08" w:rsidRPr="00006200" w:rsidRDefault="006B6A08" w:rsidP="0073779B">
      <w:pPr>
        <w:pStyle w:val="Titre3"/>
      </w:pPr>
      <w:bookmarkStart w:id="111" w:name="_Toc167956976"/>
      <w:bookmarkStart w:id="112" w:name="_Toc114385043"/>
      <w:r w:rsidRPr="00006200">
        <w:t>Répartition des paiements</w:t>
      </w:r>
      <w:bookmarkEnd w:id="111"/>
    </w:p>
    <w:p w14:paraId="4A11FD69" w14:textId="4DCBF03A" w:rsidR="00510053" w:rsidRDefault="00E62AC5" w:rsidP="006C095B">
      <w:bookmarkStart w:id="113" w:name="_Toc499903677"/>
      <w:r>
        <w:t xml:space="preserve">L’article 5.5.1. </w:t>
      </w:r>
      <w:proofErr w:type="gramStart"/>
      <w:r>
        <w:t>du</w:t>
      </w:r>
      <w:proofErr w:type="gramEnd"/>
      <w:r>
        <w:t xml:space="preserve"> présent CCP</w:t>
      </w:r>
      <w:r w:rsidR="006B6A08" w:rsidRPr="008B6F11">
        <w:t xml:space="preserve"> indique ce qui doit être réglé respectivement au titulaire du présent </w:t>
      </w:r>
      <w:r w:rsidR="00C53DFD" w:rsidRPr="008B6F11">
        <w:t xml:space="preserve">accord-cadre </w:t>
      </w:r>
      <w:r w:rsidR="006B6A08" w:rsidRPr="008B6F11">
        <w:t>à ses cotraitants et, au prestataire mandataire et à ses cocontractants en cas de groupement.</w:t>
      </w:r>
      <w:bookmarkEnd w:id="113"/>
      <w:r>
        <w:t xml:space="preserve"> </w:t>
      </w:r>
    </w:p>
    <w:p w14:paraId="56AED689" w14:textId="77777777" w:rsidR="006C095B" w:rsidRDefault="006C095B" w:rsidP="006C095B"/>
    <w:p w14:paraId="54B92071" w14:textId="77777777" w:rsidR="005D5A5C" w:rsidRDefault="005D5A5C" w:rsidP="005D5A5C">
      <w:pPr>
        <w:rPr>
          <w:rFonts w:cs="Arial"/>
          <w:szCs w:val="18"/>
        </w:rPr>
      </w:pPr>
      <w:r w:rsidRPr="00366E03">
        <w:rPr>
          <w:rFonts w:cs="Arial"/>
          <w:szCs w:val="18"/>
        </w:rPr>
        <w:t xml:space="preserve">Le bordereau des prix </w:t>
      </w:r>
      <w:r>
        <w:rPr>
          <w:rFonts w:cs="Arial"/>
          <w:szCs w:val="18"/>
        </w:rPr>
        <w:t>unitaire annexé</w:t>
      </w:r>
      <w:r w:rsidRPr="00366E03">
        <w:rPr>
          <w:rFonts w:cs="Arial"/>
          <w:szCs w:val="18"/>
        </w:rPr>
        <w:t xml:space="preserve"> à l’acte d’engagement</w:t>
      </w:r>
      <w:r>
        <w:rPr>
          <w:rFonts w:cs="Arial"/>
          <w:szCs w:val="18"/>
        </w:rPr>
        <w:t xml:space="preserve"> (Annexe 2)</w:t>
      </w:r>
      <w:r w:rsidRPr="00366E03">
        <w:rPr>
          <w:rFonts w:cs="Arial"/>
          <w:szCs w:val="18"/>
        </w:rPr>
        <w:t xml:space="preserve"> indique ce qui doit être réglé respectivement au titulaire du présent accord-cadre, à ses cotraitants et à ses sous-traitants éventuels et, au prestataire mandataire et à ses cocontractants en cas de groupement. </w:t>
      </w:r>
    </w:p>
    <w:p w14:paraId="1470B973" w14:textId="6862EC54" w:rsidR="005D5A5C" w:rsidRDefault="005D5A5C" w:rsidP="006C095B"/>
    <w:p w14:paraId="1162A0B1" w14:textId="07479D05" w:rsidR="00743A37" w:rsidRPr="005E28F6" w:rsidRDefault="00743A37" w:rsidP="0073779B">
      <w:pPr>
        <w:pStyle w:val="Titre3"/>
      </w:pPr>
      <w:bookmarkStart w:id="114" w:name="_Toc506218285"/>
      <w:bookmarkStart w:id="115" w:name="_Toc167956977"/>
      <w:r w:rsidRPr="005E28F6">
        <w:t>Module de gestion financière</w:t>
      </w:r>
      <w:bookmarkEnd w:id="114"/>
      <w:bookmarkEnd w:id="115"/>
    </w:p>
    <w:p w14:paraId="0FBB54AF" w14:textId="77777777" w:rsidR="00743A37" w:rsidRPr="005E28F6" w:rsidRDefault="00743A37" w:rsidP="00C16C38">
      <w:r w:rsidRPr="005E28F6">
        <w:t>Les demandes de paiement d’acompte par le titulaire (calcul des décomptes et des acomptes) seront calculées, diffusées et échangées à l’aide du service électronique de traitement, d’archivage et d’échanges d’informations EDIFLEX.</w:t>
      </w:r>
    </w:p>
    <w:p w14:paraId="14FAD48F" w14:textId="615F7A7E" w:rsidR="00743A37" w:rsidRDefault="00743A37" w:rsidP="00C16C38">
      <w:r w:rsidRPr="005E28F6">
        <w:t>L’utilisation de ce système retenu par le maître d’ouvrage est obligatoire pour le titulaire. Le système sera utilisé dès sa mise en place pour l'établissement des pièces justificatives des acomptes et du solde (calcul des coefficients de révision, état de la révision, état de la T.V.A.).</w:t>
      </w:r>
    </w:p>
    <w:p w14:paraId="64899099" w14:textId="77777777" w:rsidR="00E06258" w:rsidRDefault="00E06258" w:rsidP="00E06258"/>
    <w:p w14:paraId="0BC9C269" w14:textId="46E84A36" w:rsidR="00E06258" w:rsidRDefault="00E06258" w:rsidP="0073779B">
      <w:pPr>
        <w:pStyle w:val="Titre3"/>
      </w:pPr>
      <w:bookmarkStart w:id="116" w:name="_Toc167956978"/>
      <w:r>
        <w:t>Avance</w:t>
      </w:r>
      <w:bookmarkEnd w:id="116"/>
    </w:p>
    <w:p w14:paraId="14A82103" w14:textId="77777777" w:rsidR="00786884" w:rsidRPr="00B06C93" w:rsidRDefault="00786884" w:rsidP="008C021C">
      <w:pPr>
        <w:pStyle w:val="Titre4"/>
        <w:numPr>
          <w:ilvl w:val="3"/>
          <w:numId w:val="13"/>
        </w:numPr>
      </w:pPr>
      <w:r w:rsidRPr="00B06C93">
        <w:t xml:space="preserve">Avance aux </w:t>
      </w:r>
      <w:r>
        <w:t>co</w:t>
      </w:r>
      <w:r w:rsidRPr="00B06C93">
        <w:t>-traitants</w:t>
      </w:r>
    </w:p>
    <w:p w14:paraId="1107213F" w14:textId="1426DA4C" w:rsidR="00786884" w:rsidRPr="008D6CD6" w:rsidRDefault="00786884" w:rsidP="00786884">
      <w:r w:rsidRPr="008D6CD6">
        <w:t xml:space="preserve">Conformément aux dispositions des articles R.2191-3 </w:t>
      </w:r>
      <w:r w:rsidR="005D5A5C">
        <w:t xml:space="preserve">à R2191-5 </w:t>
      </w:r>
      <w:r w:rsidRPr="008D6CD6">
        <w:t xml:space="preserve">du code de la commande publique, une avance sera versée au </w:t>
      </w:r>
      <w:r w:rsidR="005D5A5C">
        <w:t>titulaire du marché</w:t>
      </w:r>
      <w:r w:rsidRPr="008D6CD6">
        <w:t>, sauf en cas de refus par celui–ci, précisé dans l'acte d'engagement.</w:t>
      </w:r>
    </w:p>
    <w:p w14:paraId="5993275B" w14:textId="77777777" w:rsidR="00786884" w:rsidRPr="008D6CD6" w:rsidRDefault="00786884" w:rsidP="00786884">
      <w:r w:rsidRPr="008D6CD6">
        <w:t>L’option A du CCAG-PI est retenue par le pouvoir adjudicateur.</w:t>
      </w:r>
    </w:p>
    <w:p w14:paraId="7D59B41C" w14:textId="77777777" w:rsidR="00786884" w:rsidRPr="008D6CD6" w:rsidRDefault="00786884" w:rsidP="00786884">
      <w:r w:rsidRPr="008D6CD6">
        <w:t>Le montant de l’avance est calculé conformément aux dispositions de l’article R.2191-7 du code de la commande publique, sur la base d’un taux de 20% et en tenant compte des modalités de calcul suivantes</w:t>
      </w:r>
      <w:r w:rsidRPr="00786884">
        <w:rPr>
          <w:rFonts w:ascii="Calibri" w:hAnsi="Calibri" w:cs="Calibri"/>
        </w:rPr>
        <w:t> </w:t>
      </w:r>
      <w:r w:rsidRPr="008D6CD6">
        <w:t>:</w:t>
      </w:r>
    </w:p>
    <w:p w14:paraId="755F7F25" w14:textId="15FAA2CA" w:rsidR="00786884" w:rsidRPr="008D6CD6" w:rsidRDefault="00786884" w:rsidP="008C021C">
      <w:pPr>
        <w:pStyle w:val="Paragraphedeliste"/>
        <w:numPr>
          <w:ilvl w:val="0"/>
          <w:numId w:val="15"/>
        </w:numPr>
      </w:pPr>
      <w:r w:rsidRPr="008D6CD6">
        <w:t>Lorsqu'une partie du contrat est sous-traitée, le montant initial du contrat est diminué du montant des prestations confiées au sous-traitant et donnant lieu au paiement direct</w:t>
      </w:r>
    </w:p>
    <w:p w14:paraId="6B9D9AB6" w14:textId="60F394DD" w:rsidR="00786884" w:rsidRPr="008D6CD6" w:rsidRDefault="00786884" w:rsidP="008C021C">
      <w:pPr>
        <w:pStyle w:val="Paragraphedeliste"/>
        <w:numPr>
          <w:ilvl w:val="0"/>
          <w:numId w:val="15"/>
        </w:numPr>
      </w:pPr>
      <w:r w:rsidRPr="008D6CD6">
        <w:t>Lorsque la durée du contrat est supérieure à douze mois, le montant de l'avance est fixé à 20% d'une somme égale à douze fois le montant initial toutes taxes comprises du contrat</w:t>
      </w:r>
      <w:r w:rsidRPr="008D6CD6" w:rsidDel="00802C96">
        <w:t xml:space="preserve"> </w:t>
      </w:r>
      <w:r w:rsidRPr="008D6CD6">
        <w:t>é divisé par sa durée exprimée en mois.</w:t>
      </w:r>
    </w:p>
    <w:p w14:paraId="18452417" w14:textId="049AFC6D" w:rsidR="00786884" w:rsidRPr="008D6CD6" w:rsidRDefault="00786884" w:rsidP="008C021C">
      <w:pPr>
        <w:pStyle w:val="Paragraphedeliste"/>
        <w:numPr>
          <w:ilvl w:val="0"/>
          <w:numId w:val="15"/>
        </w:numPr>
      </w:pPr>
      <w:r w:rsidRPr="008D6CD6">
        <w:t>Le montant de l'avance n’est pas affecté par les clauses de variation de prix prévues dans le présent contrat.</w:t>
      </w:r>
    </w:p>
    <w:p w14:paraId="2F865675" w14:textId="77777777" w:rsidR="00786884" w:rsidRPr="008D6CD6" w:rsidRDefault="00786884" w:rsidP="00786884"/>
    <w:p w14:paraId="4FAF80A6" w14:textId="77777777" w:rsidR="00786884" w:rsidRPr="008D6CD6" w:rsidRDefault="00786884" w:rsidP="00786884">
      <w:r w:rsidRPr="008D6CD6">
        <w:t>Le paiement de cette avance interviendra dans le délai de 30 jours à partir de la date à laquelle commence à courir le délai contractuel d'exécution du premier élément constitutif de la mission.</w:t>
      </w:r>
    </w:p>
    <w:p w14:paraId="1AE73859" w14:textId="77777777" w:rsidR="00786884" w:rsidRPr="008D6CD6" w:rsidRDefault="00786884" w:rsidP="00786884">
      <w:r w:rsidRPr="008D6CD6">
        <w:lastRenderedPageBreak/>
        <w:t xml:space="preserve">Le remboursement de cette avance commencera lorsque le montant cumulé des demandes d'acompte présentées par le maître d'œuvre atteindra ou dépassera 65 % du montant initial (hors TVA) du marché. </w:t>
      </w:r>
    </w:p>
    <w:p w14:paraId="33697238" w14:textId="77777777" w:rsidR="00786884" w:rsidRPr="008D6CD6" w:rsidRDefault="00786884" w:rsidP="00786884">
      <w:r w:rsidRPr="008D6CD6">
        <w:t>Ce remboursement devra être terminé lorsque ledit montant aura atteint 80 % du montant initial (hors TVA) du marché.</w:t>
      </w:r>
    </w:p>
    <w:p w14:paraId="6F4F978C" w14:textId="77777777" w:rsidR="00786884" w:rsidRPr="008D6CD6" w:rsidRDefault="00786884" w:rsidP="00786884">
      <w:r w:rsidRPr="008D6CD6">
        <w:t>Son montant ne sera ni révisable, ni actualisable.</w:t>
      </w:r>
    </w:p>
    <w:p w14:paraId="5B75C174" w14:textId="77777777" w:rsidR="00786884" w:rsidRPr="008D6CD6" w:rsidRDefault="00786884" w:rsidP="00786884">
      <w:r w:rsidRPr="008D6CD6">
        <w:t>En cas de cotraitance avec paiements séparés, le présent article s'appliquera à chacune des parts de la répartition visée à l'acte d'engagement.</w:t>
      </w:r>
    </w:p>
    <w:p w14:paraId="19304956" w14:textId="61FB1D76" w:rsidR="00786884" w:rsidRPr="00786884" w:rsidRDefault="00786884" w:rsidP="008C021C">
      <w:pPr>
        <w:pStyle w:val="Titre4"/>
        <w:numPr>
          <w:ilvl w:val="3"/>
          <w:numId w:val="13"/>
        </w:numPr>
      </w:pPr>
      <w:r w:rsidRPr="00786884">
        <w:t>Avance aux sous-traitants</w:t>
      </w:r>
    </w:p>
    <w:p w14:paraId="34AFAF81" w14:textId="728FFED6" w:rsidR="00786884" w:rsidRPr="008D6CD6" w:rsidRDefault="00786884" w:rsidP="00786884">
      <w:r w:rsidRPr="008D6CD6">
        <w:t>L’option A du CCAG-</w:t>
      </w:r>
      <w:r>
        <w:t>PI</w:t>
      </w:r>
      <w:r w:rsidRPr="008D6CD6">
        <w:t xml:space="preserve"> est retenue par le pouvoir adjudicateur.</w:t>
      </w:r>
    </w:p>
    <w:p w14:paraId="52ECC227" w14:textId="77777777" w:rsidR="00786884" w:rsidRPr="008D6CD6" w:rsidRDefault="00786884" w:rsidP="00786884">
      <w:r w:rsidRPr="008D6CD6">
        <w:t>Une avance peut être versée, sur leur demande, aux sous-traitants dans les conditions décrites aux articles R.2193-17 à R.2193-21 du code de la commande publique suivant les conditions suivantes</w:t>
      </w:r>
      <w:r w:rsidRPr="00786884">
        <w:rPr>
          <w:rFonts w:ascii="Calibri" w:hAnsi="Calibri" w:cs="Calibri"/>
        </w:rPr>
        <w:t> </w:t>
      </w:r>
      <w:r w:rsidRPr="008D6CD6">
        <w:t>:</w:t>
      </w:r>
    </w:p>
    <w:p w14:paraId="5FE12749" w14:textId="6E4DF9F1" w:rsidR="00786884" w:rsidRPr="008D6CD6" w:rsidRDefault="00786884" w:rsidP="008C021C">
      <w:pPr>
        <w:pStyle w:val="Paragraphedeliste"/>
        <w:numPr>
          <w:ilvl w:val="0"/>
          <w:numId w:val="14"/>
        </w:numPr>
      </w:pPr>
      <w:r w:rsidRPr="008D6CD6">
        <w:t>Pour le calcul du montant de cette avance, les limites fixées à l’article 8.3.1 sont appréciées par référence au montant des prestations confiées au sous-traitant tel qu'il figure dans le contrat ou dans l'acte spécial.</w:t>
      </w:r>
    </w:p>
    <w:p w14:paraId="5BAD028B" w14:textId="3B84E3FB" w:rsidR="00786884" w:rsidRPr="008D6CD6" w:rsidRDefault="00786884" w:rsidP="008C021C">
      <w:pPr>
        <w:pStyle w:val="Paragraphedeliste"/>
        <w:numPr>
          <w:ilvl w:val="0"/>
          <w:numId w:val="14"/>
        </w:numPr>
      </w:pPr>
      <w:r w:rsidRPr="008D6CD6">
        <w:t>Le droit du sous-traitant à une avance est ouvert dès la notification du contrat ou de l'acte spécial par l'acheteur. Le remboursement de cette avance s'impute sur les sommes dues au sous-traitant selon les mêmes modalités que celles prévues à l’article 8.3.1.</w:t>
      </w:r>
    </w:p>
    <w:p w14:paraId="17478556" w14:textId="6A18A232" w:rsidR="00786884" w:rsidRPr="008D6CD6" w:rsidRDefault="00786884" w:rsidP="008C021C">
      <w:pPr>
        <w:pStyle w:val="Paragraphedeliste"/>
        <w:numPr>
          <w:ilvl w:val="0"/>
          <w:numId w:val="14"/>
        </w:numPr>
      </w:pPr>
      <w:r w:rsidRPr="008D6CD6">
        <w:t>Si le titulaire du contrat qui a perçu l'avance sous-traite une part du contrat en cours d'exécution, il rembourse l'avance correspondant au montant des prestations sous-traitées et donnant lieu à paiement direct à l'acheteur, même dans le cas où le sous-traitant ne souhaite pas bénéficier de l'avance.</w:t>
      </w:r>
    </w:p>
    <w:p w14:paraId="2DD2EADE" w14:textId="76072C3B" w:rsidR="00786884" w:rsidRPr="008D6CD6" w:rsidRDefault="00786884" w:rsidP="008C021C">
      <w:pPr>
        <w:pStyle w:val="Paragraphedeliste"/>
        <w:numPr>
          <w:ilvl w:val="0"/>
          <w:numId w:val="14"/>
        </w:numPr>
      </w:pPr>
      <w:r w:rsidRPr="008D6CD6">
        <w:t>Le remboursement par le titulaire s'impute sur les sommes qui lui sont dues par l'acheteur dès la notification de l'acte spécial.</w:t>
      </w:r>
    </w:p>
    <w:p w14:paraId="0C8A653F" w14:textId="77777777" w:rsidR="001E1C6F" w:rsidRPr="00C16C38" w:rsidRDefault="001E1C6F" w:rsidP="00E06258"/>
    <w:p w14:paraId="2F3386B4" w14:textId="0C4D2780" w:rsidR="00E601AA" w:rsidRPr="00006200" w:rsidRDefault="00E601AA" w:rsidP="004C68F3">
      <w:pPr>
        <w:pStyle w:val="Titre3"/>
      </w:pPr>
      <w:bookmarkStart w:id="117" w:name="_Toc142376111"/>
      <w:bookmarkStart w:id="118" w:name="_Toc142492185"/>
      <w:bookmarkStart w:id="119" w:name="_Toc167956979"/>
      <w:bookmarkEnd w:id="117"/>
      <w:bookmarkEnd w:id="118"/>
      <w:r w:rsidRPr="00006200">
        <w:t>Règlement des comptes</w:t>
      </w:r>
      <w:bookmarkEnd w:id="119"/>
    </w:p>
    <w:p w14:paraId="095F2E09" w14:textId="77777777" w:rsidR="00786884" w:rsidRDefault="00786884" w:rsidP="00786884">
      <w:pPr>
        <w:pStyle w:val="Normal4"/>
      </w:pPr>
      <w:r w:rsidRPr="008D6CD6">
        <w:t>Par dérogation à l’article 11.6 du CCAG-</w:t>
      </w:r>
      <w:r>
        <w:t>PI</w:t>
      </w:r>
      <w:r w:rsidRPr="008D6CD6">
        <w:t xml:space="preserve">, les acomptes ne sont pas notifiés au titulaire du contrat. </w:t>
      </w:r>
    </w:p>
    <w:p w14:paraId="5894397B" w14:textId="77777777" w:rsidR="005D5A5C" w:rsidRDefault="005D5A5C" w:rsidP="005D5A5C">
      <w:pPr>
        <w:rPr>
          <w:rFonts w:cs="Arial"/>
        </w:rPr>
      </w:pPr>
    </w:p>
    <w:p w14:paraId="6150FB07" w14:textId="6AFBBD3F" w:rsidR="005D5A5C" w:rsidRDefault="005D5A5C" w:rsidP="005D5A5C">
      <w:pPr>
        <w:rPr>
          <w:rFonts w:cs="Arial"/>
        </w:rPr>
      </w:pPr>
      <w:r w:rsidRPr="00F506C2">
        <w:rPr>
          <w:rFonts w:cs="Arial"/>
        </w:rPr>
        <w:t xml:space="preserve">Chaque bon de commande ou </w:t>
      </w:r>
      <w:r w:rsidRPr="00E06B35">
        <w:rPr>
          <w:rFonts w:cs="Arial"/>
        </w:rPr>
        <w:t>marché subséquent</w:t>
      </w:r>
      <w:r w:rsidRPr="00F506C2">
        <w:rPr>
          <w:rFonts w:cs="Arial"/>
        </w:rPr>
        <w:t xml:space="preserve"> fait l’objet </w:t>
      </w:r>
      <w:r>
        <w:rPr>
          <w:rFonts w:cs="Arial"/>
        </w:rPr>
        <w:t>d’une ou plusieurs factures</w:t>
      </w:r>
      <w:r w:rsidRPr="00F506C2">
        <w:rPr>
          <w:rFonts w:cs="Arial"/>
        </w:rPr>
        <w:t xml:space="preserve"> et donne lieu à règlement du titulaire après l’acceptation des dites prestations.</w:t>
      </w:r>
    </w:p>
    <w:p w14:paraId="6709570E" w14:textId="77777777" w:rsidR="005D5A5C" w:rsidRPr="008D6CD6" w:rsidRDefault="005D5A5C" w:rsidP="00786884">
      <w:pPr>
        <w:pStyle w:val="Normal4"/>
      </w:pPr>
    </w:p>
    <w:p w14:paraId="4ACBDB68" w14:textId="1DB06C53" w:rsidR="00961514" w:rsidRPr="004C68F3" w:rsidRDefault="00A44FBE" w:rsidP="00A44FBE">
      <w:pPr>
        <w:rPr>
          <w:rFonts w:cs="Verdana"/>
        </w:rPr>
      </w:pPr>
      <w:r w:rsidRPr="004C68F3">
        <w:rPr>
          <w:rFonts w:cs="Verdana"/>
        </w:rPr>
        <w:t>La facturation des prestations interviendra selon le calendrier ci-dessou</w:t>
      </w:r>
      <w:r w:rsidR="00441AE6" w:rsidRPr="004C68F3">
        <w:rPr>
          <w:rFonts w:cs="Verdana"/>
        </w:rPr>
        <w:t>s</w:t>
      </w:r>
      <w:r w:rsidRPr="004C68F3">
        <w:rPr>
          <w:rFonts w:ascii="Calibri" w:hAnsi="Calibri" w:cs="Calibri"/>
        </w:rPr>
        <w:t> </w:t>
      </w:r>
      <w:r w:rsidRPr="004C68F3">
        <w:rPr>
          <w:rFonts w:cs="Verdana"/>
        </w:rPr>
        <w:t>:</w:t>
      </w:r>
    </w:p>
    <w:tbl>
      <w:tblPr>
        <w:tblW w:w="9009" w:type="dxa"/>
        <w:tblInd w:w="70" w:type="dxa"/>
        <w:tblBorders>
          <w:top w:val="single" w:sz="6" w:space="0" w:color="auto"/>
          <w:bottom w:val="single" w:sz="6" w:space="0" w:color="auto"/>
          <w:insideH w:val="single" w:sz="6" w:space="0" w:color="auto"/>
        </w:tblBorders>
        <w:tblLayout w:type="fixed"/>
        <w:tblCellMar>
          <w:left w:w="70" w:type="dxa"/>
          <w:right w:w="70" w:type="dxa"/>
        </w:tblCellMar>
        <w:tblLook w:val="0000" w:firstRow="0" w:lastRow="0" w:firstColumn="0" w:lastColumn="0" w:noHBand="0" w:noVBand="0"/>
      </w:tblPr>
      <w:tblGrid>
        <w:gridCol w:w="2620"/>
        <w:gridCol w:w="296"/>
        <w:gridCol w:w="160"/>
        <w:gridCol w:w="5772"/>
        <w:gridCol w:w="161"/>
      </w:tblGrid>
      <w:tr w:rsidR="00A44FBE" w:rsidRPr="00E569B0" w14:paraId="2DF43F5D" w14:textId="77777777" w:rsidTr="004C68F3">
        <w:trPr>
          <w:cantSplit/>
        </w:trPr>
        <w:tc>
          <w:tcPr>
            <w:tcW w:w="2907" w:type="dxa"/>
            <w:gridSpan w:val="2"/>
            <w:shd w:val="clear" w:color="auto" w:fill="E0E0E0"/>
          </w:tcPr>
          <w:p w14:paraId="09AD0584" w14:textId="77777777" w:rsidR="00A44FBE" w:rsidRPr="004C68F3" w:rsidRDefault="00A44FBE" w:rsidP="00BD06B9">
            <w:pPr>
              <w:rPr>
                <w:rFonts w:cs="Calibri"/>
                <w:b/>
                <w:bCs/>
              </w:rPr>
            </w:pPr>
            <w:bookmarkStart w:id="120" w:name="_Hlk142065744"/>
            <w:r w:rsidRPr="004C68F3">
              <w:rPr>
                <w:rFonts w:cs="Calibri"/>
                <w:b/>
                <w:bCs/>
              </w:rPr>
              <w:t>Etape</w:t>
            </w:r>
          </w:p>
        </w:tc>
        <w:tc>
          <w:tcPr>
            <w:tcW w:w="160" w:type="dxa"/>
            <w:shd w:val="clear" w:color="auto" w:fill="E0E0E0"/>
          </w:tcPr>
          <w:p w14:paraId="4DB95F89" w14:textId="77777777" w:rsidR="00A44FBE" w:rsidRPr="004C68F3" w:rsidRDefault="00A44FBE" w:rsidP="00BD06B9">
            <w:pPr>
              <w:jc w:val="center"/>
              <w:rPr>
                <w:rFonts w:cs="Calibri"/>
                <w:b/>
                <w:bCs/>
              </w:rPr>
            </w:pPr>
          </w:p>
        </w:tc>
        <w:tc>
          <w:tcPr>
            <w:tcW w:w="5942" w:type="dxa"/>
            <w:gridSpan w:val="2"/>
            <w:shd w:val="clear" w:color="auto" w:fill="E0E0E0"/>
          </w:tcPr>
          <w:p w14:paraId="5B92E8A7" w14:textId="77777777" w:rsidR="00A44FBE" w:rsidRPr="004C68F3" w:rsidRDefault="00A44FBE" w:rsidP="00BD06B9">
            <w:pPr>
              <w:rPr>
                <w:rFonts w:cs="Calibri"/>
                <w:b/>
                <w:bCs/>
              </w:rPr>
            </w:pPr>
            <w:r w:rsidRPr="004C68F3">
              <w:rPr>
                <w:rFonts w:cs="Calibri"/>
                <w:b/>
                <w:bCs/>
              </w:rPr>
              <w:t>Facturation</w:t>
            </w:r>
          </w:p>
        </w:tc>
      </w:tr>
      <w:tr w:rsidR="00A44FBE" w:rsidRPr="00E569B0" w14:paraId="0256A3D3" w14:textId="77777777" w:rsidTr="004C68F3">
        <w:trPr>
          <w:gridAfter w:val="1"/>
          <w:wAfter w:w="148" w:type="dxa"/>
          <w:cantSplit/>
        </w:trPr>
        <w:tc>
          <w:tcPr>
            <w:tcW w:w="2624" w:type="dxa"/>
            <w:tcBorders>
              <w:top w:val="dotted" w:sz="4" w:space="0" w:color="auto"/>
              <w:bottom w:val="dotted" w:sz="4" w:space="0" w:color="auto"/>
            </w:tcBorders>
            <w:vAlign w:val="center"/>
          </w:tcPr>
          <w:p w14:paraId="0E2F8D75" w14:textId="143862BE" w:rsidR="00A44FBE" w:rsidRPr="004C68F3" w:rsidRDefault="00A82CB7" w:rsidP="00A44FBE">
            <w:pPr>
              <w:pStyle w:val="Corpsdetexte"/>
              <w:rPr>
                <w:rFonts w:cs="Verdana"/>
              </w:rPr>
            </w:pPr>
            <w:r>
              <w:rPr>
                <w:rFonts w:cs="Verdana"/>
              </w:rPr>
              <w:t>Suivi de la</w:t>
            </w:r>
            <w:r w:rsidR="00A011A7">
              <w:rPr>
                <w:rFonts w:cs="Verdana"/>
              </w:rPr>
              <w:t xml:space="preserve"> conception </w:t>
            </w:r>
            <w:proofErr w:type="gramStart"/>
            <w:r w:rsidR="00A011A7">
              <w:rPr>
                <w:rFonts w:cs="Verdana"/>
              </w:rPr>
              <w:t>et  de</w:t>
            </w:r>
            <w:proofErr w:type="gramEnd"/>
            <w:r w:rsidR="00A011A7">
              <w:rPr>
                <w:rFonts w:cs="Verdana"/>
              </w:rPr>
              <w:t xml:space="preserve"> la</w:t>
            </w:r>
            <w:r>
              <w:rPr>
                <w:rFonts w:cs="Verdana"/>
              </w:rPr>
              <w:t xml:space="preserve"> réalisation des </w:t>
            </w:r>
            <w:r w:rsidR="005D381B">
              <w:rPr>
                <w:rFonts w:cs="Verdana"/>
              </w:rPr>
              <w:t>travaux</w:t>
            </w:r>
          </w:p>
        </w:tc>
        <w:tc>
          <w:tcPr>
            <w:tcW w:w="296" w:type="dxa"/>
            <w:tcBorders>
              <w:top w:val="dotted" w:sz="4" w:space="0" w:color="auto"/>
              <w:bottom w:val="dotted" w:sz="4" w:space="0" w:color="auto"/>
            </w:tcBorders>
            <w:vAlign w:val="center"/>
          </w:tcPr>
          <w:p w14:paraId="51527D98" w14:textId="77777777" w:rsidR="00A44FBE" w:rsidRPr="004C68F3" w:rsidRDefault="00A44FBE" w:rsidP="00A44FBE">
            <w:pPr>
              <w:pStyle w:val="Corpsdetexte"/>
              <w:rPr>
                <w:rFonts w:cs="Verdana"/>
              </w:rPr>
            </w:pPr>
          </w:p>
        </w:tc>
        <w:tc>
          <w:tcPr>
            <w:tcW w:w="5941" w:type="dxa"/>
            <w:gridSpan w:val="2"/>
            <w:tcBorders>
              <w:top w:val="dotted" w:sz="4" w:space="0" w:color="auto"/>
              <w:bottom w:val="dotted" w:sz="4" w:space="0" w:color="auto"/>
            </w:tcBorders>
            <w:vAlign w:val="center"/>
          </w:tcPr>
          <w:p w14:paraId="64A923FB" w14:textId="408881E3" w:rsidR="00A44FBE" w:rsidRPr="004C68F3" w:rsidRDefault="00A82CB7" w:rsidP="00A44FBE">
            <w:pPr>
              <w:pStyle w:val="Corpsdetexte"/>
              <w:rPr>
                <w:rFonts w:cs="Verdana"/>
              </w:rPr>
            </w:pPr>
            <w:r>
              <w:rPr>
                <w:rFonts w:cs="Verdana"/>
              </w:rPr>
              <w:t>90</w:t>
            </w:r>
            <w:r w:rsidR="00A44FBE" w:rsidRPr="004C68F3">
              <w:rPr>
                <w:rFonts w:cs="Verdana"/>
              </w:rPr>
              <w:t>% à</w:t>
            </w:r>
            <w:r>
              <w:rPr>
                <w:rFonts w:cs="Verdana"/>
              </w:rPr>
              <w:t xml:space="preserve"> l’avancement </w:t>
            </w:r>
            <w:r w:rsidR="00A44FBE" w:rsidRPr="004C68F3">
              <w:rPr>
                <w:rFonts w:cs="Verdana"/>
              </w:rPr>
              <w:t xml:space="preserve"> </w:t>
            </w:r>
          </w:p>
          <w:p w14:paraId="47D64660" w14:textId="08647B78" w:rsidR="00A44FBE" w:rsidRPr="004C68F3" w:rsidRDefault="00A82CB7" w:rsidP="00A44FBE">
            <w:pPr>
              <w:pStyle w:val="Corpsdetexte"/>
              <w:rPr>
                <w:rFonts w:cs="Verdana"/>
              </w:rPr>
            </w:pPr>
            <w:r>
              <w:rPr>
                <w:rFonts w:cs="Verdana"/>
              </w:rPr>
              <w:t>1</w:t>
            </w:r>
            <w:r w:rsidR="00A44FBE" w:rsidRPr="004C68F3">
              <w:rPr>
                <w:rFonts w:cs="Verdana"/>
              </w:rPr>
              <w:t xml:space="preserve">0% à la </w:t>
            </w:r>
            <w:r>
              <w:rPr>
                <w:rFonts w:cs="Verdana"/>
              </w:rPr>
              <w:t>réception avec ou sans réserve des travaux</w:t>
            </w:r>
          </w:p>
        </w:tc>
      </w:tr>
      <w:tr w:rsidR="00A44FBE" w:rsidRPr="00E569B0" w14:paraId="660C3555" w14:textId="77777777" w:rsidTr="004C68F3">
        <w:trPr>
          <w:gridAfter w:val="1"/>
          <w:wAfter w:w="148" w:type="dxa"/>
          <w:cantSplit/>
        </w:trPr>
        <w:tc>
          <w:tcPr>
            <w:tcW w:w="2624" w:type="dxa"/>
            <w:tcBorders>
              <w:top w:val="dotted" w:sz="4" w:space="0" w:color="auto"/>
              <w:bottom w:val="dotted" w:sz="4" w:space="0" w:color="auto"/>
            </w:tcBorders>
            <w:vAlign w:val="center"/>
          </w:tcPr>
          <w:p w14:paraId="50D78C0D" w14:textId="5C8462F7" w:rsidR="00A44FBE" w:rsidRPr="004C68F3" w:rsidRDefault="00A44FBE" w:rsidP="00A44FBE">
            <w:pPr>
              <w:pStyle w:val="Corpsdetexte"/>
              <w:rPr>
                <w:rFonts w:cs="Verdana"/>
              </w:rPr>
            </w:pPr>
            <w:r w:rsidRPr="004C68F3">
              <w:rPr>
                <w:rFonts w:cs="Verdana"/>
              </w:rPr>
              <w:t>Remise du PG(S)C</w:t>
            </w:r>
            <w:r w:rsidR="00A82CB7">
              <w:rPr>
                <w:rFonts w:cs="Verdana"/>
              </w:rPr>
              <w:t xml:space="preserve"> ou/et projet de plan de prévention</w:t>
            </w:r>
          </w:p>
        </w:tc>
        <w:tc>
          <w:tcPr>
            <w:tcW w:w="296" w:type="dxa"/>
            <w:tcBorders>
              <w:top w:val="dotted" w:sz="4" w:space="0" w:color="auto"/>
              <w:bottom w:val="dotted" w:sz="4" w:space="0" w:color="auto"/>
            </w:tcBorders>
            <w:vAlign w:val="center"/>
          </w:tcPr>
          <w:p w14:paraId="7824A39E" w14:textId="77777777" w:rsidR="00A44FBE" w:rsidRPr="004C68F3" w:rsidRDefault="00A44FBE" w:rsidP="00A44FBE">
            <w:pPr>
              <w:pStyle w:val="Corpsdetexte"/>
              <w:rPr>
                <w:rFonts w:cs="Verdana"/>
              </w:rPr>
            </w:pPr>
          </w:p>
        </w:tc>
        <w:tc>
          <w:tcPr>
            <w:tcW w:w="5941" w:type="dxa"/>
            <w:gridSpan w:val="2"/>
            <w:tcBorders>
              <w:top w:val="dotted" w:sz="4" w:space="0" w:color="auto"/>
              <w:bottom w:val="dotted" w:sz="4" w:space="0" w:color="auto"/>
            </w:tcBorders>
            <w:vAlign w:val="center"/>
          </w:tcPr>
          <w:p w14:paraId="30A5CD86" w14:textId="77777777" w:rsidR="00A44FBE" w:rsidRPr="004C68F3" w:rsidRDefault="00A44FBE" w:rsidP="00A44FBE">
            <w:pPr>
              <w:pStyle w:val="Corpsdetexte"/>
              <w:rPr>
                <w:rFonts w:cs="Verdana"/>
              </w:rPr>
            </w:pPr>
            <w:r w:rsidRPr="004C68F3">
              <w:rPr>
                <w:rFonts w:cs="Verdana"/>
              </w:rPr>
              <w:t>80% à la remise du PG(S)C</w:t>
            </w:r>
          </w:p>
          <w:p w14:paraId="63CA6186" w14:textId="11E15DFF" w:rsidR="00A44FBE" w:rsidRPr="004C68F3" w:rsidRDefault="00A44FBE" w:rsidP="00A44FBE">
            <w:pPr>
              <w:pStyle w:val="Corpsdetexte"/>
              <w:rPr>
                <w:rFonts w:cs="Verdana"/>
              </w:rPr>
            </w:pPr>
            <w:r w:rsidRPr="004C68F3">
              <w:rPr>
                <w:rFonts w:cs="Verdana"/>
              </w:rPr>
              <w:t>20% à l’acceptation du PG(S)C par le M</w:t>
            </w:r>
            <w:r w:rsidR="00E569B0">
              <w:rPr>
                <w:rFonts w:cs="Verdana"/>
              </w:rPr>
              <w:t>OA</w:t>
            </w:r>
          </w:p>
        </w:tc>
      </w:tr>
      <w:tr w:rsidR="00A44FBE" w:rsidRPr="00E569B0" w14:paraId="2C5307C0" w14:textId="77777777" w:rsidTr="004C68F3">
        <w:trPr>
          <w:gridAfter w:val="1"/>
          <w:wAfter w:w="148" w:type="dxa"/>
          <w:cantSplit/>
        </w:trPr>
        <w:tc>
          <w:tcPr>
            <w:tcW w:w="2624" w:type="dxa"/>
            <w:tcBorders>
              <w:top w:val="dotted" w:sz="4" w:space="0" w:color="auto"/>
              <w:bottom w:val="dotted" w:sz="4" w:space="0" w:color="auto"/>
            </w:tcBorders>
            <w:vAlign w:val="center"/>
          </w:tcPr>
          <w:p w14:paraId="7D66EE0B" w14:textId="2624210F" w:rsidR="00A44FBE" w:rsidRPr="004C68F3" w:rsidRDefault="00A44FBE" w:rsidP="00A44FBE">
            <w:pPr>
              <w:pStyle w:val="Corpsdetexte"/>
              <w:rPr>
                <w:rFonts w:cs="Verdana"/>
              </w:rPr>
            </w:pPr>
            <w:r w:rsidRPr="004C68F3">
              <w:rPr>
                <w:rFonts w:cs="Verdana"/>
              </w:rPr>
              <w:t>Remise du rapport d’analyse du rapport APS</w:t>
            </w:r>
            <w:r w:rsidR="00F8776C" w:rsidRPr="004C68F3">
              <w:rPr>
                <w:rFonts w:cs="Verdana"/>
              </w:rPr>
              <w:t xml:space="preserve"> et/ou APD et/ou PRO</w:t>
            </w:r>
          </w:p>
        </w:tc>
        <w:tc>
          <w:tcPr>
            <w:tcW w:w="296" w:type="dxa"/>
            <w:tcBorders>
              <w:top w:val="dotted" w:sz="4" w:space="0" w:color="auto"/>
              <w:bottom w:val="dotted" w:sz="4" w:space="0" w:color="auto"/>
            </w:tcBorders>
            <w:vAlign w:val="center"/>
          </w:tcPr>
          <w:p w14:paraId="70C718F9" w14:textId="77777777" w:rsidR="00A44FBE" w:rsidRPr="00A011A7" w:rsidRDefault="00A44FBE" w:rsidP="00A44FBE">
            <w:pPr>
              <w:pStyle w:val="Corpsdetexte"/>
              <w:rPr>
                <w:rFonts w:ascii="Verdana" w:hAnsi="Verdana" w:cs="Verdana"/>
                <w:sz w:val="18"/>
                <w:szCs w:val="18"/>
              </w:rPr>
            </w:pPr>
          </w:p>
        </w:tc>
        <w:tc>
          <w:tcPr>
            <w:tcW w:w="5941" w:type="dxa"/>
            <w:gridSpan w:val="2"/>
            <w:tcBorders>
              <w:top w:val="dotted" w:sz="4" w:space="0" w:color="auto"/>
              <w:bottom w:val="dotted" w:sz="4" w:space="0" w:color="auto"/>
            </w:tcBorders>
            <w:vAlign w:val="center"/>
          </w:tcPr>
          <w:p w14:paraId="211607C3" w14:textId="6B5B71C6" w:rsidR="00A44FBE" w:rsidRPr="004C68F3" w:rsidRDefault="00A44FBE" w:rsidP="00A44FBE">
            <w:pPr>
              <w:pStyle w:val="Corpsdetexte"/>
              <w:rPr>
                <w:rFonts w:cs="Verdana"/>
              </w:rPr>
            </w:pPr>
            <w:r w:rsidRPr="004C68F3">
              <w:rPr>
                <w:rFonts w:cs="Verdana"/>
              </w:rPr>
              <w:t>80% à la remise du rapport</w:t>
            </w:r>
            <w:r w:rsidR="00A82CB7" w:rsidRPr="00A011A7">
              <w:rPr>
                <w:rFonts w:cs="Verdana"/>
              </w:rPr>
              <w:t xml:space="preserve"> ou compte rendu</w:t>
            </w:r>
          </w:p>
          <w:p w14:paraId="65348EB1" w14:textId="0DDFCA58" w:rsidR="00A44FBE" w:rsidRPr="004C68F3" w:rsidRDefault="00A44FBE" w:rsidP="00A44FBE">
            <w:pPr>
              <w:pStyle w:val="Corpsdetexte"/>
              <w:rPr>
                <w:rFonts w:cs="Verdana"/>
              </w:rPr>
            </w:pPr>
            <w:r w:rsidRPr="004C68F3">
              <w:rPr>
                <w:rFonts w:cs="Verdana"/>
              </w:rPr>
              <w:t>20% à l’acceptation du rapport</w:t>
            </w:r>
            <w:r w:rsidR="00A82CB7" w:rsidRPr="00A011A7">
              <w:rPr>
                <w:rFonts w:cs="Verdana"/>
              </w:rPr>
              <w:t xml:space="preserve"> ou compte rendu</w:t>
            </w:r>
            <w:r w:rsidRPr="004C68F3">
              <w:rPr>
                <w:rFonts w:cs="Verdana"/>
              </w:rPr>
              <w:t xml:space="preserve"> par le M</w:t>
            </w:r>
            <w:r w:rsidR="00E569B0" w:rsidRPr="00A011A7">
              <w:rPr>
                <w:rFonts w:cs="Verdana"/>
              </w:rPr>
              <w:t>OA</w:t>
            </w:r>
          </w:p>
        </w:tc>
      </w:tr>
      <w:tr w:rsidR="00A44FBE" w:rsidRPr="00E569B0" w14:paraId="39468F38" w14:textId="77777777" w:rsidTr="004C68F3">
        <w:trPr>
          <w:gridAfter w:val="1"/>
          <w:wAfter w:w="148" w:type="dxa"/>
          <w:cantSplit/>
        </w:trPr>
        <w:tc>
          <w:tcPr>
            <w:tcW w:w="2624" w:type="dxa"/>
            <w:tcBorders>
              <w:top w:val="dotted" w:sz="4" w:space="0" w:color="auto"/>
              <w:bottom w:val="dotted" w:sz="4" w:space="0" w:color="auto"/>
            </w:tcBorders>
            <w:vAlign w:val="center"/>
          </w:tcPr>
          <w:p w14:paraId="085D165D" w14:textId="77777777" w:rsidR="00A44FBE" w:rsidRPr="004C68F3" w:rsidRDefault="00A1110A" w:rsidP="00A44FBE">
            <w:pPr>
              <w:pStyle w:val="Corpsdetexte"/>
              <w:rPr>
                <w:rFonts w:cs="Verdana"/>
              </w:rPr>
            </w:pPr>
            <w:r w:rsidRPr="004C68F3">
              <w:rPr>
                <w:rFonts w:cs="Verdana"/>
              </w:rPr>
              <w:t>Remise du</w:t>
            </w:r>
            <w:r w:rsidR="00A44FBE" w:rsidRPr="004C68F3">
              <w:rPr>
                <w:rFonts w:cs="Verdana"/>
              </w:rPr>
              <w:t xml:space="preserve"> DIUO</w:t>
            </w:r>
          </w:p>
        </w:tc>
        <w:tc>
          <w:tcPr>
            <w:tcW w:w="296" w:type="dxa"/>
            <w:tcBorders>
              <w:top w:val="dotted" w:sz="4" w:space="0" w:color="auto"/>
              <w:bottom w:val="dotted" w:sz="4" w:space="0" w:color="auto"/>
            </w:tcBorders>
            <w:vAlign w:val="center"/>
          </w:tcPr>
          <w:p w14:paraId="762F9771" w14:textId="77777777" w:rsidR="00A44FBE" w:rsidRPr="004C68F3" w:rsidRDefault="00A44FBE" w:rsidP="00A44FBE">
            <w:pPr>
              <w:pStyle w:val="Corpsdetexte"/>
              <w:rPr>
                <w:rFonts w:cs="Verdana"/>
              </w:rPr>
            </w:pPr>
          </w:p>
        </w:tc>
        <w:tc>
          <w:tcPr>
            <w:tcW w:w="5941" w:type="dxa"/>
            <w:gridSpan w:val="2"/>
            <w:tcBorders>
              <w:top w:val="dotted" w:sz="4" w:space="0" w:color="auto"/>
              <w:bottom w:val="dotted" w:sz="4" w:space="0" w:color="auto"/>
            </w:tcBorders>
            <w:vAlign w:val="center"/>
          </w:tcPr>
          <w:p w14:paraId="1AD1C9F5" w14:textId="5D62491D" w:rsidR="00A44FBE" w:rsidRPr="004C68F3" w:rsidRDefault="00A44FBE" w:rsidP="00A44FBE">
            <w:pPr>
              <w:pStyle w:val="Corpsdetexte"/>
              <w:rPr>
                <w:rFonts w:cs="Verdana"/>
              </w:rPr>
            </w:pPr>
            <w:r w:rsidRPr="004C68F3">
              <w:rPr>
                <w:rFonts w:cs="Verdana"/>
              </w:rPr>
              <w:t xml:space="preserve">80% à la remise du </w:t>
            </w:r>
            <w:r w:rsidR="00A82CB7">
              <w:rPr>
                <w:rFonts w:cs="Verdana"/>
              </w:rPr>
              <w:t>dossier</w:t>
            </w:r>
          </w:p>
          <w:p w14:paraId="7D3D71E0" w14:textId="2F6E2724" w:rsidR="00A44FBE" w:rsidRPr="004C68F3" w:rsidRDefault="00A44FBE" w:rsidP="00A44FBE">
            <w:pPr>
              <w:pStyle w:val="Corpsdetexte"/>
              <w:rPr>
                <w:rFonts w:cs="Verdana"/>
              </w:rPr>
            </w:pPr>
            <w:r w:rsidRPr="004C68F3">
              <w:rPr>
                <w:rFonts w:cs="Verdana"/>
              </w:rPr>
              <w:t xml:space="preserve">20% à l’acceptation du </w:t>
            </w:r>
            <w:r w:rsidR="00A82CB7">
              <w:rPr>
                <w:rFonts w:cs="Verdana"/>
              </w:rPr>
              <w:t>dossier</w:t>
            </w:r>
            <w:r w:rsidR="00A82CB7" w:rsidRPr="004C68F3">
              <w:rPr>
                <w:rFonts w:cs="Verdana"/>
              </w:rPr>
              <w:t xml:space="preserve"> </w:t>
            </w:r>
            <w:r w:rsidRPr="004C68F3">
              <w:rPr>
                <w:rFonts w:cs="Verdana"/>
              </w:rPr>
              <w:t>par le M</w:t>
            </w:r>
            <w:r w:rsidR="00E569B0">
              <w:rPr>
                <w:rFonts w:cs="Verdana"/>
              </w:rPr>
              <w:t>OA</w:t>
            </w:r>
          </w:p>
        </w:tc>
      </w:tr>
      <w:bookmarkEnd w:id="120"/>
    </w:tbl>
    <w:p w14:paraId="62F12019" w14:textId="77777777" w:rsidR="00A44FBE" w:rsidRDefault="00A44FBE" w:rsidP="004C68F3"/>
    <w:p w14:paraId="033DA711" w14:textId="48AB2E75" w:rsidR="00DD1233" w:rsidRDefault="00DD1233" w:rsidP="004C68F3"/>
    <w:p w14:paraId="0BB86E96" w14:textId="1AAD8358" w:rsidR="008C021C" w:rsidRDefault="00786884" w:rsidP="008C021C">
      <w:pPr>
        <w:pStyle w:val="Titre3"/>
      </w:pPr>
      <w:bookmarkStart w:id="121" w:name="_Toc167956980"/>
      <w:r>
        <w:t>Modalités de paiement</w:t>
      </w:r>
      <w:bookmarkEnd w:id="121"/>
    </w:p>
    <w:p w14:paraId="66D77475" w14:textId="5648B9C6" w:rsidR="008C021C" w:rsidRDefault="008C021C" w:rsidP="008C021C">
      <w:pPr>
        <w:pStyle w:val="Titre4"/>
        <w:numPr>
          <w:ilvl w:val="3"/>
          <w:numId w:val="13"/>
        </w:numPr>
      </w:pPr>
      <w:r>
        <w:t>Demande de paiement</w:t>
      </w:r>
    </w:p>
    <w:p w14:paraId="028AC42F" w14:textId="36F0DDE5" w:rsidR="008C021C" w:rsidRPr="00AE5505" w:rsidRDefault="008C021C" w:rsidP="008C021C">
      <w:pPr>
        <w:pStyle w:val="Normal4"/>
      </w:pPr>
      <w:bookmarkStart w:id="122" w:name="_Hlk161846998"/>
      <w:r w:rsidRPr="00AE5505">
        <w:lastRenderedPageBreak/>
        <w:t xml:space="preserve">Les demandes de paiement présentées par le </w:t>
      </w:r>
      <w:r w:rsidR="005D5A5C">
        <w:t xml:space="preserve">titulaire </w:t>
      </w:r>
      <w:r w:rsidRPr="00AE5505">
        <w:t>établissent le montant, en prix de base et hors TVA, des sommes auxquelles il peut prétendre du fait de l'avancement de l'exécution des prestations réalisées, abstraction faite des pénalités pour retard ou des réfactions.</w:t>
      </w:r>
    </w:p>
    <w:bookmarkEnd w:id="122"/>
    <w:p w14:paraId="2094F806" w14:textId="77777777" w:rsidR="008C021C" w:rsidRPr="00AE5505" w:rsidRDefault="008C021C" w:rsidP="008C021C">
      <w:pPr>
        <w:pStyle w:val="Normal4"/>
      </w:pPr>
      <w:r w:rsidRPr="00AE5505">
        <w:t>Les demandes de paiement indiquent les phases de la mission réalisées, leur date d'achèvement et leur rémunération, par référence au tableau figurant à l'article 8.4.1 ci-avant.</w:t>
      </w:r>
    </w:p>
    <w:p w14:paraId="0DFBB376" w14:textId="319B38D4" w:rsidR="008C021C" w:rsidRPr="00AE5505" w:rsidRDefault="008C021C" w:rsidP="008C021C">
      <w:pPr>
        <w:pStyle w:val="Normal4"/>
      </w:pPr>
      <w:r w:rsidRPr="00AE5505">
        <w:t xml:space="preserve">Pour les phases de mission en cours de réalisation pouvant être partiellement réglées avant leur achèvement, en application des dispositions des articles </w:t>
      </w:r>
      <w:r>
        <w:t>11</w:t>
      </w:r>
      <w:r w:rsidRPr="00AE5505">
        <w:t>.</w:t>
      </w:r>
      <w:r w:rsidR="000A1952">
        <w:t>4</w:t>
      </w:r>
      <w:r w:rsidRPr="00AE5505">
        <w:t xml:space="preserve"> ci-avant, les projets de décompte indiquent le pourcentage de leur rémunération exigible.</w:t>
      </w:r>
    </w:p>
    <w:p w14:paraId="0C205F9B" w14:textId="77777777" w:rsidR="008C021C" w:rsidRPr="00AE5505" w:rsidRDefault="008C021C" w:rsidP="008C021C">
      <w:pPr>
        <w:pStyle w:val="Normal4"/>
      </w:pPr>
      <w:r w:rsidRPr="00AE5505">
        <w:t xml:space="preserve">Les demandes de paiement servent de base à l'établissement des acomptes par le maître d'ouvrage ou son représentant. </w:t>
      </w:r>
    </w:p>
    <w:p w14:paraId="51007774" w14:textId="77777777" w:rsidR="008C021C" w:rsidRPr="00AE5505" w:rsidRDefault="008C021C" w:rsidP="008C021C">
      <w:pPr>
        <w:pStyle w:val="Normal4"/>
      </w:pPr>
      <w:r w:rsidRPr="00AE5505">
        <w:t>La demande de paiement est établie par le titulaire dans EDIFLEX.</w:t>
      </w:r>
    </w:p>
    <w:p w14:paraId="19F3752F" w14:textId="77777777" w:rsidR="008C021C" w:rsidRPr="00AE5505" w:rsidRDefault="008C021C" w:rsidP="008C021C">
      <w:pPr>
        <w:pStyle w:val="Normal4"/>
      </w:pPr>
      <w:r w:rsidRPr="00AE5505">
        <w:t xml:space="preserve">Le mode règlement est le virement administratif. </w:t>
      </w:r>
    </w:p>
    <w:p w14:paraId="2BE34FF6" w14:textId="77777777" w:rsidR="008C021C" w:rsidRPr="00AE5505" w:rsidRDefault="008C021C" w:rsidP="008C021C">
      <w:pPr>
        <w:pStyle w:val="Normal4"/>
      </w:pPr>
      <w:r w:rsidRPr="00AE5505">
        <w:t xml:space="preserve">Par dérogation à l’article 11.7 du CCAG </w:t>
      </w:r>
      <w:r>
        <w:t>PI</w:t>
      </w:r>
      <w:r w:rsidRPr="00AE5505">
        <w:t>, le solde n’a pas à être notifié au titulaire du contrat, sauf en cas de désaccord sur le montant des prestations exécutées ou sur l’application de pénalités ou de réfactions.</w:t>
      </w:r>
    </w:p>
    <w:p w14:paraId="57F9EFD6" w14:textId="3753EB9E" w:rsidR="008C021C" w:rsidRDefault="008C021C" w:rsidP="008C021C">
      <w:pPr>
        <w:pStyle w:val="Titre4"/>
        <w:numPr>
          <w:ilvl w:val="3"/>
          <w:numId w:val="13"/>
        </w:numPr>
      </w:pPr>
      <w:r>
        <w:t>Décomptes périodiques</w:t>
      </w:r>
    </w:p>
    <w:p w14:paraId="41825720" w14:textId="77777777" w:rsidR="008C021C" w:rsidRPr="00AE5505" w:rsidRDefault="008C021C" w:rsidP="008C021C">
      <w:r w:rsidRPr="00AE5505">
        <w:t>Le maître d'ouvrage ou son représentant vérifie les demandes de paiement les rectifie le cas échéant, et y applique les pénalités éventuelles pour retard :</w:t>
      </w:r>
    </w:p>
    <w:p w14:paraId="40554DE0" w14:textId="77777777" w:rsidR="008C021C" w:rsidRDefault="008C021C" w:rsidP="008C021C">
      <w:r w:rsidRPr="00AE5505">
        <w:t xml:space="preserve">Les demandes de paiement ainsi modifiées deviennent alors les décomptes. </w:t>
      </w:r>
    </w:p>
    <w:p w14:paraId="362674FD" w14:textId="48599EC7" w:rsidR="008C021C" w:rsidRDefault="008C021C" w:rsidP="008C021C">
      <w:pPr>
        <w:pStyle w:val="Titre4"/>
        <w:numPr>
          <w:ilvl w:val="3"/>
          <w:numId w:val="13"/>
        </w:numPr>
      </w:pPr>
      <w:r>
        <w:t>Acomptes périodiques</w:t>
      </w:r>
    </w:p>
    <w:p w14:paraId="1CC7E840" w14:textId="77777777" w:rsidR="008C021C" w:rsidRPr="005E43C5" w:rsidRDefault="008C021C" w:rsidP="008C021C">
      <w:r w:rsidRPr="005E43C5">
        <w:t>Le montant des acomptes à verser au titulaire du contrat est déterminé par le maître d'ouvrage ou son représentant qui dresse, à cet effet, un état faisant ressortir :</w:t>
      </w:r>
    </w:p>
    <w:p w14:paraId="3C258E3B" w14:textId="13A15E28" w:rsidR="008C021C" w:rsidRPr="005E43C5" w:rsidRDefault="008C021C" w:rsidP="008C021C">
      <w:pPr>
        <w:pStyle w:val="Paragraphedeliste"/>
        <w:numPr>
          <w:ilvl w:val="0"/>
          <w:numId w:val="16"/>
        </w:numPr>
      </w:pPr>
      <w:proofErr w:type="gramStart"/>
      <w:r w:rsidRPr="005E43C5">
        <w:t>le</w:t>
      </w:r>
      <w:proofErr w:type="gramEnd"/>
      <w:r w:rsidRPr="005E43C5">
        <w:t xml:space="preserve"> montant de l'acompte établi à partir des prix de base. Ce montant est la différence entre le montant du décompte et celui du décompte précédent,</w:t>
      </w:r>
    </w:p>
    <w:p w14:paraId="07CE4301" w14:textId="6EEAA593" w:rsidR="008C021C" w:rsidRPr="005E43C5" w:rsidRDefault="008C021C" w:rsidP="008C021C">
      <w:pPr>
        <w:pStyle w:val="Paragraphedeliste"/>
        <w:numPr>
          <w:ilvl w:val="0"/>
          <w:numId w:val="16"/>
        </w:numPr>
      </w:pPr>
      <w:proofErr w:type="gramStart"/>
      <w:r w:rsidRPr="005E43C5">
        <w:t>l'effet</w:t>
      </w:r>
      <w:proofErr w:type="gramEnd"/>
      <w:r w:rsidRPr="005E43C5">
        <w:t xml:space="preserve"> de la révision appliquée sur le montant de cet acompte,</w:t>
      </w:r>
    </w:p>
    <w:p w14:paraId="0EED417A" w14:textId="3309F3CD" w:rsidR="008C021C" w:rsidRPr="005E43C5" w:rsidRDefault="008C021C" w:rsidP="008C021C">
      <w:pPr>
        <w:pStyle w:val="Paragraphedeliste"/>
        <w:numPr>
          <w:ilvl w:val="0"/>
          <w:numId w:val="16"/>
        </w:numPr>
      </w:pPr>
      <w:proofErr w:type="gramStart"/>
      <w:r w:rsidRPr="005E43C5">
        <w:t>l'incidence</w:t>
      </w:r>
      <w:proofErr w:type="gramEnd"/>
      <w:r w:rsidRPr="005E43C5">
        <w:t xml:space="preserve"> de </w:t>
      </w:r>
      <w:smartTag w:uri="urn:schemas-microsoft-com:office:smarttags" w:element="PersonName">
        <w:smartTagPr>
          <w:attr w:name="ProductID" w:val="la TVA"/>
        </w:smartTagPr>
        <w:r w:rsidRPr="005E43C5">
          <w:t>la TVA</w:t>
        </w:r>
      </w:smartTag>
      <w:r w:rsidRPr="005E43C5">
        <w:t>,</w:t>
      </w:r>
    </w:p>
    <w:p w14:paraId="3EF59D11" w14:textId="24355C4F" w:rsidR="008C021C" w:rsidRPr="005E43C5" w:rsidRDefault="008C021C" w:rsidP="008C021C">
      <w:pPr>
        <w:pStyle w:val="Paragraphedeliste"/>
        <w:numPr>
          <w:ilvl w:val="0"/>
          <w:numId w:val="16"/>
        </w:numPr>
      </w:pPr>
      <w:proofErr w:type="gramStart"/>
      <w:r w:rsidRPr="005E43C5">
        <w:t>le</w:t>
      </w:r>
      <w:proofErr w:type="gramEnd"/>
      <w:r w:rsidRPr="005E43C5">
        <w:t xml:space="preserve"> montant total de l'acompte à verser ; ce montant est la récapitulation des trois montants ci-avant augmentée éventuellement des intérêts moratoires dus au maître d'œuvre.</w:t>
      </w:r>
    </w:p>
    <w:p w14:paraId="6F977468" w14:textId="77777777" w:rsidR="008C021C" w:rsidRPr="005E43C5" w:rsidRDefault="008C021C" w:rsidP="008C021C">
      <w:r w:rsidRPr="005E43C5">
        <w:t>Par dérogation à l’article 11.7 du CCAG-</w:t>
      </w:r>
      <w:r>
        <w:t>PI</w:t>
      </w:r>
      <w:r w:rsidRPr="005E43C5">
        <w:t>, les acomptes ne sont pas notifiés au titulaire du contrat.</w:t>
      </w:r>
    </w:p>
    <w:p w14:paraId="09D546F9" w14:textId="77777777" w:rsidR="008C021C" w:rsidRDefault="008C021C" w:rsidP="008C021C"/>
    <w:p w14:paraId="67A5030A" w14:textId="178F8320" w:rsidR="008C021C" w:rsidRPr="008C021C" w:rsidRDefault="008C021C" w:rsidP="008C021C">
      <w:pPr>
        <w:pStyle w:val="Titre3"/>
      </w:pPr>
      <w:bookmarkStart w:id="123" w:name="_Toc167956981"/>
      <w:r>
        <w:t>Paiement des cotraitants et des sous-traitants</w:t>
      </w:r>
      <w:bookmarkEnd w:id="123"/>
    </w:p>
    <w:p w14:paraId="40728215" w14:textId="41581D70" w:rsidR="008C021C" w:rsidRDefault="008C021C" w:rsidP="008C021C">
      <w:pPr>
        <w:pStyle w:val="Titre4"/>
        <w:numPr>
          <w:ilvl w:val="3"/>
          <w:numId w:val="13"/>
        </w:numPr>
      </w:pPr>
      <w:r>
        <w:t>Pour les co-traitants</w:t>
      </w:r>
    </w:p>
    <w:p w14:paraId="3DEF58B4" w14:textId="77777777" w:rsidR="008C021C" w:rsidRPr="005E43C5" w:rsidRDefault="008C021C" w:rsidP="008C021C">
      <w:r w:rsidRPr="005E43C5">
        <w:t>La validation du projet de décompte via le système EDIFLEX par le mandataire vaut, pour chaque cotraitant, acceptation du montant de l’acompte ou du solde à lui payer.</w:t>
      </w:r>
    </w:p>
    <w:p w14:paraId="04B44EA3" w14:textId="31B6AFC4" w:rsidR="008C021C" w:rsidRDefault="008C021C" w:rsidP="008C021C">
      <w:pPr>
        <w:pStyle w:val="Titre4"/>
        <w:numPr>
          <w:ilvl w:val="3"/>
          <w:numId w:val="13"/>
        </w:numPr>
      </w:pPr>
      <w:r>
        <w:t>Pour les sous-traitants</w:t>
      </w:r>
    </w:p>
    <w:p w14:paraId="42143ADA" w14:textId="77777777" w:rsidR="008C021C" w:rsidRPr="005E43C5" w:rsidRDefault="008C021C" w:rsidP="008C021C">
      <w:r w:rsidRPr="005E43C5">
        <w:t>Le paiement des sous-traitants est effectué conformément aux dispositions des articles R.2193-10 à R.2193-16 du code de la commande publique.</w:t>
      </w:r>
    </w:p>
    <w:p w14:paraId="1D229756" w14:textId="77777777" w:rsidR="008C021C" w:rsidRPr="005E43C5" w:rsidRDefault="008C021C" w:rsidP="008C021C">
      <w:r w:rsidRPr="005E43C5">
        <w:t>La validation du projet de décompte via le système EDIFLEX par le titulaire du contrat de sous-traitance vaut, pour chaque sous-traitant, acceptation du montant de l’acompte ou du solde à lui payer.</w:t>
      </w:r>
    </w:p>
    <w:p w14:paraId="5314856C" w14:textId="635E6A32" w:rsidR="008C021C" w:rsidRPr="005E43C5" w:rsidRDefault="008C021C" w:rsidP="008C021C">
      <w:r w:rsidRPr="005E43C5">
        <w:t xml:space="preserve">Dans le cas du sous-traitant d’un cotraitant, la validation du projet de décompte présentée à l’article </w:t>
      </w:r>
      <w:r>
        <w:t>11.6</w:t>
      </w:r>
      <w:r w:rsidRPr="005E43C5">
        <w:t>.</w:t>
      </w:r>
      <w:r>
        <w:t>1</w:t>
      </w:r>
      <w:r w:rsidRPr="005E43C5">
        <w:t xml:space="preserve"> est cumulative.</w:t>
      </w:r>
    </w:p>
    <w:p w14:paraId="16A96123" w14:textId="13A05CCD" w:rsidR="008C021C" w:rsidRPr="008C021C" w:rsidRDefault="008C021C" w:rsidP="008C021C">
      <w:pPr>
        <w:pStyle w:val="Titre3"/>
      </w:pPr>
      <w:bookmarkStart w:id="124" w:name="_Toc167956982"/>
      <w:r>
        <w:t>Solde</w:t>
      </w:r>
      <w:bookmarkEnd w:id="124"/>
    </w:p>
    <w:p w14:paraId="7B00266C" w14:textId="72B3EB1C" w:rsidR="008C021C" w:rsidRDefault="008C021C" w:rsidP="008C021C">
      <w:pPr>
        <w:pStyle w:val="Titre4"/>
        <w:numPr>
          <w:ilvl w:val="3"/>
          <w:numId w:val="13"/>
        </w:numPr>
      </w:pPr>
      <w:r>
        <w:t>Demande paiement final</w:t>
      </w:r>
    </w:p>
    <w:p w14:paraId="53E16AAA" w14:textId="77777777" w:rsidR="008C021C" w:rsidRPr="005E43C5" w:rsidRDefault="008C021C" w:rsidP="008C021C">
      <w:r w:rsidRPr="005E43C5">
        <w:t xml:space="preserve">Après constatation par le maître d'ouvrage ou son représentant, de l'achèvement de sa mission dans le respect des conditions énoncées à l'article 11.2.2 ci-après, le </w:t>
      </w:r>
      <w:r>
        <w:t xml:space="preserve">titulaire </w:t>
      </w:r>
      <w:r w:rsidRPr="005E43C5">
        <w:t>transmet au maître d'ouvrage ou à son représentant une demande de solde, sous forme de projet de décompte final.</w:t>
      </w:r>
    </w:p>
    <w:p w14:paraId="09C5EAA8" w14:textId="77777777" w:rsidR="008C021C" w:rsidRPr="005E43C5" w:rsidRDefault="008C021C" w:rsidP="008C021C">
      <w:r w:rsidRPr="005E43C5">
        <w:lastRenderedPageBreak/>
        <w:t>Le projet de décompte final indique le montant de la rémunération, fixé dans les conditions définies ci-après.</w:t>
      </w:r>
    </w:p>
    <w:p w14:paraId="08C7DBEB" w14:textId="77777777" w:rsidR="008C021C" w:rsidRPr="005E43C5" w:rsidRDefault="008C021C" w:rsidP="008C021C">
      <w:r w:rsidRPr="005E43C5">
        <w:t>Le maître d'ouvrage ou son représentant vérifie le projet de décompte final et dresse l'état faisant ressortir :</w:t>
      </w:r>
    </w:p>
    <w:p w14:paraId="764C7247" w14:textId="3A2CEEF9" w:rsidR="008C021C" w:rsidRPr="005E43C5" w:rsidRDefault="008C021C" w:rsidP="008C021C">
      <w:pPr>
        <w:ind w:left="226"/>
      </w:pPr>
      <w:r w:rsidRPr="005E43C5">
        <w:t xml:space="preserve">a) le montant de la rémunération </w:t>
      </w:r>
      <w:r w:rsidR="00B01879">
        <w:t>du bon de commande</w:t>
      </w:r>
      <w:r w:rsidR="006C2D48">
        <w:t xml:space="preserve"> </w:t>
      </w:r>
      <w:r w:rsidRPr="005E43C5">
        <w:t>hors TVA,</w:t>
      </w:r>
    </w:p>
    <w:p w14:paraId="319F604E" w14:textId="392E99DE" w:rsidR="008C021C" w:rsidRPr="005E43C5" w:rsidRDefault="00B01879" w:rsidP="008C021C">
      <w:pPr>
        <w:ind w:left="226"/>
      </w:pPr>
      <w:r>
        <w:t>b</w:t>
      </w:r>
      <w:r w:rsidR="008C021C" w:rsidRPr="005E43C5">
        <w:t>) les pénalités éventuelles,</w:t>
      </w:r>
    </w:p>
    <w:p w14:paraId="4A3E695A" w14:textId="36DFE4A3" w:rsidR="008C021C" w:rsidRPr="005E43C5" w:rsidRDefault="00B01879" w:rsidP="008C021C">
      <w:pPr>
        <w:ind w:left="226"/>
      </w:pPr>
      <w:r>
        <w:t>c</w:t>
      </w:r>
      <w:r w:rsidR="008C021C" w:rsidRPr="005E43C5">
        <w:t xml:space="preserve">) la rémunération, </w:t>
      </w:r>
      <w:r>
        <w:t>finale du bon de commande</w:t>
      </w:r>
      <w:r w:rsidR="008C021C" w:rsidRPr="005E43C5">
        <w:t xml:space="preserve"> hors TVA, cette rémunération étant égale à la différence des postes </w:t>
      </w:r>
      <w:r>
        <w:t>a</w:t>
      </w:r>
      <w:r w:rsidR="008C021C" w:rsidRPr="005E43C5">
        <w:t xml:space="preserve">) et </w:t>
      </w:r>
      <w:r>
        <w:t>b</w:t>
      </w:r>
      <w:r w:rsidR="008C021C" w:rsidRPr="005E43C5">
        <w:t>), et constituant le décompte final.</w:t>
      </w:r>
    </w:p>
    <w:p w14:paraId="6DF95F90" w14:textId="50F5D775" w:rsidR="008C021C" w:rsidRDefault="008C021C" w:rsidP="008C021C">
      <w:pPr>
        <w:pStyle w:val="Titre4"/>
        <w:numPr>
          <w:ilvl w:val="3"/>
          <w:numId w:val="17"/>
        </w:numPr>
      </w:pPr>
      <w:r>
        <w:t>Décompte général – Montant du solde</w:t>
      </w:r>
    </w:p>
    <w:p w14:paraId="0B0005A8" w14:textId="77777777" w:rsidR="008C021C" w:rsidRPr="005E43C5" w:rsidRDefault="008C021C" w:rsidP="008C021C">
      <w:pPr>
        <w:pStyle w:val="Normal4"/>
      </w:pPr>
      <w:r w:rsidRPr="005E43C5">
        <w:t>Le maître d'ouvrage ou son représentant établit le décompte général qui comprend :</w:t>
      </w:r>
    </w:p>
    <w:p w14:paraId="1AE5B302" w14:textId="77777777" w:rsidR="008C021C" w:rsidRPr="005E43C5" w:rsidRDefault="008C021C" w:rsidP="008C021C">
      <w:pPr>
        <w:pStyle w:val="Normal4"/>
        <w:ind w:left="708"/>
      </w:pPr>
      <w:r w:rsidRPr="005E43C5">
        <w:t>a) le décompte final ci-avant,</w:t>
      </w:r>
    </w:p>
    <w:p w14:paraId="7911174F" w14:textId="77777777" w:rsidR="008C021C" w:rsidRPr="005E43C5" w:rsidRDefault="008C021C" w:rsidP="008C021C">
      <w:pPr>
        <w:pStyle w:val="Normal4"/>
        <w:ind w:left="708"/>
      </w:pPr>
      <w:r w:rsidRPr="005E43C5">
        <w:t>b) la récapitulation du montant des acomptes arrêtés par le maître d'ouvrage,</w:t>
      </w:r>
    </w:p>
    <w:p w14:paraId="1FB82BC2" w14:textId="77777777" w:rsidR="008C021C" w:rsidRPr="005E43C5" w:rsidRDefault="008C021C" w:rsidP="008C021C">
      <w:pPr>
        <w:pStyle w:val="Normal4"/>
        <w:ind w:left="708"/>
      </w:pPr>
      <w:r w:rsidRPr="005E43C5">
        <w:t>c) le montant en prix de base et hors TVA du solde, ce montant étant la différence des postes a) et b) ci-avant,</w:t>
      </w:r>
    </w:p>
    <w:p w14:paraId="77738744" w14:textId="77777777" w:rsidR="008C021C" w:rsidRPr="005E43C5" w:rsidRDefault="008C021C" w:rsidP="008C021C">
      <w:pPr>
        <w:pStyle w:val="Normal4"/>
        <w:ind w:left="708"/>
      </w:pPr>
      <w:r w:rsidRPr="005E43C5">
        <w:t>d) l'effet de la révision appliquée sur le montant ci-avant,</w:t>
      </w:r>
    </w:p>
    <w:p w14:paraId="26193B15" w14:textId="77777777" w:rsidR="008C021C" w:rsidRPr="005E43C5" w:rsidRDefault="008C021C" w:rsidP="008C021C">
      <w:pPr>
        <w:pStyle w:val="Normal4"/>
        <w:ind w:left="708"/>
      </w:pPr>
      <w:r w:rsidRPr="005E43C5">
        <w:t xml:space="preserve">e) l'incidence de </w:t>
      </w:r>
      <w:smartTag w:uri="urn:schemas-microsoft-com:office:smarttags" w:element="PersonName">
        <w:smartTagPr>
          <w:attr w:name="ProductID" w:val="la TVA"/>
        </w:smartTagPr>
        <w:r w:rsidRPr="005E43C5">
          <w:t>la TVA</w:t>
        </w:r>
      </w:smartTag>
      <w:r w:rsidRPr="005E43C5">
        <w:t>,</w:t>
      </w:r>
    </w:p>
    <w:p w14:paraId="30FC6660" w14:textId="77777777" w:rsidR="008C021C" w:rsidRPr="005E43C5" w:rsidRDefault="008C021C" w:rsidP="008C021C">
      <w:pPr>
        <w:pStyle w:val="Normal4"/>
        <w:ind w:left="708"/>
      </w:pPr>
      <w:r w:rsidRPr="005E43C5">
        <w:t>f) le montant du solde à verser au titulaire, ce montant étant la récapitulation des postes c), d) et e) ci-avant,</w:t>
      </w:r>
    </w:p>
    <w:p w14:paraId="5DF0513B" w14:textId="77777777" w:rsidR="008C021C" w:rsidRPr="005E43C5" w:rsidRDefault="008C021C" w:rsidP="008C021C">
      <w:pPr>
        <w:pStyle w:val="Normal4"/>
        <w:ind w:left="708"/>
      </w:pPr>
      <w:r w:rsidRPr="005E43C5">
        <w:t>g) la récapitulation des acomptes partiels, de leur révision et du solde.</w:t>
      </w:r>
    </w:p>
    <w:p w14:paraId="676934E6" w14:textId="77777777" w:rsidR="008C021C" w:rsidRPr="005E43C5" w:rsidRDefault="008C021C" w:rsidP="008C021C">
      <w:pPr>
        <w:pStyle w:val="Normal4"/>
      </w:pPr>
      <w:r w:rsidRPr="005E43C5">
        <w:t>Le montant du décompte général est égal au résultat de cette dernière récapitulation.</w:t>
      </w:r>
    </w:p>
    <w:p w14:paraId="4A1F4E0B" w14:textId="77777777" w:rsidR="008C021C" w:rsidRPr="005E43C5" w:rsidRDefault="008C021C" w:rsidP="008C021C">
      <w:pPr>
        <w:pStyle w:val="Normal4"/>
      </w:pPr>
      <w:r w:rsidRPr="005E43C5">
        <w:t>Le maître d'ouvrage notifie au titulaire le montant du solde, accompagné du décompte général.</w:t>
      </w:r>
    </w:p>
    <w:p w14:paraId="2E01EAD1" w14:textId="77777777" w:rsidR="008C021C" w:rsidRPr="005E43C5" w:rsidRDefault="008C021C" w:rsidP="008C021C">
      <w:pPr>
        <w:pStyle w:val="Normal4"/>
      </w:pPr>
      <w:r w:rsidRPr="005E43C5">
        <w:t>Si, lors de l'établissement du décompte général, les valeurs finales des index de référence ne sont pas connues, le représentant du pouvoir adjudicateur notifie au titulaire la révision de prix afférente au solde dans les dix jours qui suivent leur publication. La date de cette notification constitue le point de départ du délai de paiement des sommes restant dues après révision définitive des prix.</w:t>
      </w:r>
    </w:p>
    <w:p w14:paraId="1A9A2035" w14:textId="77777777" w:rsidR="008C021C" w:rsidRPr="005E43C5" w:rsidRDefault="008C021C" w:rsidP="008C021C">
      <w:pPr>
        <w:pStyle w:val="Normal4"/>
      </w:pPr>
      <w:r w:rsidRPr="005E43C5">
        <w:t>Le décompte général et définitif du contrat est :</w:t>
      </w:r>
    </w:p>
    <w:p w14:paraId="25D24149" w14:textId="77777777" w:rsidR="008C021C" w:rsidRPr="005E43C5" w:rsidRDefault="008C021C" w:rsidP="008C021C">
      <w:pPr>
        <w:pStyle w:val="Normal4"/>
        <w:numPr>
          <w:ilvl w:val="0"/>
          <w:numId w:val="18"/>
        </w:numPr>
      </w:pPr>
      <w:proofErr w:type="gramStart"/>
      <w:r w:rsidRPr="005E43C5">
        <w:t>soit</w:t>
      </w:r>
      <w:proofErr w:type="gramEnd"/>
      <w:r w:rsidRPr="005E43C5">
        <w:t xml:space="preserve"> le décompte général revêtu de la signature, sans réserve, du maître d'œuvre puis de celle de du représentant du pouvoir adjudicateur,</w:t>
      </w:r>
    </w:p>
    <w:p w14:paraId="0E1F518F" w14:textId="77777777" w:rsidR="008C021C" w:rsidRPr="005E43C5" w:rsidRDefault="008C021C" w:rsidP="008C021C">
      <w:pPr>
        <w:pStyle w:val="Normal4"/>
        <w:numPr>
          <w:ilvl w:val="0"/>
          <w:numId w:val="18"/>
        </w:numPr>
      </w:pPr>
      <w:proofErr w:type="gramStart"/>
      <w:r w:rsidRPr="005E43C5">
        <w:t>soit</w:t>
      </w:r>
      <w:proofErr w:type="gramEnd"/>
      <w:r w:rsidRPr="005E43C5">
        <w:t xml:space="preserve"> le décompte général accru du montant de l'éventuelle indemnité accordée au maître d'œuvre à la suite d'un litige.</w:t>
      </w:r>
    </w:p>
    <w:p w14:paraId="62888BBA" w14:textId="77777777" w:rsidR="008C021C" w:rsidRPr="005E43C5" w:rsidRDefault="008C021C" w:rsidP="008C021C">
      <w:pPr>
        <w:pStyle w:val="Normal4"/>
      </w:pPr>
      <w:r w:rsidRPr="005E43C5">
        <w:t>Le mandatement du solde du contrat</w:t>
      </w:r>
      <w:r w:rsidRPr="005E43C5" w:rsidDel="00802C96">
        <w:t xml:space="preserve"> </w:t>
      </w:r>
      <w:r w:rsidRPr="005E43C5">
        <w:t xml:space="preserve">n'interviendra qu'après production par le </w:t>
      </w:r>
      <w:r>
        <w:t xml:space="preserve">titulaire </w:t>
      </w:r>
      <w:r w:rsidRPr="005E43C5">
        <w:t>au maître d'ouvrage ou son représentant de l'attestation d'assurance</w:t>
      </w:r>
      <w:r>
        <w:t>.</w:t>
      </w:r>
    </w:p>
    <w:p w14:paraId="33343924" w14:textId="3D3DCA54" w:rsidR="008C021C" w:rsidRPr="008C021C" w:rsidRDefault="008C021C" w:rsidP="008C021C">
      <w:pPr>
        <w:pStyle w:val="Titre3"/>
      </w:pPr>
      <w:bookmarkStart w:id="125" w:name="_Toc167956983"/>
      <w:r>
        <w:t>Délai de paiements</w:t>
      </w:r>
      <w:bookmarkEnd w:id="125"/>
    </w:p>
    <w:p w14:paraId="607FE533" w14:textId="77777777" w:rsidR="008C021C" w:rsidRPr="005E43C5" w:rsidRDefault="008C021C" w:rsidP="008C021C">
      <w:pPr>
        <w:pStyle w:val="Normal4"/>
      </w:pPr>
      <w:r w:rsidRPr="005E43C5">
        <w:t xml:space="preserve">Les sommes dues au titre du contrat seront payées dans un délai global de 30 jours, comptés à partir de la réception du projet de décompte ou de la date d’exécution des prestations lorsqu’elle est postérieure. En cas de dépassement, des intérêts moratoires sont versés suivant le taux et la réglementation en vigueur. </w:t>
      </w:r>
    </w:p>
    <w:p w14:paraId="2588C699" w14:textId="77777777" w:rsidR="008C021C" w:rsidRPr="005E43C5" w:rsidRDefault="008C021C" w:rsidP="008C021C">
      <w:pPr>
        <w:pStyle w:val="Normal4"/>
      </w:pPr>
      <w:r w:rsidRPr="005E43C5">
        <w:t>Il est précisé en outre que le titulaire devra avertir sans délai le maître de l’ouvrage de tout changement de domiciliation bancaire des membres de son groupement et produire à cet effet les pièces justificatives correspondantes.</w:t>
      </w:r>
    </w:p>
    <w:p w14:paraId="0B3792BC" w14:textId="77777777" w:rsidR="008C021C" w:rsidRPr="005E43C5" w:rsidRDefault="008C021C" w:rsidP="008C021C">
      <w:pPr>
        <w:pStyle w:val="Normal4"/>
      </w:pPr>
      <w:r w:rsidRPr="005E43C5">
        <w:t>Les projets de décompte présentés par le titulaire établissent le montant, en prix de base et hors TVA, des sommes auxquelles il peut prétendre du fait de l’avancement de l’opération, abstraction faite de la révision et des pénalités.</w:t>
      </w:r>
    </w:p>
    <w:p w14:paraId="6E04DDC8" w14:textId="77777777" w:rsidR="008C021C" w:rsidRPr="005E43C5" w:rsidRDefault="008C021C" w:rsidP="008C021C">
      <w:pPr>
        <w:pStyle w:val="Normal4"/>
      </w:pPr>
      <w:r w:rsidRPr="005E43C5">
        <w:t xml:space="preserve">En application de l’article 11.8.2 du CCAG </w:t>
      </w:r>
      <w:r>
        <w:t>PI</w:t>
      </w:r>
      <w:r w:rsidRPr="005E43C5">
        <w:t>, si après avoir été mis en demeure, le titulaire ne produit pas sa demande de paiement dans les 45 jours à compter de l’achèvement des prestations, le maître d’ouvrage peut procéder d’office à la liquidation, sur la base d’un décompte établi par ses soins. Ce décompte est notifié au titulaire.</w:t>
      </w:r>
    </w:p>
    <w:p w14:paraId="4423A4F1" w14:textId="77777777" w:rsidR="008C021C" w:rsidRDefault="008C021C" w:rsidP="008C021C"/>
    <w:p w14:paraId="1367A41E" w14:textId="77777777" w:rsidR="008C021C" w:rsidRDefault="008C021C" w:rsidP="008C021C"/>
    <w:p w14:paraId="69C4FE11" w14:textId="77777777" w:rsidR="008C021C" w:rsidRPr="00AE5505" w:rsidRDefault="008C021C" w:rsidP="008C021C"/>
    <w:p w14:paraId="003FC397" w14:textId="77777777" w:rsidR="001E1C6F" w:rsidRPr="001E1C6F" w:rsidRDefault="001E1C6F" w:rsidP="004C68F3">
      <w:pPr>
        <w:rPr>
          <w:rFonts w:ascii="Arial Narrow" w:hAnsi="Arial Narrow"/>
        </w:rPr>
      </w:pPr>
    </w:p>
    <w:bookmarkEnd w:id="112"/>
    <w:p w14:paraId="1AB83AA5" w14:textId="77777777" w:rsidR="00DD1233" w:rsidRDefault="00DD1233">
      <w:pPr>
        <w:spacing w:after="0" w:line="240" w:lineRule="auto"/>
        <w:jc w:val="left"/>
        <w:rPr>
          <w:rFonts w:ascii="Verdana" w:hAnsi="Verdana"/>
          <w:b/>
          <w:color w:val="1F3864" w:themeColor="accent1" w:themeShade="80"/>
          <w:sz w:val="18"/>
          <w:szCs w:val="18"/>
          <w:u w:val="single"/>
        </w:rPr>
      </w:pPr>
      <w:r>
        <w:rPr>
          <w:rFonts w:ascii="Verdana" w:hAnsi="Verdana"/>
          <w:sz w:val="18"/>
          <w:szCs w:val="18"/>
          <w:u w:val="single"/>
        </w:rPr>
        <w:br w:type="page"/>
      </w:r>
    </w:p>
    <w:p w14:paraId="5D61FDFF" w14:textId="43B78D78" w:rsidR="005127EF" w:rsidRPr="008B6F11" w:rsidRDefault="00783488" w:rsidP="008B6F11">
      <w:pPr>
        <w:pStyle w:val="Titre2"/>
      </w:pPr>
      <w:bookmarkStart w:id="126" w:name="_Toc139883285"/>
      <w:bookmarkStart w:id="127" w:name="_Toc142376118"/>
      <w:bookmarkStart w:id="128" w:name="_Toc142492192"/>
      <w:bookmarkStart w:id="129" w:name="_Toc139883286"/>
      <w:bookmarkStart w:id="130" w:name="_Toc142376119"/>
      <w:bookmarkStart w:id="131" w:name="_Toc142492193"/>
      <w:bookmarkStart w:id="132" w:name="_Toc139883287"/>
      <w:bookmarkStart w:id="133" w:name="_Toc142376120"/>
      <w:bookmarkStart w:id="134" w:name="_Toc142492194"/>
      <w:bookmarkStart w:id="135" w:name="_Toc139883288"/>
      <w:bookmarkStart w:id="136" w:name="_Toc142376121"/>
      <w:bookmarkStart w:id="137" w:name="_Toc142492195"/>
      <w:bookmarkStart w:id="138" w:name="_Toc139883289"/>
      <w:bookmarkStart w:id="139" w:name="_Toc142376122"/>
      <w:bookmarkStart w:id="140" w:name="_Toc142492196"/>
      <w:bookmarkStart w:id="141" w:name="_Toc139883290"/>
      <w:bookmarkStart w:id="142" w:name="_Toc142376123"/>
      <w:bookmarkStart w:id="143" w:name="_Toc142492197"/>
      <w:bookmarkStart w:id="144" w:name="_Toc139883291"/>
      <w:bookmarkStart w:id="145" w:name="_Toc142376124"/>
      <w:bookmarkStart w:id="146" w:name="_Toc142492198"/>
      <w:bookmarkStart w:id="147" w:name="_Toc114385047"/>
      <w:bookmarkStart w:id="148" w:name="_Toc167956984"/>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8B6F11">
        <w:lastRenderedPageBreak/>
        <w:t>PROTECTION DES PARTIES APPORTEE PAR L</w:t>
      </w:r>
      <w:r w:rsidR="00A102A3" w:rsidRPr="008B6F11">
        <w:t>’ACCORD-CADRE</w:t>
      </w:r>
      <w:bookmarkStart w:id="149" w:name="_Toc114385048"/>
      <w:bookmarkEnd w:id="147"/>
      <w:bookmarkEnd w:id="148"/>
    </w:p>
    <w:p w14:paraId="1359FD9A" w14:textId="4CB70354" w:rsidR="00F41694" w:rsidRPr="00006200" w:rsidRDefault="00F41694" w:rsidP="00980240">
      <w:pPr>
        <w:pStyle w:val="Titre1"/>
      </w:pPr>
      <w:bookmarkStart w:id="150" w:name="_Toc167956985"/>
      <w:r w:rsidRPr="00006200">
        <w:t>Conditions particuli</w:t>
      </w:r>
      <w:r w:rsidRPr="00006200">
        <w:rPr>
          <w:rFonts w:cs="Marianne"/>
        </w:rPr>
        <w:t>è</w:t>
      </w:r>
      <w:r w:rsidRPr="00006200">
        <w:t>res d</w:t>
      </w:r>
      <w:r w:rsidRPr="00006200">
        <w:rPr>
          <w:rFonts w:cs="Marianne"/>
        </w:rPr>
        <w:t>’</w:t>
      </w:r>
      <w:r w:rsidRPr="00006200">
        <w:t>intervention</w:t>
      </w:r>
      <w:bookmarkEnd w:id="150"/>
    </w:p>
    <w:p w14:paraId="7E62A7E0" w14:textId="77777777" w:rsidR="00F41694" w:rsidRPr="00F41694" w:rsidRDefault="00F41694" w:rsidP="004C68F3">
      <w:r w:rsidRPr="00F41694">
        <w:t>Le titulaire mettra en place les moyens nécessaires pour garantir aux usagers et utilisateurs une parfaite sécurité pendant sa mission et à l’issue de cette dernière.</w:t>
      </w:r>
    </w:p>
    <w:p w14:paraId="29CF3FA7" w14:textId="77777777" w:rsidR="00F41694" w:rsidRPr="00006200" w:rsidRDefault="00F41694" w:rsidP="00BA491B">
      <w:r w:rsidRPr="00F41694">
        <w:t>Sans ces précautions la mission sera retardée sans ouvrir droit à prolongation de délai.</w:t>
      </w:r>
    </w:p>
    <w:p w14:paraId="0EC9A623" w14:textId="1AF3D926" w:rsidR="00783488" w:rsidRPr="00006200" w:rsidRDefault="00783488" w:rsidP="00980240">
      <w:pPr>
        <w:pStyle w:val="Titre1"/>
      </w:pPr>
      <w:bookmarkStart w:id="151" w:name="_Toc167956986"/>
      <w:r w:rsidRPr="00006200">
        <w:t>Propri</w:t>
      </w:r>
      <w:r w:rsidRPr="00006200">
        <w:rPr>
          <w:rFonts w:cs="Marianne"/>
        </w:rPr>
        <w:t>é</w:t>
      </w:r>
      <w:r w:rsidRPr="00006200">
        <w:t>t</w:t>
      </w:r>
      <w:r w:rsidRPr="00006200">
        <w:rPr>
          <w:rFonts w:cs="Marianne"/>
        </w:rPr>
        <w:t>é</w:t>
      </w:r>
      <w:r w:rsidRPr="00006200">
        <w:t xml:space="preserve"> intellectuelle</w:t>
      </w:r>
      <w:bookmarkEnd w:id="151"/>
      <w:r w:rsidRPr="00006200">
        <w:rPr>
          <w:rFonts w:ascii="Calibri" w:hAnsi="Calibri" w:cs="Calibri"/>
        </w:rPr>
        <w:t> </w:t>
      </w:r>
      <w:bookmarkEnd w:id="149"/>
    </w:p>
    <w:p w14:paraId="3CC061FB" w14:textId="20AFD86F" w:rsidR="00A9000C" w:rsidRDefault="00783488" w:rsidP="00A9000C">
      <w:pPr>
        <w:rPr>
          <w:szCs w:val="18"/>
        </w:rPr>
      </w:pPr>
      <w:r w:rsidRPr="00D41CDD">
        <w:t>Pour l’application du code de la propriété intellectuelle (loi n°92-597 du 1</w:t>
      </w:r>
      <w:r w:rsidRPr="00D41CDD">
        <w:rPr>
          <w:vertAlign w:val="superscript"/>
        </w:rPr>
        <w:t>er</w:t>
      </w:r>
      <w:r w:rsidR="00D81C2D" w:rsidRPr="00D41CDD">
        <w:t xml:space="preserve"> juillet 1992) </w:t>
      </w:r>
      <w:r w:rsidR="00A9000C">
        <w:t xml:space="preserve">et de l’article 35 du CCAG PI, </w:t>
      </w:r>
      <w:r w:rsidR="00D81C2D" w:rsidRPr="00D41CDD">
        <w:t>l’APIJ</w:t>
      </w:r>
      <w:r w:rsidRPr="00A102A3">
        <w:t xml:space="preserve"> et le ministère de la justice </w:t>
      </w:r>
      <w:r w:rsidR="00A9000C" w:rsidRPr="00DE7BC5">
        <w:rPr>
          <w:szCs w:val="18"/>
        </w:rPr>
        <w:t>bénéficient</w:t>
      </w:r>
      <w:r w:rsidR="00A9000C">
        <w:rPr>
          <w:szCs w:val="18"/>
        </w:rPr>
        <w:t xml:space="preserve"> </w:t>
      </w:r>
      <w:r w:rsidR="00A9000C" w:rsidRPr="00DE7BC5">
        <w:rPr>
          <w:szCs w:val="18"/>
        </w:rPr>
        <w:t xml:space="preserve">des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 </w:t>
      </w:r>
    </w:p>
    <w:p w14:paraId="3B7BA18E" w14:textId="77777777" w:rsidR="00A9000C" w:rsidRDefault="00A9000C" w:rsidP="00A9000C">
      <w:pPr>
        <w:rPr>
          <w:szCs w:val="18"/>
        </w:rPr>
      </w:pPr>
    </w:p>
    <w:p w14:paraId="10F18BC5" w14:textId="77777777" w:rsidR="00A9000C" w:rsidRPr="00DE7BC5" w:rsidRDefault="00A9000C" w:rsidP="00A9000C">
      <w:pPr>
        <w:rPr>
          <w:szCs w:val="18"/>
        </w:rPr>
      </w:pPr>
      <w:r w:rsidRPr="00DE7BC5">
        <w:rPr>
          <w:szCs w:val="18"/>
        </w:rPr>
        <w:t>Ces droits sont cédés pendant 20 années sur le territoire national. Par dérogation à l’article 35.3 du CCAG PI, les titulaires, co-traitant(s) et sous-traitant(s) ne pourront en aucun cas diffuser même partiellement les résultats de l’étude objet du présent accord-cadre.</w:t>
      </w:r>
    </w:p>
    <w:p w14:paraId="7026CDA7" w14:textId="21229A91" w:rsidR="00783488" w:rsidRPr="00006200" w:rsidRDefault="00783488" w:rsidP="00980240">
      <w:pPr>
        <w:pStyle w:val="Titre1"/>
      </w:pPr>
      <w:bookmarkStart w:id="152" w:name="_Toc114385049"/>
      <w:bookmarkStart w:id="153" w:name="_Toc167956987"/>
      <w:r w:rsidRPr="00006200">
        <w:t>Assurances</w:t>
      </w:r>
      <w:bookmarkEnd w:id="152"/>
      <w:bookmarkEnd w:id="153"/>
    </w:p>
    <w:p w14:paraId="1BAC7130" w14:textId="3CC0724A" w:rsidR="00D81C2D" w:rsidRDefault="00D81C2D" w:rsidP="006B0E16">
      <w:pPr>
        <w:pStyle w:val="Titre3"/>
      </w:pPr>
      <w:bookmarkStart w:id="154" w:name="_Toc536334577"/>
      <w:bookmarkStart w:id="155" w:name="_Toc368499035"/>
      <w:bookmarkStart w:id="156" w:name="_Toc368499080"/>
      <w:bookmarkStart w:id="157" w:name="_Toc368499125"/>
      <w:bookmarkStart w:id="158" w:name="_Toc167956988"/>
      <w:r w:rsidRPr="00006200">
        <w:t>Responsabilité</w:t>
      </w:r>
      <w:bookmarkEnd w:id="154"/>
      <w:bookmarkEnd w:id="155"/>
      <w:bookmarkEnd w:id="156"/>
      <w:bookmarkEnd w:id="157"/>
      <w:r w:rsidR="00A9000C">
        <w:t xml:space="preserve"> civile</w:t>
      </w:r>
      <w:bookmarkEnd w:id="158"/>
    </w:p>
    <w:p w14:paraId="612EC9E2" w14:textId="77777777" w:rsidR="00A9000C" w:rsidRDefault="00A9000C" w:rsidP="00A9000C">
      <w:r w:rsidRPr="005A3995">
        <w:t>Le titulaire assume la direction et la responsabilité de l’exécution des prestations. En conséquence, il est seul responsable des dommages que l’exécution peut causer directement ou indirectement :</w:t>
      </w:r>
    </w:p>
    <w:p w14:paraId="5B03CCE6" w14:textId="77777777" w:rsidR="00A9000C" w:rsidRPr="005A3995" w:rsidRDefault="00A9000C" w:rsidP="00A9000C"/>
    <w:p w14:paraId="3BD87FAD" w14:textId="77777777" w:rsidR="00A9000C" w:rsidRPr="005A3995" w:rsidRDefault="00A9000C" w:rsidP="00A9000C">
      <w:pPr>
        <w:pStyle w:val="Paragraphedeliste"/>
        <w:numPr>
          <w:ilvl w:val="0"/>
          <w:numId w:val="22"/>
        </w:numPr>
        <w:spacing w:after="0" w:line="240" w:lineRule="auto"/>
        <w:contextualSpacing/>
      </w:pPr>
      <w:proofErr w:type="gramStart"/>
      <w:r w:rsidRPr="005A3995">
        <w:t>à</w:t>
      </w:r>
      <w:proofErr w:type="gramEnd"/>
      <w:r w:rsidRPr="005A3995">
        <w:t xml:space="preserve"> son personnel ou à des tiers,</w:t>
      </w:r>
    </w:p>
    <w:p w14:paraId="7BA6EDCE" w14:textId="77777777" w:rsidR="00A9000C" w:rsidRPr="005A3995" w:rsidRDefault="00A9000C" w:rsidP="00A9000C">
      <w:pPr>
        <w:pStyle w:val="Paragraphedeliste"/>
        <w:numPr>
          <w:ilvl w:val="0"/>
          <w:numId w:val="22"/>
        </w:numPr>
        <w:spacing w:after="0" w:line="240" w:lineRule="auto"/>
        <w:contextualSpacing/>
      </w:pPr>
      <w:proofErr w:type="gramStart"/>
      <w:r w:rsidRPr="005A3995">
        <w:t>à</w:t>
      </w:r>
      <w:proofErr w:type="gramEnd"/>
      <w:r w:rsidRPr="005A3995">
        <w:t xml:space="preserve"> ses biens, aux biens appartenant au pouvoir adjudicateur ou à des tiers.</w:t>
      </w:r>
    </w:p>
    <w:p w14:paraId="4DFDEF7F" w14:textId="77777777" w:rsidR="00A9000C" w:rsidRDefault="00A9000C" w:rsidP="00A9000C"/>
    <w:p w14:paraId="21D9B820" w14:textId="77777777" w:rsidR="00A9000C" w:rsidRDefault="00A9000C" w:rsidP="00A9000C">
      <w:r w:rsidRPr="005A3995">
        <w:t>Le titulaire est tenu de posséder une police destinée à garantir les conséquences pécuniaires de sa responsabilité civile (en cas de préjudices causés à des tiers du fait de l’exécution de sa mission) et professionnelle. Il dispose d’un délai de quinze (15) jours à compter de la notification de l’accord-cadre pour fournir une attestation d’assurance.</w:t>
      </w:r>
    </w:p>
    <w:p w14:paraId="38796710" w14:textId="77777777" w:rsidR="00A9000C" w:rsidRPr="005A3995" w:rsidRDefault="00A9000C" w:rsidP="00A9000C"/>
    <w:p w14:paraId="24739693" w14:textId="77777777" w:rsidR="00A9000C" w:rsidRPr="005A3995" w:rsidRDefault="00A9000C" w:rsidP="00A9000C">
      <w:r w:rsidRPr="005A3995">
        <w:t>Les co-traitants et sous-traitants devront fournir les mêmes garanties que le titulaire à savoir posséder une police destinée à garantir les conséquences pécuniaires de leur responsabilité civile et professionnelle. Ils disposent d’un délai de quinze (15) jours à compter de la notification de l’accord-cadre ou de l’acte spécial pour fournir une attestation d’assurance.</w:t>
      </w:r>
    </w:p>
    <w:p w14:paraId="24E4CA01" w14:textId="77777777" w:rsidR="00A9000C" w:rsidRPr="005676D0" w:rsidRDefault="00A9000C" w:rsidP="006B0E16"/>
    <w:p w14:paraId="78F4161A" w14:textId="77777777" w:rsidR="001E1C6F" w:rsidRPr="004813E0" w:rsidRDefault="001E1C6F" w:rsidP="00BA491B"/>
    <w:p w14:paraId="7AE21437" w14:textId="396A4CBF" w:rsidR="00D81C2D" w:rsidRPr="00006200" w:rsidRDefault="00CB0D91" w:rsidP="006B0E16">
      <w:pPr>
        <w:pStyle w:val="Titre3"/>
      </w:pPr>
      <w:bookmarkStart w:id="159" w:name="_Toc167956989"/>
      <w:r>
        <w:t>Assurances</w:t>
      </w:r>
      <w:bookmarkEnd w:id="159"/>
    </w:p>
    <w:p w14:paraId="3E593217" w14:textId="77777777" w:rsidR="00CB0D91" w:rsidRDefault="00CB0D91" w:rsidP="006B0E16">
      <w:bookmarkStart w:id="160" w:name="_Toc114385051"/>
    </w:p>
    <w:p w14:paraId="7C7C8E13" w14:textId="39AEECDC" w:rsidR="00CB0D91" w:rsidRDefault="00CB0D91" w:rsidP="00CB0D91">
      <w:r>
        <w:t>Le titulaire devra être titulaire d’une police destinée à garantir sa responsabilité civile, en cas de préjudices causés à des tiers, y compris le maître d’ouvrage à la suite de tout dommage corporel, matériel et immatériel consécutif ou non à un dommage corporel et/ou matériel, du fait ou à l’occasion de sa mission en cours d’exécution ou terminée.</w:t>
      </w:r>
    </w:p>
    <w:p w14:paraId="51636F41" w14:textId="77777777" w:rsidR="00CB0D91" w:rsidRDefault="00CB0D91" w:rsidP="00CB0D91">
      <w:r>
        <w:tab/>
        <w:t>Dès notification du marché, le titulaire s’engage à adresser au maître d’ouvrage son attestation d’assurance de responsabilité civile de droit commun valable dès le début de sa mission jusqu’à la fin de son intervention, il s’engage alors à fournir périodiquement, et au moins au cours du 1er trimestre de chaque année, une attestation dont la date de validité sera en cohérence avec la durée de sa mission.</w:t>
      </w:r>
    </w:p>
    <w:p w14:paraId="39163489" w14:textId="6EAFF04B" w:rsidR="00CB0D91" w:rsidRDefault="00CB0D91" w:rsidP="00CB0D91">
      <w:r>
        <w:tab/>
        <w:t>Le non-respect de ces obligations en cours de l’exécution du marché peut entraîner la résiliation de plein droit du marché par le maître d’ouvrage, sans indemnisation.</w:t>
      </w:r>
    </w:p>
    <w:p w14:paraId="62FC2E1A" w14:textId="77777777" w:rsidR="00CB0D91" w:rsidRDefault="00CB0D91" w:rsidP="006B0E16"/>
    <w:p w14:paraId="52F916C6" w14:textId="77777777" w:rsidR="00A9000C" w:rsidRPr="005A3995" w:rsidRDefault="00A9000C" w:rsidP="00A9000C">
      <w:r w:rsidRPr="005A3995">
        <w:t>Dans les quinze jours qui suivront la notification de l’accord-cadre, le titulaire devra fournir une attestation d'assurance dûment remplie par l'assureur, précisant :</w:t>
      </w:r>
    </w:p>
    <w:p w14:paraId="38EB9A06" w14:textId="77777777" w:rsidR="00A9000C" w:rsidRPr="005A3995" w:rsidRDefault="00A9000C" w:rsidP="00A9000C">
      <w:pPr>
        <w:pStyle w:val="Paragraphedeliste"/>
        <w:numPr>
          <w:ilvl w:val="0"/>
          <w:numId w:val="22"/>
        </w:numPr>
        <w:spacing w:after="0" w:line="240" w:lineRule="auto"/>
        <w:contextualSpacing/>
      </w:pPr>
      <w:proofErr w:type="gramStart"/>
      <w:r w:rsidRPr="005A3995">
        <w:t>que</w:t>
      </w:r>
      <w:proofErr w:type="gramEnd"/>
      <w:r w:rsidRPr="005A3995">
        <w:t xml:space="preserve"> la police s'applique pour les risques générés par les prestations faisant l’objet du présent accord-cadre ;</w:t>
      </w:r>
    </w:p>
    <w:p w14:paraId="4180A7D4" w14:textId="77777777" w:rsidR="00A9000C" w:rsidRPr="005A3995" w:rsidRDefault="00A9000C" w:rsidP="00A9000C">
      <w:pPr>
        <w:pStyle w:val="Paragraphedeliste"/>
        <w:numPr>
          <w:ilvl w:val="0"/>
          <w:numId w:val="22"/>
        </w:numPr>
        <w:spacing w:after="0" w:line="240" w:lineRule="auto"/>
        <w:contextualSpacing/>
      </w:pPr>
      <w:proofErr w:type="gramStart"/>
      <w:r w:rsidRPr="005A3995">
        <w:t>que</w:t>
      </w:r>
      <w:proofErr w:type="gramEnd"/>
      <w:r w:rsidRPr="005A3995">
        <w:t xml:space="preserve"> les montants des garanties sont conformes aux exigences de l’accord-cadre.</w:t>
      </w:r>
    </w:p>
    <w:p w14:paraId="7FB34D13" w14:textId="77777777" w:rsidR="00A9000C" w:rsidRDefault="00A9000C" w:rsidP="00A9000C"/>
    <w:p w14:paraId="1CA0C2AC" w14:textId="77777777" w:rsidR="00A9000C" w:rsidRPr="005A3995" w:rsidRDefault="00A9000C" w:rsidP="00A9000C">
      <w:r w:rsidRPr="005A3995">
        <w:t>A chaque échéance annuelle, le titulaire fournira une attestation d’assurance, émanant des assureurs, confirmant qu’il est en règle pour le paiement de ses primes.</w:t>
      </w:r>
    </w:p>
    <w:p w14:paraId="5E590232" w14:textId="77777777" w:rsidR="00A9000C" w:rsidRDefault="00A9000C" w:rsidP="00A9000C"/>
    <w:p w14:paraId="17B61D78" w14:textId="77777777" w:rsidR="00A9000C" w:rsidRPr="005A3995" w:rsidRDefault="00A9000C" w:rsidP="00A9000C">
      <w:r w:rsidRPr="005A3995">
        <w:t>L’absence de présentation des attestations d’assurance au représentant du pouvoir adjudicateur fait obstacle au mandatement des sommes dues au titulaire de l’accord-cadre. Tout paiement pourra être différé jusqu’à ce que le titulaire fournisse les justifications demandées.</w:t>
      </w:r>
    </w:p>
    <w:p w14:paraId="49F9252C" w14:textId="77777777" w:rsidR="00CB0D91" w:rsidRDefault="00CB0D91" w:rsidP="006B0E16"/>
    <w:p w14:paraId="16A9D1C6" w14:textId="77777777" w:rsidR="00F53E76" w:rsidRPr="00F53E76" w:rsidRDefault="00F53E76" w:rsidP="006C2D48">
      <w:pPr>
        <w:pStyle w:val="Titre1"/>
      </w:pPr>
      <w:bookmarkStart w:id="161" w:name="_Toc164089813"/>
      <w:bookmarkStart w:id="162" w:name="_Toc167956990"/>
      <w:r w:rsidRPr="00F53E76">
        <w:t>: DISPOSITIONS RELATIVES AU TRAVAIL DISSIMULE</w:t>
      </w:r>
      <w:bookmarkEnd w:id="161"/>
      <w:bookmarkEnd w:id="162"/>
    </w:p>
    <w:p w14:paraId="0BE1540D" w14:textId="77777777" w:rsidR="00F53E76" w:rsidRPr="00CD0D0E" w:rsidRDefault="00F53E76" w:rsidP="00F53E76">
      <w:pPr>
        <w:rPr>
          <w:rFonts w:cs="Arial"/>
        </w:rPr>
      </w:pPr>
      <w:r w:rsidRPr="00CD0D0E">
        <w:rPr>
          <w:rFonts w:cs="Arial"/>
        </w:rPr>
        <w:t xml:space="preserve">Le titulaire du marché public est tenu de remettre au maitre d’ouvrage, </w:t>
      </w:r>
      <w:r w:rsidRPr="00CD0D0E">
        <w:rPr>
          <w:rFonts w:cs="Arial"/>
          <w:b/>
        </w:rPr>
        <w:t>tous les six mois et jusqu’à la fin de l’exécution du marché</w:t>
      </w:r>
      <w:r w:rsidRPr="00CD0D0E">
        <w:rPr>
          <w:rFonts w:cs="Arial"/>
        </w:rPr>
        <w:t xml:space="preserve"> les pièces prévues par les articles D 8222-5 du Code du travail s’il est établi en France, et D 8222-7 à D 8222-8 s’il est établi à l’étranger.</w:t>
      </w:r>
    </w:p>
    <w:p w14:paraId="5E623643" w14:textId="77777777" w:rsidR="00F53E76" w:rsidRDefault="00F53E76" w:rsidP="00F53E76">
      <w:pPr>
        <w:spacing w:before="200"/>
        <w:rPr>
          <w:rFonts w:cs="Arial"/>
        </w:rPr>
      </w:pPr>
      <w:r w:rsidRPr="00CD0D0E">
        <w:rPr>
          <w:rFonts w:cs="Arial"/>
        </w:rPr>
        <w:t>Le titulaire du marché public est tenu de remettre également au ma</w:t>
      </w:r>
      <w:r>
        <w:rPr>
          <w:rFonts w:cs="Arial"/>
        </w:rPr>
        <w:t>î</w:t>
      </w:r>
      <w:r w:rsidRPr="00CD0D0E">
        <w:rPr>
          <w:rFonts w:cs="Arial"/>
        </w:rPr>
        <w:t>tre d’ouvrage conformément à l’article D 8254-2 du Code du travail, tous les six mois et jusqu’à la fin de l’exécution du marché, qu’il soit établi en France ou à l’étranger, la liste nominative des salariés étrangers employés par lui et soumis à l’autorisation de travail prévue à l’article L 5221-2 du Code du travail. Cette liste précise pour chaque salarié :</w:t>
      </w:r>
    </w:p>
    <w:p w14:paraId="78C88360" w14:textId="77777777" w:rsidR="00F53E76" w:rsidRPr="00CD0D0E" w:rsidRDefault="00F53E76" w:rsidP="00F53E76">
      <w:pPr>
        <w:pStyle w:val="Paragraphedeliste"/>
        <w:numPr>
          <w:ilvl w:val="0"/>
          <w:numId w:val="24"/>
        </w:numPr>
        <w:spacing w:before="80" w:after="0" w:line="240" w:lineRule="auto"/>
        <w:contextualSpacing/>
        <w:rPr>
          <w:rFonts w:cs="Arial"/>
        </w:rPr>
      </w:pPr>
      <w:proofErr w:type="gramStart"/>
      <w:r w:rsidRPr="00CD0D0E">
        <w:rPr>
          <w:rFonts w:cs="Arial"/>
        </w:rPr>
        <w:t>sa</w:t>
      </w:r>
      <w:proofErr w:type="gramEnd"/>
      <w:r w:rsidRPr="00CD0D0E">
        <w:rPr>
          <w:rFonts w:cs="Arial"/>
        </w:rPr>
        <w:t xml:space="preserve"> date d’embauche</w:t>
      </w:r>
      <w:r>
        <w:rPr>
          <w:rFonts w:ascii="Calibri" w:hAnsi="Calibri" w:cs="Calibri"/>
        </w:rPr>
        <w:t> </w:t>
      </w:r>
      <w:r>
        <w:rPr>
          <w:rFonts w:cs="Arial"/>
        </w:rPr>
        <w:t>;</w:t>
      </w:r>
    </w:p>
    <w:p w14:paraId="3F64EE50" w14:textId="77777777" w:rsidR="00F53E76" w:rsidRPr="00CD0D0E" w:rsidRDefault="00F53E76" w:rsidP="00F53E76">
      <w:pPr>
        <w:pStyle w:val="Paragraphedeliste"/>
        <w:numPr>
          <w:ilvl w:val="0"/>
          <w:numId w:val="24"/>
        </w:numPr>
        <w:spacing w:before="80" w:after="0" w:line="240" w:lineRule="auto"/>
        <w:contextualSpacing/>
        <w:rPr>
          <w:rFonts w:cs="Arial"/>
        </w:rPr>
      </w:pPr>
      <w:proofErr w:type="gramStart"/>
      <w:r w:rsidRPr="00CD0D0E">
        <w:rPr>
          <w:rFonts w:cs="Arial"/>
        </w:rPr>
        <w:t>sa</w:t>
      </w:r>
      <w:proofErr w:type="gramEnd"/>
      <w:r w:rsidRPr="00CD0D0E">
        <w:rPr>
          <w:rFonts w:cs="Arial"/>
        </w:rPr>
        <w:t xml:space="preserve"> nationalité</w:t>
      </w:r>
      <w:r>
        <w:rPr>
          <w:rFonts w:ascii="Calibri" w:hAnsi="Calibri" w:cs="Calibri"/>
        </w:rPr>
        <w:t> </w:t>
      </w:r>
      <w:r>
        <w:rPr>
          <w:rFonts w:cs="Arial"/>
        </w:rPr>
        <w:t>;</w:t>
      </w:r>
    </w:p>
    <w:p w14:paraId="1E175765" w14:textId="77777777" w:rsidR="00F53E76" w:rsidRDefault="00F53E76" w:rsidP="00F53E76">
      <w:pPr>
        <w:pStyle w:val="Paragraphedeliste"/>
        <w:numPr>
          <w:ilvl w:val="0"/>
          <w:numId w:val="24"/>
        </w:numPr>
        <w:spacing w:before="80" w:after="0" w:line="240" w:lineRule="auto"/>
        <w:contextualSpacing/>
        <w:rPr>
          <w:rFonts w:cs="Arial"/>
        </w:rPr>
      </w:pPr>
      <w:proofErr w:type="gramStart"/>
      <w:r w:rsidRPr="00CD0D0E">
        <w:rPr>
          <w:rFonts w:cs="Arial"/>
        </w:rPr>
        <w:t>le</w:t>
      </w:r>
      <w:proofErr w:type="gramEnd"/>
      <w:r w:rsidRPr="00CD0D0E">
        <w:rPr>
          <w:rFonts w:cs="Arial"/>
        </w:rPr>
        <w:t xml:space="preserve"> type et le numéro d’ordre du titre valant autorisation de travail</w:t>
      </w:r>
      <w:r>
        <w:rPr>
          <w:rFonts w:cs="Arial"/>
        </w:rPr>
        <w:t>.</w:t>
      </w:r>
    </w:p>
    <w:p w14:paraId="7FA55D92" w14:textId="77777777" w:rsidR="00D40C86" w:rsidRDefault="00D40C86" w:rsidP="00D40C86">
      <w:pPr>
        <w:spacing w:before="80" w:after="0" w:line="240" w:lineRule="auto"/>
        <w:contextualSpacing/>
        <w:rPr>
          <w:rFonts w:cs="Arial"/>
        </w:rPr>
      </w:pPr>
    </w:p>
    <w:p w14:paraId="30AEB8DD" w14:textId="28B66619" w:rsidR="00D40C86" w:rsidRPr="00D40C86" w:rsidRDefault="00D40C86" w:rsidP="00D40C86">
      <w:pPr>
        <w:spacing w:before="80" w:after="0" w:line="240" w:lineRule="auto"/>
        <w:contextualSpacing/>
        <w:rPr>
          <w:rFonts w:cs="Arial"/>
        </w:rPr>
      </w:pPr>
      <w:r w:rsidRPr="00D40C86">
        <w:rPr>
          <w:rFonts w:cs="Arial"/>
        </w:rPr>
        <w:t>Afin de remplir cette obligation, l’APIJ pourra souscrire, à une plateforme en ligne, afin de simplifier et sécuriser la collecte des attestations officielles de ses opérateurs économiques.</w:t>
      </w:r>
    </w:p>
    <w:p w14:paraId="39F6C9FB" w14:textId="77777777" w:rsidR="00D40C86" w:rsidRPr="00D40C86" w:rsidRDefault="00D40C86" w:rsidP="00D40C86">
      <w:pPr>
        <w:spacing w:before="80" w:after="0" w:line="240" w:lineRule="auto"/>
        <w:contextualSpacing/>
        <w:rPr>
          <w:rFonts w:cs="Arial"/>
        </w:rPr>
      </w:pPr>
      <w:r w:rsidRPr="00D40C86">
        <w:rPr>
          <w:rFonts w:cs="Arial"/>
        </w:rPr>
        <w:t xml:space="preserve">Cette plateforme permet aux opérateurs économiques de déposer régulièrement leurs attestations en toute sécurité ; le recours à cette plateforme est gratuit pour les opérateurs économiques. </w:t>
      </w:r>
    </w:p>
    <w:p w14:paraId="4BAF77E7" w14:textId="77777777" w:rsidR="00D40C86" w:rsidRPr="00D40C86" w:rsidRDefault="00D40C86" w:rsidP="00D40C86">
      <w:pPr>
        <w:spacing w:before="80" w:after="0" w:line="240" w:lineRule="auto"/>
        <w:contextualSpacing/>
        <w:rPr>
          <w:rFonts w:cs="Arial"/>
        </w:rPr>
      </w:pPr>
      <w:r w:rsidRPr="00D40C86">
        <w:rPr>
          <w:rFonts w:cs="Arial"/>
        </w:rPr>
        <w:t>Un système de relance mail rappelle le besoin de mise à jour des documents en temps voulu, et permet ainsi d’être en parfaite légalité.</w:t>
      </w:r>
    </w:p>
    <w:p w14:paraId="2597AAF7" w14:textId="77777777" w:rsidR="00D40C86" w:rsidRPr="00D40C86" w:rsidRDefault="00D40C86" w:rsidP="00D40C86">
      <w:pPr>
        <w:spacing w:before="80" w:after="0" w:line="240" w:lineRule="auto"/>
        <w:contextualSpacing/>
        <w:rPr>
          <w:rFonts w:cs="Arial"/>
        </w:rPr>
      </w:pPr>
      <w:r w:rsidRPr="00D40C86">
        <w:rPr>
          <w:rFonts w:cs="Arial"/>
        </w:rPr>
        <w:t>Cette obligation s’étend à ses co-traitants et à ses sous-traitants.</w:t>
      </w:r>
    </w:p>
    <w:p w14:paraId="46869B99" w14:textId="77777777" w:rsidR="00D40C86" w:rsidRPr="00D40C86" w:rsidRDefault="00D40C86" w:rsidP="00D40C86">
      <w:pPr>
        <w:spacing w:before="80" w:after="0" w:line="240" w:lineRule="auto"/>
        <w:contextualSpacing/>
        <w:rPr>
          <w:rFonts w:cs="Arial"/>
        </w:rPr>
      </w:pPr>
    </w:p>
    <w:p w14:paraId="05D5E097" w14:textId="3EC6DF22" w:rsidR="00D40C86" w:rsidRDefault="00D40C86" w:rsidP="00D40C86">
      <w:pPr>
        <w:spacing w:before="80" w:after="0" w:line="240" w:lineRule="auto"/>
        <w:contextualSpacing/>
        <w:rPr>
          <w:rFonts w:cs="Arial"/>
        </w:rPr>
      </w:pPr>
      <w:r w:rsidRPr="00D40C86">
        <w:rPr>
          <w:rFonts w:cs="Arial"/>
        </w:rPr>
        <w:t xml:space="preserve">Les pièces et attestations mentionnées ci-dessus sont déposées par le titulaire sur la plateforme en ligne mise à disposition. </w:t>
      </w:r>
    </w:p>
    <w:p w14:paraId="4FFEDAB3" w14:textId="77777777" w:rsidR="00D40C86" w:rsidRDefault="00D40C86" w:rsidP="00D40C86">
      <w:pPr>
        <w:spacing w:before="80" w:after="0" w:line="240" w:lineRule="auto"/>
        <w:contextualSpacing/>
        <w:rPr>
          <w:rFonts w:cs="Arial"/>
        </w:rPr>
      </w:pPr>
    </w:p>
    <w:p w14:paraId="76C64C5B" w14:textId="77777777" w:rsidR="00D40C86" w:rsidRPr="00D40C86" w:rsidRDefault="00D40C86" w:rsidP="00D40C86">
      <w:pPr>
        <w:spacing w:before="80" w:after="0" w:line="240" w:lineRule="auto"/>
        <w:contextualSpacing/>
        <w:rPr>
          <w:rFonts w:cs="Arial"/>
        </w:rPr>
      </w:pPr>
    </w:p>
    <w:p w14:paraId="5BC161F0" w14:textId="77777777" w:rsidR="00F53E76" w:rsidRPr="00F53E76" w:rsidRDefault="00F53E76" w:rsidP="006C2D48">
      <w:pPr>
        <w:pStyle w:val="Titre1"/>
      </w:pPr>
      <w:r w:rsidRPr="006C2D48">
        <w:rPr>
          <w:rFonts w:ascii="Calibri" w:hAnsi="Calibri" w:cs="Calibri"/>
        </w:rPr>
        <w:t> </w:t>
      </w:r>
      <w:bookmarkStart w:id="163" w:name="_Toc164089814"/>
      <w:bookmarkStart w:id="164" w:name="_Toc167956991"/>
      <w:r w:rsidRPr="00F53E76">
        <w:t>: DISPOSITIONS RELATIVES AUX TRAVAILLEURS DETACHES</w:t>
      </w:r>
      <w:bookmarkEnd w:id="163"/>
      <w:bookmarkEnd w:id="164"/>
    </w:p>
    <w:p w14:paraId="24D71081" w14:textId="77777777" w:rsidR="00F53E76" w:rsidRPr="0020214D" w:rsidRDefault="00F53E76" w:rsidP="00F53E76">
      <w:pPr>
        <w:rPr>
          <w:rFonts w:cs="Arial"/>
          <w:szCs w:val="18"/>
        </w:rPr>
      </w:pPr>
      <w:bookmarkStart w:id="165" w:name="_Toc25158576"/>
      <w:bookmarkStart w:id="166" w:name="_Toc30064912"/>
      <w:bookmarkStart w:id="167" w:name="_Toc75963645"/>
      <w:r w:rsidRPr="0020214D">
        <w:rPr>
          <w:rFonts w:cs="Arial"/>
          <w:szCs w:val="18"/>
        </w:rPr>
        <w:t>Si le titulaire du marché est établi hors de France et détache un ou plusieurs salariés, il doit remettre au maître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bookmarkEnd w:id="165"/>
      <w:bookmarkEnd w:id="166"/>
      <w:bookmarkEnd w:id="167"/>
    </w:p>
    <w:p w14:paraId="23B3BF2D" w14:textId="77777777" w:rsidR="00F53E76" w:rsidRDefault="00F53E76" w:rsidP="00F53E76">
      <w:pPr>
        <w:pStyle w:val="Titre1"/>
      </w:pPr>
      <w:r w:rsidRPr="005A0463">
        <w:tab/>
      </w:r>
      <w:bookmarkStart w:id="168" w:name="_Toc167956992"/>
      <w:r>
        <w:t>Arrêt de l’exécution de l’accord cadre</w:t>
      </w:r>
      <w:bookmarkEnd w:id="168"/>
    </w:p>
    <w:p w14:paraId="41B9E3E2" w14:textId="77777777" w:rsidR="00F53E76" w:rsidRPr="005A0463" w:rsidRDefault="00F53E76" w:rsidP="00F53E76">
      <w:pPr>
        <w:numPr>
          <w:ilvl w:val="12"/>
          <w:numId w:val="0"/>
        </w:numPr>
      </w:pPr>
      <w:r w:rsidRPr="005A0463">
        <w:t>En application de l’article 22 du CCAG-PI, l’APIJ se réserve la possibilité d’arrêter l’exécution des prestations qui font l’objet du présent marché à l’issue de chacune des phases définies au marché, celles-ci étant assimilées à des parties techniques au sens de l’article précité.</w:t>
      </w:r>
    </w:p>
    <w:p w14:paraId="13683A55" w14:textId="77777777" w:rsidR="00F53E76" w:rsidRDefault="00F53E76" w:rsidP="00F53E76">
      <w:pPr>
        <w:numPr>
          <w:ilvl w:val="12"/>
          <w:numId w:val="0"/>
        </w:numPr>
      </w:pPr>
      <w:r w:rsidRPr="005A0463">
        <w:t>La décision d’arrêter l’exécution des prestations ne donne lieu à aucune indemnité.</w:t>
      </w:r>
    </w:p>
    <w:p w14:paraId="5CFE0D98" w14:textId="77777777" w:rsidR="004C68F3" w:rsidRDefault="004C68F3" w:rsidP="004C68F3">
      <w:pPr>
        <w:numPr>
          <w:ilvl w:val="12"/>
          <w:numId w:val="0"/>
        </w:numPr>
      </w:pPr>
    </w:p>
    <w:p w14:paraId="52534AB6" w14:textId="1943D4C8" w:rsidR="00783488" w:rsidRPr="00006200" w:rsidRDefault="00783488" w:rsidP="00980240">
      <w:pPr>
        <w:pStyle w:val="Titre1"/>
      </w:pPr>
      <w:bookmarkStart w:id="169" w:name="_Toc167956993"/>
      <w:r w:rsidRPr="00006200">
        <w:t>R</w:t>
      </w:r>
      <w:r w:rsidRPr="00006200">
        <w:rPr>
          <w:rFonts w:cs="Marianne"/>
        </w:rPr>
        <w:t>é</w:t>
      </w:r>
      <w:r w:rsidRPr="00006200">
        <w:t xml:space="preserve">siliation </w:t>
      </w:r>
      <w:bookmarkEnd w:id="160"/>
      <w:r w:rsidR="00C53DFD" w:rsidRPr="00006200">
        <w:t>de l’accord-cadre</w:t>
      </w:r>
      <w:bookmarkEnd w:id="169"/>
    </w:p>
    <w:p w14:paraId="1CB9C3AB" w14:textId="77777777" w:rsidR="00800402" w:rsidRDefault="00800402" w:rsidP="00DE5D05">
      <w:r>
        <w:t>L’accord-cadre pourra être résilié dans les conditions fixées aux articles 36 à 41 du CCAG-PI.</w:t>
      </w:r>
    </w:p>
    <w:p w14:paraId="6AFF1316" w14:textId="7ED75E29" w:rsidR="00DE5D05" w:rsidRDefault="00DE5D05" w:rsidP="00DE5D05">
      <w:r>
        <w:t>Par dérogation à l’article 3</w:t>
      </w:r>
      <w:r w:rsidR="006B0E16">
        <w:t>6</w:t>
      </w:r>
      <w:r>
        <w:t xml:space="preserve"> du CCAG PI, en cas de non-renouvellement ou de perte de l’</w:t>
      </w:r>
      <w:r w:rsidR="00326FFE">
        <w:t xml:space="preserve">attestation de compétence </w:t>
      </w:r>
      <w:r>
        <w:t>du co</w:t>
      </w:r>
      <w:r w:rsidR="00326FFE">
        <w:t>ordonnateur</w:t>
      </w:r>
      <w:r>
        <w:t xml:space="preserve"> </w:t>
      </w:r>
      <w:r w:rsidR="00326FFE">
        <w:t xml:space="preserve">ou de son suppléant, </w:t>
      </w:r>
      <w:r>
        <w:t xml:space="preserve">concernés par le présent accord-cadre, celui-ci </w:t>
      </w:r>
      <w:r w:rsidR="00326FFE">
        <w:t>pourra être</w:t>
      </w:r>
      <w:r>
        <w:t xml:space="preserve"> résilié sans indemnité.</w:t>
      </w:r>
    </w:p>
    <w:p w14:paraId="33C0C345" w14:textId="06820D90" w:rsidR="00DE5D05" w:rsidRDefault="00DE5D05" w:rsidP="00DE5D05">
      <w:r>
        <w:tab/>
        <w:t>La décision d’arrêter l’exécution des prestations emporte résiliation sans indemnité.</w:t>
      </w:r>
    </w:p>
    <w:p w14:paraId="5ED787A1" w14:textId="77777777" w:rsidR="006B0E16" w:rsidRPr="005B200B" w:rsidRDefault="006B0E16" w:rsidP="006B0E16">
      <w:pPr>
        <w:pStyle w:val="Normal3"/>
      </w:pPr>
      <w:r w:rsidRPr="005B200B">
        <w:t>L</w:t>
      </w:r>
      <w:r>
        <w:t>’accord-cadre</w:t>
      </w:r>
      <w:r w:rsidRPr="005B200B">
        <w:t xml:space="preserve"> pourra être résilié dans les conditions fixées aux articles </w:t>
      </w:r>
      <w:r>
        <w:t>36</w:t>
      </w:r>
      <w:r w:rsidRPr="005B200B">
        <w:t xml:space="preserve"> à </w:t>
      </w:r>
      <w:r>
        <w:t>41</w:t>
      </w:r>
      <w:r w:rsidRPr="005B200B">
        <w:t xml:space="preserve"> du CCAG-PI.</w:t>
      </w:r>
    </w:p>
    <w:p w14:paraId="4A815646" w14:textId="77777777" w:rsidR="006B0E16" w:rsidRDefault="006B0E16" w:rsidP="00DE5D05"/>
    <w:p w14:paraId="15DB7201" w14:textId="77777777" w:rsidR="008B6505" w:rsidRDefault="008B6505" w:rsidP="00DE5D05"/>
    <w:p w14:paraId="05100E81" w14:textId="77777777" w:rsidR="00DE5D05" w:rsidRPr="006B0E16" w:rsidRDefault="00DE5D05" w:rsidP="00DE5D05">
      <w:pPr>
        <w:rPr>
          <w:b/>
          <w:bCs/>
        </w:rPr>
      </w:pPr>
      <w:r w:rsidRPr="006B0E16">
        <w:rPr>
          <w:b/>
          <w:bCs/>
        </w:rPr>
        <w:t>1.1. Résiliation du fait du pouvoir adjudicateur</w:t>
      </w:r>
    </w:p>
    <w:p w14:paraId="54091592" w14:textId="21B8141C" w:rsidR="00DE5D05" w:rsidRDefault="00DE5D05" w:rsidP="00DE5D05">
      <w:r>
        <w:t>Le pourcentage à prendre en considération pour le calcul de la somme forfaitaire à verser au titulaire, en application du 40 du CCAG-PI, pour la partie résiliée, est fixé à 1 %.</w:t>
      </w:r>
    </w:p>
    <w:p w14:paraId="7B8D7068" w14:textId="77777777" w:rsidR="00DE5D05" w:rsidRDefault="00DE5D05" w:rsidP="00DE5D05">
      <w:r>
        <w:tab/>
      </w:r>
    </w:p>
    <w:p w14:paraId="7C1E34F9" w14:textId="77777777" w:rsidR="00DE5D05" w:rsidRPr="006B0E16" w:rsidRDefault="00DE5D05" w:rsidP="00DE5D05">
      <w:pPr>
        <w:rPr>
          <w:b/>
          <w:bCs/>
        </w:rPr>
      </w:pPr>
      <w:r w:rsidRPr="006B0E16">
        <w:rPr>
          <w:b/>
          <w:bCs/>
        </w:rPr>
        <w:t>1.2. Résiliation aux torts du titulaire</w:t>
      </w:r>
    </w:p>
    <w:p w14:paraId="2DE32394" w14:textId="2DE8473F" w:rsidR="00DE5D05" w:rsidRDefault="00DE5D05" w:rsidP="00DE5D05">
      <w:r>
        <w:t>En cas d’inexactitude des documents et renseignements mentionnés aux articles L.2341-1 et L.2341-5 du Code de la commande publique, l’accord-cadre sera résilié aux torts du titulaire et sans que celui-ci puisse prétendre à indemnité, sans mise en demeure, conformément aux dispositions de l’article L.2341-6 du Code de la commande publique.</w:t>
      </w:r>
    </w:p>
    <w:p w14:paraId="7DD8A6A0" w14:textId="430203E5" w:rsidR="00DE5D05" w:rsidRDefault="00DE5D05" w:rsidP="00DE5D05">
      <w:r>
        <w:t>En cas de refus de produire les pièces prévues aux articles R. 8822-5 ou R. 8822-7 et R. 8822-8 du Code du travail conformément au Code de la commande publique, l’accord-cadre sera résilié aux torts du titulaire et sans que celui-ci puisse prétendre à indemnité, après mise en demeure, notifiée par écrit, de présenter ses observations dans un délai de 15 jours et restée sans effet.</w:t>
      </w:r>
    </w:p>
    <w:p w14:paraId="264FA4F5" w14:textId="77777777" w:rsidR="00C36B11" w:rsidRDefault="00C36B11" w:rsidP="00DE5D05"/>
    <w:p w14:paraId="7B7D3B5D" w14:textId="77777777" w:rsidR="00DE5D05" w:rsidRPr="006B0E16" w:rsidRDefault="00DE5D05" w:rsidP="00DE5D05">
      <w:pPr>
        <w:rPr>
          <w:b/>
          <w:bCs/>
        </w:rPr>
      </w:pPr>
      <w:r w:rsidRPr="006B0E16">
        <w:rPr>
          <w:b/>
          <w:bCs/>
        </w:rPr>
        <w:t>1.3. Résiliation aux frais et risques</w:t>
      </w:r>
    </w:p>
    <w:p w14:paraId="0E5B46B7" w14:textId="067DA7BB" w:rsidR="00DE5D05" w:rsidRDefault="00DE5D05" w:rsidP="00DE5D05">
      <w:r>
        <w:t>Conformément à l’article 27 du CCAG-PI, le pouvoir adjudicateur pourra faire procéder par un tiers à l'exécution des prestations prévues par l’accord-cadre, aux frais et risques du titulaire.</w:t>
      </w:r>
    </w:p>
    <w:p w14:paraId="490B474B" w14:textId="77777777" w:rsidR="00DE5D05" w:rsidRDefault="00DE5D05" w:rsidP="00DE5D05"/>
    <w:p w14:paraId="5EB48B8F" w14:textId="1D987678" w:rsidR="00DE5D05" w:rsidRDefault="00DE5D05" w:rsidP="006B0E16">
      <w:pPr>
        <w:pStyle w:val="Titre1"/>
        <w:numPr>
          <w:ilvl w:val="0"/>
          <w:numId w:val="0"/>
        </w:numPr>
        <w:ind w:left="360"/>
      </w:pPr>
      <w:bookmarkStart w:id="170" w:name="_Toc167956994"/>
      <w:r>
        <w:t>Article 18 : Règlement des différends</w:t>
      </w:r>
      <w:bookmarkEnd w:id="170"/>
    </w:p>
    <w:p w14:paraId="4F5AC5D0" w14:textId="77777777" w:rsidR="00DE5D05" w:rsidRDefault="00DE5D05" w:rsidP="00DE5D05">
      <w:r>
        <w:tab/>
        <w:t>Pour tout différend qui s'élèverait entre les parties, celles–ci s’obligent préalablement à rechercher les voies d’un accord amiable dans le cadre de l’article 43 du CCAG-PI.</w:t>
      </w:r>
    </w:p>
    <w:p w14:paraId="36EC9F48" w14:textId="6863A6BC" w:rsidR="00DE5D05" w:rsidRDefault="00DE5D05" w:rsidP="00DE5D05">
      <w:r>
        <w:tab/>
        <w:t>A défaut, la juridiction à saisir est le tribunal administratif de Melun.</w:t>
      </w:r>
    </w:p>
    <w:p w14:paraId="42B6B913" w14:textId="779BEDB3" w:rsidR="00783488" w:rsidRPr="00006200" w:rsidRDefault="00DE5D05" w:rsidP="006B0E16">
      <w:pPr>
        <w:pStyle w:val="Titre1"/>
        <w:numPr>
          <w:ilvl w:val="0"/>
          <w:numId w:val="0"/>
        </w:numPr>
        <w:ind w:left="360"/>
      </w:pPr>
      <w:bookmarkStart w:id="171" w:name="_Toc114385052"/>
      <w:bookmarkStart w:id="172" w:name="_Toc167956995"/>
      <w:r>
        <w:t xml:space="preserve">Article 19 </w:t>
      </w:r>
      <w:r w:rsidR="00783488" w:rsidRPr="00006200">
        <w:t>D</w:t>
      </w:r>
      <w:r w:rsidR="00783488" w:rsidRPr="00006200">
        <w:rPr>
          <w:rFonts w:cs="Marianne"/>
        </w:rPr>
        <w:t>é</w:t>
      </w:r>
      <w:r w:rsidR="00783488" w:rsidRPr="00006200">
        <w:t>rogations aux documents g</w:t>
      </w:r>
      <w:r w:rsidR="00783488" w:rsidRPr="00006200">
        <w:rPr>
          <w:rFonts w:cs="Marianne"/>
        </w:rPr>
        <w:t>é</w:t>
      </w:r>
      <w:r w:rsidR="00783488" w:rsidRPr="00006200">
        <w:t>n</w:t>
      </w:r>
      <w:r w:rsidR="00783488" w:rsidRPr="00006200">
        <w:rPr>
          <w:rFonts w:cs="Marianne"/>
        </w:rPr>
        <w:t>é</w:t>
      </w:r>
      <w:r w:rsidR="00783488" w:rsidRPr="00006200">
        <w:t>raux</w:t>
      </w:r>
      <w:bookmarkEnd w:id="171"/>
      <w:bookmarkEnd w:id="172"/>
    </w:p>
    <w:p w14:paraId="4435D700" w14:textId="06294047" w:rsidR="00897AF2" w:rsidRPr="00897AF2" w:rsidRDefault="00352851" w:rsidP="00CD2821">
      <w:pPr>
        <w:spacing w:after="120"/>
        <w:rPr>
          <w:rFonts w:ascii="Verdana" w:hAnsi="Verdana" w:cs="Arial"/>
          <w:b/>
          <w:sz w:val="18"/>
          <w:szCs w:val="18"/>
        </w:rPr>
      </w:pPr>
      <w:r w:rsidRPr="00352851">
        <w:t xml:space="preserve">Par dérogation à l’article </w:t>
      </w:r>
      <w:r w:rsidR="00256701">
        <w:t>1.2</w:t>
      </w:r>
      <w:r w:rsidRPr="00352851">
        <w:t xml:space="preserve"> du CCAG</w:t>
      </w:r>
      <w:r w:rsidR="008B6505">
        <w:t>-</w:t>
      </w:r>
      <w:r w:rsidRPr="00352851">
        <w:t>PI, le présent CCP n’énumère pas les articles du CCAG</w:t>
      </w:r>
      <w:r w:rsidR="008B6505">
        <w:t>-</w:t>
      </w:r>
      <w:r w:rsidRPr="00352851">
        <w:t>PI auquel il déroge.</w:t>
      </w:r>
    </w:p>
    <w:sectPr w:rsidR="00897AF2" w:rsidRPr="00897AF2" w:rsidSect="00093EF4">
      <w:footerReference w:type="default" r:id="rId9"/>
      <w:pgSz w:w="11906" w:h="16838"/>
      <w:pgMar w:top="709" w:right="1418" w:bottom="992" w:left="1418" w:header="720" w:footer="17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D0B4" w14:textId="77777777" w:rsidR="008F7EDA" w:rsidRDefault="008F7EDA">
      <w:r>
        <w:separator/>
      </w:r>
    </w:p>
  </w:endnote>
  <w:endnote w:type="continuationSeparator" w:id="0">
    <w:p w14:paraId="7AD8153D" w14:textId="77777777" w:rsidR="008F7EDA" w:rsidRDefault="008F7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Univers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9AE51" w14:textId="2584BB30" w:rsidR="0096021D" w:rsidRPr="00981B53" w:rsidRDefault="003D7CB8" w:rsidP="00B5325B">
    <w:pPr>
      <w:jc w:val="center"/>
      <w:rPr>
        <w:rFonts w:ascii="Verdana" w:hAnsi="Verdana"/>
        <w:b/>
        <w:i/>
        <w:sz w:val="14"/>
        <w:szCs w:val="14"/>
      </w:rPr>
    </w:pPr>
    <w:r w:rsidRPr="008B793E">
      <w:rPr>
        <w:b/>
        <w:sz w:val="14"/>
        <w:szCs w:val="14"/>
      </w:rPr>
      <w:t xml:space="preserve">APIJ – ACCORD-CADRE DE MISSIONS DE CSPS en </w:t>
    </w:r>
    <w:r w:rsidR="004D098F">
      <w:rPr>
        <w:b/>
        <w:sz w:val="14"/>
        <w:szCs w:val="14"/>
      </w:rPr>
      <w:t>MARTINIQUE</w:t>
    </w:r>
    <w:r w:rsidRPr="00FA24AC">
      <w:rPr>
        <w:rFonts w:cs="Arial"/>
        <w:b/>
        <w:caps/>
        <w:sz w:val="32"/>
      </w:rPr>
      <w:t xml:space="preserve"> </w:t>
    </w:r>
    <w:r w:rsidRPr="008B793E">
      <w:rPr>
        <w:b/>
        <w:sz w:val="14"/>
        <w:szCs w:val="14"/>
      </w:rPr>
      <w:t>– C</w:t>
    </w:r>
    <w:r>
      <w:rPr>
        <w:b/>
        <w:sz w:val="14"/>
        <w:szCs w:val="14"/>
      </w:rPr>
      <w:t>CP</w:t>
    </w:r>
    <w:r w:rsidRPr="008B793E">
      <w:rPr>
        <w:b/>
        <w:sz w:val="14"/>
        <w:szCs w:val="14"/>
      </w:rPr>
      <w:t xml:space="preserve"> –</w:t>
    </w:r>
    <w:r w:rsidRPr="008B793E">
      <w:rPr>
        <w:b/>
        <w:sz w:val="14"/>
        <w:szCs w:val="14"/>
      </w:rPr>
      <w:tab/>
    </w:r>
    <w:r w:rsidRPr="008B793E">
      <w:rPr>
        <w:b/>
        <w:sz w:val="14"/>
        <w:szCs w:val="14"/>
      </w:rPr>
      <w:tab/>
    </w:r>
    <w:r>
      <w:rPr>
        <w:b/>
        <w:sz w:val="14"/>
        <w:szCs w:val="14"/>
      </w:rPr>
      <w:tab/>
      <w:t>P</w:t>
    </w:r>
    <w:r w:rsidRPr="008B793E">
      <w:rPr>
        <w:b/>
        <w:sz w:val="16"/>
        <w:szCs w:val="16"/>
      </w:rPr>
      <w:t xml:space="preserve">age </w:t>
    </w:r>
    <w:r w:rsidRPr="008B793E">
      <w:rPr>
        <w:b/>
        <w:sz w:val="16"/>
        <w:szCs w:val="16"/>
      </w:rPr>
      <w:fldChar w:fldCharType="begin"/>
    </w:r>
    <w:r w:rsidRPr="008B793E">
      <w:rPr>
        <w:b/>
        <w:sz w:val="16"/>
        <w:szCs w:val="16"/>
      </w:rPr>
      <w:instrText>PAGE  \* Arabic  \* MERGEFORMAT</w:instrText>
    </w:r>
    <w:r w:rsidRPr="008B793E">
      <w:rPr>
        <w:b/>
        <w:sz w:val="16"/>
        <w:szCs w:val="16"/>
      </w:rPr>
      <w:fldChar w:fldCharType="separate"/>
    </w:r>
    <w:r>
      <w:rPr>
        <w:b/>
        <w:sz w:val="16"/>
        <w:szCs w:val="16"/>
      </w:rPr>
      <w:t>2</w:t>
    </w:r>
    <w:r w:rsidRPr="008B793E">
      <w:rPr>
        <w:b/>
        <w:sz w:val="16"/>
        <w:szCs w:val="16"/>
      </w:rPr>
      <w:fldChar w:fldCharType="end"/>
    </w:r>
    <w:r w:rsidRPr="008B793E">
      <w:rPr>
        <w:b/>
        <w:sz w:val="16"/>
        <w:szCs w:val="16"/>
      </w:rPr>
      <w:t xml:space="preserve"> sur </w:t>
    </w:r>
    <w:r w:rsidRPr="008B793E">
      <w:rPr>
        <w:b/>
        <w:sz w:val="16"/>
        <w:szCs w:val="16"/>
      </w:rPr>
      <w:fldChar w:fldCharType="begin"/>
    </w:r>
    <w:r w:rsidRPr="008B793E">
      <w:rPr>
        <w:b/>
        <w:sz w:val="16"/>
        <w:szCs w:val="16"/>
      </w:rPr>
      <w:instrText>NUMPAGES  \* Arabic  \* MERGEFORMAT</w:instrText>
    </w:r>
    <w:r w:rsidRPr="008B793E">
      <w:rPr>
        <w:b/>
        <w:sz w:val="16"/>
        <w:szCs w:val="16"/>
      </w:rPr>
      <w:fldChar w:fldCharType="separate"/>
    </w:r>
    <w:r>
      <w:rPr>
        <w:b/>
        <w:sz w:val="16"/>
        <w:szCs w:val="16"/>
      </w:rPr>
      <w:t>9</w:t>
    </w:r>
    <w:r w:rsidRPr="008B793E">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67159" w14:textId="77777777" w:rsidR="008F7EDA" w:rsidRDefault="008F7EDA">
      <w:r>
        <w:separator/>
      </w:r>
    </w:p>
  </w:footnote>
  <w:footnote w:type="continuationSeparator" w:id="0">
    <w:p w14:paraId="2B809097" w14:textId="77777777" w:rsidR="008F7EDA" w:rsidRDefault="008F7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77B"/>
    <w:multiLevelType w:val="multilevel"/>
    <w:tmpl w:val="9CD4FA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726C49"/>
    <w:multiLevelType w:val="hybridMultilevel"/>
    <w:tmpl w:val="00EA9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21EBA"/>
    <w:multiLevelType w:val="hybridMultilevel"/>
    <w:tmpl w:val="47109C2A"/>
    <w:lvl w:ilvl="0" w:tplc="0C000001">
      <w:start w:val="1"/>
      <w:numFmt w:val="bullet"/>
      <w:lvlText w:val=""/>
      <w:lvlJc w:val="left"/>
      <w:pPr>
        <w:ind w:left="720" w:hanging="360"/>
      </w:pPr>
      <w:rPr>
        <w:rFonts w:ascii="Symbol" w:hAnsi="Symbol" w:hint="default"/>
      </w:rPr>
    </w:lvl>
    <w:lvl w:ilvl="1" w:tplc="62526978">
      <w:numFmt w:val="bullet"/>
      <w:lvlText w:val="-"/>
      <w:lvlJc w:val="left"/>
      <w:pPr>
        <w:ind w:left="1440" w:hanging="360"/>
      </w:pPr>
      <w:rPr>
        <w:rFonts w:ascii="Marianne" w:eastAsia="Times New Roman" w:hAnsi="Marianne" w:cs="Times New Roman"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AAA5104"/>
    <w:multiLevelType w:val="hybridMultilevel"/>
    <w:tmpl w:val="9ED28EB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330C5D"/>
    <w:multiLevelType w:val="hybridMultilevel"/>
    <w:tmpl w:val="16725716"/>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12E45BE6"/>
    <w:multiLevelType w:val="hybridMultilevel"/>
    <w:tmpl w:val="B80E7B5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9F162B9"/>
    <w:multiLevelType w:val="multilevel"/>
    <w:tmpl w:val="12687CA4"/>
    <w:name w:val="perso1"/>
    <w:lvl w:ilvl="0">
      <w:start w:val="1"/>
      <w:numFmt w:val="decimal"/>
      <w:suff w:val="space"/>
      <w:lvlText w:val="Article - %1"/>
      <w:lvlJc w:val="left"/>
      <w:pPr>
        <w:ind w:left="431" w:hanging="431"/>
      </w:pPr>
      <w:rPr>
        <w:rFonts w:ascii="Verdana" w:hAnsi="Verdana" w:hint="default"/>
        <w:sz w:val="20"/>
      </w:rPr>
    </w:lvl>
    <w:lvl w:ilvl="1">
      <w:start w:val="1"/>
      <w:numFmt w:val="decimal"/>
      <w:suff w:val="space"/>
      <w:lvlText w:val="%1.%2"/>
      <w:lvlJc w:val="left"/>
      <w:pPr>
        <w:ind w:left="431" w:hanging="431"/>
      </w:pPr>
      <w:rPr>
        <w:rFonts w:hint="default"/>
        <w:sz w:val="18"/>
      </w:rPr>
    </w:lvl>
    <w:lvl w:ilvl="2">
      <w:start w:val="1"/>
      <w:numFmt w:val="decimal"/>
      <w:lvlRestart w:val="0"/>
      <w:suff w:val="space"/>
      <w:lvlText w:val="%1.%2.%3"/>
      <w:lvlJc w:val="left"/>
      <w:pPr>
        <w:ind w:left="431" w:hanging="147"/>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7" w15:restartNumberingAfterBreak="0">
    <w:nsid w:val="19FF1196"/>
    <w:multiLevelType w:val="hybridMultilevel"/>
    <w:tmpl w:val="9CC84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747913"/>
    <w:multiLevelType w:val="hybridMultilevel"/>
    <w:tmpl w:val="CF987A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C57A04"/>
    <w:multiLevelType w:val="hybridMultilevel"/>
    <w:tmpl w:val="BDC6088C"/>
    <w:lvl w:ilvl="0" w:tplc="771018E8">
      <w:numFmt w:val="bullet"/>
      <w:lvlText w:val="-"/>
      <w:lvlJc w:val="left"/>
      <w:pPr>
        <w:tabs>
          <w:tab w:val="num" w:pos="717"/>
        </w:tabs>
        <w:ind w:left="584" w:hanging="227"/>
      </w:pPr>
      <w:rPr>
        <w:rFonts w:ascii="Verdana" w:eastAsia="Times New Roman" w:hAnsi="Verdana" w:cs="Times New Roman" w:hint="default"/>
        <w:sz w:val="12"/>
      </w:rPr>
    </w:lvl>
    <w:lvl w:ilvl="1" w:tplc="040C0003">
      <w:start w:val="1"/>
      <w:numFmt w:val="bullet"/>
      <w:lvlText w:val="o"/>
      <w:lvlJc w:val="left"/>
      <w:pPr>
        <w:tabs>
          <w:tab w:val="num" w:pos="663"/>
        </w:tabs>
        <w:ind w:left="663" w:hanging="360"/>
      </w:pPr>
      <w:rPr>
        <w:rFonts w:ascii="Courier New" w:hAnsi="Courier New" w:hint="default"/>
      </w:rPr>
    </w:lvl>
    <w:lvl w:ilvl="2" w:tplc="040C0005">
      <w:start w:val="1"/>
      <w:numFmt w:val="bullet"/>
      <w:lvlText w:val=""/>
      <w:lvlJc w:val="left"/>
      <w:pPr>
        <w:tabs>
          <w:tab w:val="num" w:pos="1383"/>
        </w:tabs>
        <w:ind w:left="1383" w:hanging="360"/>
      </w:pPr>
      <w:rPr>
        <w:rFonts w:ascii="Wingdings" w:hAnsi="Wingdings" w:hint="default"/>
      </w:rPr>
    </w:lvl>
    <w:lvl w:ilvl="3" w:tplc="040C0001" w:tentative="1">
      <w:start w:val="1"/>
      <w:numFmt w:val="bullet"/>
      <w:lvlText w:val=""/>
      <w:lvlJc w:val="left"/>
      <w:pPr>
        <w:tabs>
          <w:tab w:val="num" w:pos="2103"/>
        </w:tabs>
        <w:ind w:left="2103" w:hanging="360"/>
      </w:pPr>
      <w:rPr>
        <w:rFonts w:ascii="Symbol" w:hAnsi="Symbol" w:hint="default"/>
      </w:rPr>
    </w:lvl>
    <w:lvl w:ilvl="4" w:tplc="040C0003" w:tentative="1">
      <w:start w:val="1"/>
      <w:numFmt w:val="bullet"/>
      <w:lvlText w:val="o"/>
      <w:lvlJc w:val="left"/>
      <w:pPr>
        <w:tabs>
          <w:tab w:val="num" w:pos="2823"/>
        </w:tabs>
        <w:ind w:left="2823" w:hanging="360"/>
      </w:pPr>
      <w:rPr>
        <w:rFonts w:ascii="Courier New" w:hAnsi="Courier New" w:hint="default"/>
      </w:rPr>
    </w:lvl>
    <w:lvl w:ilvl="5" w:tplc="040C0005" w:tentative="1">
      <w:start w:val="1"/>
      <w:numFmt w:val="bullet"/>
      <w:lvlText w:val=""/>
      <w:lvlJc w:val="left"/>
      <w:pPr>
        <w:tabs>
          <w:tab w:val="num" w:pos="3543"/>
        </w:tabs>
        <w:ind w:left="3543" w:hanging="360"/>
      </w:pPr>
      <w:rPr>
        <w:rFonts w:ascii="Wingdings" w:hAnsi="Wingdings" w:hint="default"/>
      </w:rPr>
    </w:lvl>
    <w:lvl w:ilvl="6" w:tplc="040C0001" w:tentative="1">
      <w:start w:val="1"/>
      <w:numFmt w:val="bullet"/>
      <w:lvlText w:val=""/>
      <w:lvlJc w:val="left"/>
      <w:pPr>
        <w:tabs>
          <w:tab w:val="num" w:pos="4263"/>
        </w:tabs>
        <w:ind w:left="4263" w:hanging="360"/>
      </w:pPr>
      <w:rPr>
        <w:rFonts w:ascii="Symbol" w:hAnsi="Symbol" w:hint="default"/>
      </w:rPr>
    </w:lvl>
    <w:lvl w:ilvl="7" w:tplc="040C0003" w:tentative="1">
      <w:start w:val="1"/>
      <w:numFmt w:val="bullet"/>
      <w:lvlText w:val="o"/>
      <w:lvlJc w:val="left"/>
      <w:pPr>
        <w:tabs>
          <w:tab w:val="num" w:pos="4983"/>
        </w:tabs>
        <w:ind w:left="4983" w:hanging="360"/>
      </w:pPr>
      <w:rPr>
        <w:rFonts w:ascii="Courier New" w:hAnsi="Courier New" w:hint="default"/>
      </w:rPr>
    </w:lvl>
    <w:lvl w:ilvl="8" w:tplc="040C0005" w:tentative="1">
      <w:start w:val="1"/>
      <w:numFmt w:val="bullet"/>
      <w:lvlText w:val=""/>
      <w:lvlJc w:val="left"/>
      <w:pPr>
        <w:tabs>
          <w:tab w:val="num" w:pos="5703"/>
        </w:tabs>
        <w:ind w:left="5703" w:hanging="360"/>
      </w:pPr>
      <w:rPr>
        <w:rFonts w:ascii="Wingdings" w:hAnsi="Wingdings" w:hint="default"/>
      </w:rPr>
    </w:lvl>
  </w:abstractNum>
  <w:abstractNum w:abstractNumId="10" w15:restartNumberingAfterBreak="0">
    <w:nsid w:val="22FF3951"/>
    <w:multiLevelType w:val="hybridMultilevel"/>
    <w:tmpl w:val="4092B50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2C753F32"/>
    <w:multiLevelType w:val="hybridMultilevel"/>
    <w:tmpl w:val="287A5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67D76"/>
    <w:multiLevelType w:val="hybridMultilevel"/>
    <w:tmpl w:val="13ECC2D2"/>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3" w15:restartNumberingAfterBreak="0">
    <w:nsid w:val="358E49E2"/>
    <w:multiLevelType w:val="hybridMultilevel"/>
    <w:tmpl w:val="5F1AD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2504EC"/>
    <w:multiLevelType w:val="hybridMultilevel"/>
    <w:tmpl w:val="E6562FE2"/>
    <w:lvl w:ilvl="0" w:tplc="771018E8">
      <w:numFmt w:val="bullet"/>
      <w:lvlText w:val="-"/>
      <w:lvlJc w:val="left"/>
      <w:pPr>
        <w:ind w:left="720" w:hanging="360"/>
      </w:pPr>
      <w:rPr>
        <w:rFonts w:ascii="Verdana" w:eastAsia="Times New Roman" w:hAnsi="Verdana" w:cs="Times New Roman" w:hint="default"/>
        <w:sz w:val="12"/>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5" w15:restartNumberingAfterBreak="0">
    <w:nsid w:val="51266CE5"/>
    <w:multiLevelType w:val="hybridMultilevel"/>
    <w:tmpl w:val="B18CD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3B1CD9"/>
    <w:multiLevelType w:val="hybridMultilevel"/>
    <w:tmpl w:val="E1AC4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2E1332"/>
    <w:multiLevelType w:val="hybridMultilevel"/>
    <w:tmpl w:val="4B08F2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5D247110"/>
    <w:multiLevelType w:val="hybridMultilevel"/>
    <w:tmpl w:val="602C1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9755BF"/>
    <w:multiLevelType w:val="hybridMultilevel"/>
    <w:tmpl w:val="469E7DA6"/>
    <w:lvl w:ilvl="0" w:tplc="51689DB2">
      <w:start w:val="6"/>
      <w:numFmt w:val="bullet"/>
      <w:lvlText w:val="-"/>
      <w:lvlJc w:val="left"/>
      <w:pPr>
        <w:ind w:left="720" w:hanging="360"/>
      </w:pPr>
      <w:rPr>
        <w:rFonts w:ascii="Marianne" w:eastAsia="Times New Roman" w:hAnsi="Marianne" w:cs="Times New Roman"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60CE1538"/>
    <w:multiLevelType w:val="hybridMultilevel"/>
    <w:tmpl w:val="6C5A146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68391563"/>
    <w:multiLevelType w:val="multilevel"/>
    <w:tmpl w:val="D74AA904"/>
    <w:lvl w:ilvl="0">
      <w:start w:val="1"/>
      <w:numFmt w:val="upperRoman"/>
      <w:pStyle w:val="Titre2"/>
      <w:lvlText w:val="CHAPITRE %1 - "/>
      <w:lvlJc w:val="left"/>
      <w:pPr>
        <w:ind w:left="360" w:hanging="360"/>
      </w:pPr>
    </w:lvl>
    <w:lvl w:ilvl="1">
      <w:start w:val="1"/>
      <w:numFmt w:val="decimal"/>
      <w:lvlRestart w:val="0"/>
      <w:pStyle w:val="Titre1"/>
      <w:lvlText w:val="Article %2: "/>
      <w:lvlJc w:val="left"/>
      <w:pPr>
        <w:ind w:left="720" w:hanging="360"/>
      </w:pPr>
      <w:rPr>
        <w:rFonts w:hint="default"/>
        <w:u w:val="single"/>
      </w:rPr>
    </w:lvl>
    <w:lvl w:ilvl="2">
      <w:start w:val="1"/>
      <w:numFmt w:val="decimal"/>
      <w:pStyle w:val="Titre3"/>
      <w:lvlText w:val="%2.%3 - "/>
      <w:lvlJc w:val="left"/>
      <w:pPr>
        <w:ind w:left="3904"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AED672E"/>
    <w:multiLevelType w:val="multilevel"/>
    <w:tmpl w:val="109815B6"/>
    <w:styleLink w:val="StyleAvecpuces6pt"/>
    <w:lvl w:ilvl="0">
      <w:start w:val="1"/>
      <w:numFmt w:val="bullet"/>
      <w:lvlText w:val=""/>
      <w:lvlJc w:val="left"/>
      <w:pPr>
        <w:tabs>
          <w:tab w:val="num" w:pos="717"/>
        </w:tabs>
        <w:ind w:left="1645" w:hanging="227"/>
      </w:pPr>
      <w:rPr>
        <w:rFonts w:ascii="Wingdings" w:hAnsi="Wingdings"/>
        <w:sz w:val="12"/>
      </w:rPr>
    </w:lvl>
    <w:lvl w:ilvl="1">
      <w:start w:val="1"/>
      <w:numFmt w:val="bullet"/>
      <w:lvlText w:val="o"/>
      <w:lvlJc w:val="left"/>
      <w:pPr>
        <w:tabs>
          <w:tab w:val="num" w:pos="663"/>
        </w:tabs>
        <w:ind w:left="663" w:hanging="360"/>
      </w:pPr>
      <w:rPr>
        <w:rFonts w:ascii="Courier New" w:hAnsi="Courier New" w:hint="default"/>
      </w:rPr>
    </w:lvl>
    <w:lvl w:ilvl="2">
      <w:start w:val="1"/>
      <w:numFmt w:val="bullet"/>
      <w:lvlText w:val=""/>
      <w:lvlJc w:val="left"/>
      <w:pPr>
        <w:tabs>
          <w:tab w:val="num" w:pos="1383"/>
        </w:tabs>
        <w:ind w:left="1383" w:hanging="360"/>
      </w:pPr>
      <w:rPr>
        <w:rFonts w:ascii="Wingdings" w:hAnsi="Wingdings" w:hint="default"/>
      </w:rPr>
    </w:lvl>
    <w:lvl w:ilvl="3">
      <w:start w:val="1"/>
      <w:numFmt w:val="bullet"/>
      <w:lvlText w:val=""/>
      <w:lvlJc w:val="left"/>
      <w:pPr>
        <w:tabs>
          <w:tab w:val="num" w:pos="2103"/>
        </w:tabs>
        <w:ind w:left="2103" w:hanging="360"/>
      </w:pPr>
      <w:rPr>
        <w:rFonts w:ascii="Symbol" w:hAnsi="Symbol" w:hint="default"/>
      </w:rPr>
    </w:lvl>
    <w:lvl w:ilvl="4">
      <w:start w:val="1"/>
      <w:numFmt w:val="bullet"/>
      <w:lvlText w:val="o"/>
      <w:lvlJc w:val="left"/>
      <w:pPr>
        <w:tabs>
          <w:tab w:val="num" w:pos="2823"/>
        </w:tabs>
        <w:ind w:left="2823" w:hanging="360"/>
      </w:pPr>
      <w:rPr>
        <w:rFonts w:ascii="Courier New" w:hAnsi="Courier New" w:hint="default"/>
      </w:rPr>
    </w:lvl>
    <w:lvl w:ilvl="5">
      <w:start w:val="1"/>
      <w:numFmt w:val="bullet"/>
      <w:lvlText w:val=""/>
      <w:lvlJc w:val="left"/>
      <w:pPr>
        <w:tabs>
          <w:tab w:val="num" w:pos="3543"/>
        </w:tabs>
        <w:ind w:left="3543" w:hanging="360"/>
      </w:pPr>
      <w:rPr>
        <w:rFonts w:ascii="Wingdings" w:hAnsi="Wingdings" w:hint="default"/>
      </w:rPr>
    </w:lvl>
    <w:lvl w:ilvl="6">
      <w:start w:val="1"/>
      <w:numFmt w:val="bullet"/>
      <w:lvlText w:val=""/>
      <w:lvlJc w:val="left"/>
      <w:pPr>
        <w:tabs>
          <w:tab w:val="num" w:pos="4263"/>
        </w:tabs>
        <w:ind w:left="4263" w:hanging="360"/>
      </w:pPr>
      <w:rPr>
        <w:rFonts w:ascii="Symbol" w:hAnsi="Symbol" w:hint="default"/>
      </w:rPr>
    </w:lvl>
    <w:lvl w:ilvl="7">
      <w:start w:val="1"/>
      <w:numFmt w:val="bullet"/>
      <w:lvlText w:val="o"/>
      <w:lvlJc w:val="left"/>
      <w:pPr>
        <w:tabs>
          <w:tab w:val="num" w:pos="4983"/>
        </w:tabs>
        <w:ind w:left="4983" w:hanging="360"/>
      </w:pPr>
      <w:rPr>
        <w:rFonts w:ascii="Courier New" w:hAnsi="Courier New" w:hint="default"/>
      </w:rPr>
    </w:lvl>
    <w:lvl w:ilvl="8">
      <w:start w:val="1"/>
      <w:numFmt w:val="bullet"/>
      <w:lvlText w:val=""/>
      <w:lvlJc w:val="left"/>
      <w:pPr>
        <w:tabs>
          <w:tab w:val="num" w:pos="5703"/>
        </w:tabs>
        <w:ind w:left="5703" w:hanging="360"/>
      </w:pPr>
      <w:rPr>
        <w:rFonts w:ascii="Wingdings" w:hAnsi="Wingdings" w:hint="default"/>
      </w:rPr>
    </w:lvl>
  </w:abstractNum>
  <w:abstractNum w:abstractNumId="23" w15:restartNumberingAfterBreak="0">
    <w:nsid w:val="6C276420"/>
    <w:multiLevelType w:val="hybridMultilevel"/>
    <w:tmpl w:val="F44227C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74907A81"/>
    <w:multiLevelType w:val="hybridMultilevel"/>
    <w:tmpl w:val="8FAE9ACC"/>
    <w:lvl w:ilvl="0" w:tplc="B4F22158">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617472"/>
    <w:multiLevelType w:val="hybridMultilevel"/>
    <w:tmpl w:val="1060A848"/>
    <w:lvl w:ilvl="0" w:tplc="771018E8">
      <w:numFmt w:val="bullet"/>
      <w:lvlText w:val="-"/>
      <w:lvlJc w:val="left"/>
      <w:pPr>
        <w:ind w:left="720" w:hanging="360"/>
      </w:pPr>
      <w:rPr>
        <w:rFonts w:ascii="Verdana" w:eastAsia="Times New Roman" w:hAnsi="Verdana" w:cs="Times New Roman" w:hint="default"/>
        <w:sz w:val="1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1755316">
    <w:abstractNumId w:val="22"/>
  </w:num>
  <w:num w:numId="2" w16cid:durableId="1826629141">
    <w:abstractNumId w:val="9"/>
  </w:num>
  <w:num w:numId="3" w16cid:durableId="964236045">
    <w:abstractNumId w:val="5"/>
  </w:num>
  <w:num w:numId="4" w16cid:durableId="2070107731">
    <w:abstractNumId w:val="2"/>
  </w:num>
  <w:num w:numId="5" w16cid:durableId="1172916333">
    <w:abstractNumId w:val="12"/>
  </w:num>
  <w:num w:numId="6" w16cid:durableId="1802260349">
    <w:abstractNumId w:val="10"/>
  </w:num>
  <w:num w:numId="7" w16cid:durableId="301888368">
    <w:abstractNumId w:val="20"/>
  </w:num>
  <w:num w:numId="8" w16cid:durableId="1698265445">
    <w:abstractNumId w:val="23"/>
  </w:num>
  <w:num w:numId="9" w16cid:durableId="755320751">
    <w:abstractNumId w:val="14"/>
  </w:num>
  <w:num w:numId="10" w16cid:durableId="1726753772">
    <w:abstractNumId w:val="19"/>
  </w:num>
  <w:num w:numId="11" w16cid:durableId="1690378117">
    <w:abstractNumId w:val="18"/>
  </w:num>
  <w:num w:numId="12" w16cid:durableId="1257636266">
    <w:abstractNumId w:val="25"/>
  </w:num>
  <w:num w:numId="13" w16cid:durableId="1295939984">
    <w:abstractNumId w:val="21"/>
  </w:num>
  <w:num w:numId="14" w16cid:durableId="1340042293">
    <w:abstractNumId w:val="1"/>
  </w:num>
  <w:num w:numId="15" w16cid:durableId="1773475028">
    <w:abstractNumId w:val="11"/>
  </w:num>
  <w:num w:numId="16" w16cid:durableId="1607688690">
    <w:abstractNumId w:val="15"/>
  </w:num>
  <w:num w:numId="17" w16cid:durableId="916935361">
    <w:abstractNumId w:val="21"/>
  </w:num>
  <w:num w:numId="18" w16cid:durableId="2051953697">
    <w:abstractNumId w:val="13"/>
  </w:num>
  <w:num w:numId="19" w16cid:durableId="434786798">
    <w:abstractNumId w:val="0"/>
  </w:num>
  <w:num w:numId="20" w16cid:durableId="1420517981">
    <w:abstractNumId w:val="24"/>
  </w:num>
  <w:num w:numId="21" w16cid:durableId="279729583">
    <w:abstractNumId w:val="16"/>
  </w:num>
  <w:num w:numId="22" w16cid:durableId="1641106764">
    <w:abstractNumId w:val="7"/>
  </w:num>
  <w:num w:numId="23" w16cid:durableId="1895847887">
    <w:abstractNumId w:val="3"/>
  </w:num>
  <w:num w:numId="24" w16cid:durableId="1015881684">
    <w:abstractNumId w:val="8"/>
  </w:num>
  <w:num w:numId="25" w16cid:durableId="2010403708">
    <w:abstractNumId w:val="21"/>
  </w:num>
  <w:num w:numId="26" w16cid:durableId="1551305435">
    <w:abstractNumId w:val="21"/>
  </w:num>
  <w:num w:numId="27" w16cid:durableId="1685865224">
    <w:abstractNumId w:val="17"/>
  </w:num>
  <w:num w:numId="28" w16cid:durableId="179852512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F48"/>
    <w:rsid w:val="000050A9"/>
    <w:rsid w:val="00006200"/>
    <w:rsid w:val="0001195B"/>
    <w:rsid w:val="00012D61"/>
    <w:rsid w:val="00020B33"/>
    <w:rsid w:val="00020EE9"/>
    <w:rsid w:val="000234ED"/>
    <w:rsid w:val="00026254"/>
    <w:rsid w:val="000311D7"/>
    <w:rsid w:val="000339AF"/>
    <w:rsid w:val="0003517A"/>
    <w:rsid w:val="0003616F"/>
    <w:rsid w:val="000375A2"/>
    <w:rsid w:val="000446B7"/>
    <w:rsid w:val="00044A03"/>
    <w:rsid w:val="00045242"/>
    <w:rsid w:val="0005115B"/>
    <w:rsid w:val="00053216"/>
    <w:rsid w:val="00054964"/>
    <w:rsid w:val="00054E7B"/>
    <w:rsid w:val="00056E1C"/>
    <w:rsid w:val="00060871"/>
    <w:rsid w:val="00061937"/>
    <w:rsid w:val="00062B18"/>
    <w:rsid w:val="00064647"/>
    <w:rsid w:val="00064784"/>
    <w:rsid w:val="00064CB4"/>
    <w:rsid w:val="000670C7"/>
    <w:rsid w:val="000759D9"/>
    <w:rsid w:val="00076CD6"/>
    <w:rsid w:val="000808E4"/>
    <w:rsid w:val="000824E2"/>
    <w:rsid w:val="0008279E"/>
    <w:rsid w:val="000835F2"/>
    <w:rsid w:val="00083BE1"/>
    <w:rsid w:val="00085A32"/>
    <w:rsid w:val="00090BE0"/>
    <w:rsid w:val="00092653"/>
    <w:rsid w:val="0009371D"/>
    <w:rsid w:val="00093EF4"/>
    <w:rsid w:val="000A081C"/>
    <w:rsid w:val="000A0BB3"/>
    <w:rsid w:val="000A1952"/>
    <w:rsid w:val="000A1ACB"/>
    <w:rsid w:val="000A53EB"/>
    <w:rsid w:val="000A58AF"/>
    <w:rsid w:val="000B1433"/>
    <w:rsid w:val="000B63A6"/>
    <w:rsid w:val="000B7D35"/>
    <w:rsid w:val="000C0983"/>
    <w:rsid w:val="000C1ED6"/>
    <w:rsid w:val="000C3EF6"/>
    <w:rsid w:val="000C6445"/>
    <w:rsid w:val="000D2E67"/>
    <w:rsid w:val="000D3577"/>
    <w:rsid w:val="000E560C"/>
    <w:rsid w:val="000F01BD"/>
    <w:rsid w:val="000F0717"/>
    <w:rsid w:val="000F2050"/>
    <w:rsid w:val="000F27B2"/>
    <w:rsid w:val="000F63C6"/>
    <w:rsid w:val="001029A3"/>
    <w:rsid w:val="00107A74"/>
    <w:rsid w:val="00111B22"/>
    <w:rsid w:val="00113439"/>
    <w:rsid w:val="00120D2B"/>
    <w:rsid w:val="00122716"/>
    <w:rsid w:val="00122D3C"/>
    <w:rsid w:val="00122DD6"/>
    <w:rsid w:val="00123692"/>
    <w:rsid w:val="0012385C"/>
    <w:rsid w:val="001455B9"/>
    <w:rsid w:val="00146624"/>
    <w:rsid w:val="00150178"/>
    <w:rsid w:val="00153BA4"/>
    <w:rsid w:val="00154C92"/>
    <w:rsid w:val="0015651C"/>
    <w:rsid w:val="001628A7"/>
    <w:rsid w:val="001631CD"/>
    <w:rsid w:val="0017070C"/>
    <w:rsid w:val="001708DC"/>
    <w:rsid w:val="00170D94"/>
    <w:rsid w:val="00175DDE"/>
    <w:rsid w:val="00176313"/>
    <w:rsid w:val="0018286A"/>
    <w:rsid w:val="00184118"/>
    <w:rsid w:val="00184781"/>
    <w:rsid w:val="00191B39"/>
    <w:rsid w:val="001921BD"/>
    <w:rsid w:val="001924FE"/>
    <w:rsid w:val="00195EA3"/>
    <w:rsid w:val="00196075"/>
    <w:rsid w:val="001A1E54"/>
    <w:rsid w:val="001A47C8"/>
    <w:rsid w:val="001A4967"/>
    <w:rsid w:val="001A5CAA"/>
    <w:rsid w:val="001A67E3"/>
    <w:rsid w:val="001B0DBC"/>
    <w:rsid w:val="001B1073"/>
    <w:rsid w:val="001B5A43"/>
    <w:rsid w:val="001B69E2"/>
    <w:rsid w:val="001C11F3"/>
    <w:rsid w:val="001C19EF"/>
    <w:rsid w:val="001C4575"/>
    <w:rsid w:val="001C59B7"/>
    <w:rsid w:val="001C711E"/>
    <w:rsid w:val="001D2C90"/>
    <w:rsid w:val="001D34C4"/>
    <w:rsid w:val="001D3E7D"/>
    <w:rsid w:val="001D7C0F"/>
    <w:rsid w:val="001D7CBD"/>
    <w:rsid w:val="001D7E50"/>
    <w:rsid w:val="001E1C6F"/>
    <w:rsid w:val="001E50ED"/>
    <w:rsid w:val="001E5DC6"/>
    <w:rsid w:val="001F05C4"/>
    <w:rsid w:val="001F0720"/>
    <w:rsid w:val="001F3139"/>
    <w:rsid w:val="001F545A"/>
    <w:rsid w:val="0020271D"/>
    <w:rsid w:val="00202B0A"/>
    <w:rsid w:val="0020377B"/>
    <w:rsid w:val="00205261"/>
    <w:rsid w:val="00217044"/>
    <w:rsid w:val="00217C4C"/>
    <w:rsid w:val="0022049E"/>
    <w:rsid w:val="0022092D"/>
    <w:rsid w:val="00224E70"/>
    <w:rsid w:val="002253EC"/>
    <w:rsid w:val="00225862"/>
    <w:rsid w:val="0022622A"/>
    <w:rsid w:val="00230D4A"/>
    <w:rsid w:val="00232A4D"/>
    <w:rsid w:val="00232BB9"/>
    <w:rsid w:val="00241383"/>
    <w:rsid w:val="00242ABA"/>
    <w:rsid w:val="00243CB2"/>
    <w:rsid w:val="00243E86"/>
    <w:rsid w:val="00245D79"/>
    <w:rsid w:val="00247CC9"/>
    <w:rsid w:val="00256701"/>
    <w:rsid w:val="00256B50"/>
    <w:rsid w:val="00260876"/>
    <w:rsid w:val="0026126B"/>
    <w:rsid w:val="002639B4"/>
    <w:rsid w:val="00265D41"/>
    <w:rsid w:val="00272586"/>
    <w:rsid w:val="00273B83"/>
    <w:rsid w:val="00274F75"/>
    <w:rsid w:val="00275260"/>
    <w:rsid w:val="00282340"/>
    <w:rsid w:val="002862BB"/>
    <w:rsid w:val="00292C44"/>
    <w:rsid w:val="00293D2E"/>
    <w:rsid w:val="00295E34"/>
    <w:rsid w:val="002969C8"/>
    <w:rsid w:val="00296B53"/>
    <w:rsid w:val="002975F7"/>
    <w:rsid w:val="002A2181"/>
    <w:rsid w:val="002A2AE9"/>
    <w:rsid w:val="002A395A"/>
    <w:rsid w:val="002A4C40"/>
    <w:rsid w:val="002A58B8"/>
    <w:rsid w:val="002A6C05"/>
    <w:rsid w:val="002A7F92"/>
    <w:rsid w:val="002B0ED5"/>
    <w:rsid w:val="002B7261"/>
    <w:rsid w:val="002C1759"/>
    <w:rsid w:val="002C25A3"/>
    <w:rsid w:val="002C417E"/>
    <w:rsid w:val="002C7636"/>
    <w:rsid w:val="002D35C3"/>
    <w:rsid w:val="002D3662"/>
    <w:rsid w:val="002E5030"/>
    <w:rsid w:val="003008DD"/>
    <w:rsid w:val="00302211"/>
    <w:rsid w:val="00304100"/>
    <w:rsid w:val="003060C3"/>
    <w:rsid w:val="0030759E"/>
    <w:rsid w:val="00307EF7"/>
    <w:rsid w:val="003107DC"/>
    <w:rsid w:val="00312CAC"/>
    <w:rsid w:val="00314415"/>
    <w:rsid w:val="00315821"/>
    <w:rsid w:val="0032106E"/>
    <w:rsid w:val="00323FF8"/>
    <w:rsid w:val="00324599"/>
    <w:rsid w:val="00324A70"/>
    <w:rsid w:val="003264C7"/>
    <w:rsid w:val="00326FFE"/>
    <w:rsid w:val="0033654E"/>
    <w:rsid w:val="00344FA1"/>
    <w:rsid w:val="00352851"/>
    <w:rsid w:val="00355CE4"/>
    <w:rsid w:val="00361544"/>
    <w:rsid w:val="003658C0"/>
    <w:rsid w:val="003723DE"/>
    <w:rsid w:val="00373F48"/>
    <w:rsid w:val="003745AE"/>
    <w:rsid w:val="00376C2D"/>
    <w:rsid w:val="00377321"/>
    <w:rsid w:val="00380917"/>
    <w:rsid w:val="00381929"/>
    <w:rsid w:val="003827C1"/>
    <w:rsid w:val="00385777"/>
    <w:rsid w:val="003862C6"/>
    <w:rsid w:val="003862EC"/>
    <w:rsid w:val="00394CEA"/>
    <w:rsid w:val="003A0311"/>
    <w:rsid w:val="003A520D"/>
    <w:rsid w:val="003A7B96"/>
    <w:rsid w:val="003B1C86"/>
    <w:rsid w:val="003B4154"/>
    <w:rsid w:val="003B467A"/>
    <w:rsid w:val="003B54C7"/>
    <w:rsid w:val="003B5F3E"/>
    <w:rsid w:val="003B629D"/>
    <w:rsid w:val="003B6951"/>
    <w:rsid w:val="003B6FD0"/>
    <w:rsid w:val="003C040E"/>
    <w:rsid w:val="003C0DA9"/>
    <w:rsid w:val="003C267A"/>
    <w:rsid w:val="003C54AB"/>
    <w:rsid w:val="003C67A3"/>
    <w:rsid w:val="003C7304"/>
    <w:rsid w:val="003D1403"/>
    <w:rsid w:val="003D3710"/>
    <w:rsid w:val="003D5649"/>
    <w:rsid w:val="003D7CB8"/>
    <w:rsid w:val="003D7E54"/>
    <w:rsid w:val="003E00BE"/>
    <w:rsid w:val="003E222E"/>
    <w:rsid w:val="003E78E2"/>
    <w:rsid w:val="003E7FAF"/>
    <w:rsid w:val="003F0C44"/>
    <w:rsid w:val="003F1066"/>
    <w:rsid w:val="003F388C"/>
    <w:rsid w:val="003F7D03"/>
    <w:rsid w:val="003F7DA7"/>
    <w:rsid w:val="004027F5"/>
    <w:rsid w:val="00403C3A"/>
    <w:rsid w:val="00404B39"/>
    <w:rsid w:val="0040642E"/>
    <w:rsid w:val="0040748F"/>
    <w:rsid w:val="004109C5"/>
    <w:rsid w:val="00412F3B"/>
    <w:rsid w:val="0041344D"/>
    <w:rsid w:val="004139CC"/>
    <w:rsid w:val="004158AA"/>
    <w:rsid w:val="00415D33"/>
    <w:rsid w:val="00417C13"/>
    <w:rsid w:val="004227C2"/>
    <w:rsid w:val="00425674"/>
    <w:rsid w:val="0042586E"/>
    <w:rsid w:val="00425BAB"/>
    <w:rsid w:val="004324C1"/>
    <w:rsid w:val="004356D8"/>
    <w:rsid w:val="00441AE6"/>
    <w:rsid w:val="00445CDB"/>
    <w:rsid w:val="00450A90"/>
    <w:rsid w:val="004539DE"/>
    <w:rsid w:val="00454BCE"/>
    <w:rsid w:val="00455681"/>
    <w:rsid w:val="00456AC9"/>
    <w:rsid w:val="00457B41"/>
    <w:rsid w:val="00460897"/>
    <w:rsid w:val="004630CB"/>
    <w:rsid w:val="00463BF9"/>
    <w:rsid w:val="00463DD9"/>
    <w:rsid w:val="00465FFE"/>
    <w:rsid w:val="00472A60"/>
    <w:rsid w:val="00473019"/>
    <w:rsid w:val="004755E7"/>
    <w:rsid w:val="004758D0"/>
    <w:rsid w:val="00480AA6"/>
    <w:rsid w:val="004813E0"/>
    <w:rsid w:val="004849A2"/>
    <w:rsid w:val="004852F6"/>
    <w:rsid w:val="0048580F"/>
    <w:rsid w:val="0048654B"/>
    <w:rsid w:val="00494A4D"/>
    <w:rsid w:val="0049532C"/>
    <w:rsid w:val="004A3280"/>
    <w:rsid w:val="004A643C"/>
    <w:rsid w:val="004A7A65"/>
    <w:rsid w:val="004B12CA"/>
    <w:rsid w:val="004B3561"/>
    <w:rsid w:val="004B4DB6"/>
    <w:rsid w:val="004B7282"/>
    <w:rsid w:val="004C2259"/>
    <w:rsid w:val="004C240A"/>
    <w:rsid w:val="004C2BAE"/>
    <w:rsid w:val="004C3B12"/>
    <w:rsid w:val="004C4E7C"/>
    <w:rsid w:val="004C6762"/>
    <w:rsid w:val="004C68F3"/>
    <w:rsid w:val="004C6CF0"/>
    <w:rsid w:val="004C7ADB"/>
    <w:rsid w:val="004D098F"/>
    <w:rsid w:val="004D43BC"/>
    <w:rsid w:val="004D49D5"/>
    <w:rsid w:val="004E12DA"/>
    <w:rsid w:val="004E378A"/>
    <w:rsid w:val="004E455A"/>
    <w:rsid w:val="004E7FF3"/>
    <w:rsid w:val="004F0AD3"/>
    <w:rsid w:val="004F12EF"/>
    <w:rsid w:val="004F59B5"/>
    <w:rsid w:val="00500F81"/>
    <w:rsid w:val="00505A89"/>
    <w:rsid w:val="00505AC7"/>
    <w:rsid w:val="0051002F"/>
    <w:rsid w:val="00510053"/>
    <w:rsid w:val="00511275"/>
    <w:rsid w:val="005127EF"/>
    <w:rsid w:val="00513691"/>
    <w:rsid w:val="00514051"/>
    <w:rsid w:val="00515462"/>
    <w:rsid w:val="00515BCD"/>
    <w:rsid w:val="00516DB0"/>
    <w:rsid w:val="00521AD3"/>
    <w:rsid w:val="00523966"/>
    <w:rsid w:val="005246EE"/>
    <w:rsid w:val="0053112E"/>
    <w:rsid w:val="00531442"/>
    <w:rsid w:val="00533953"/>
    <w:rsid w:val="00537783"/>
    <w:rsid w:val="00540E92"/>
    <w:rsid w:val="005412B7"/>
    <w:rsid w:val="00542256"/>
    <w:rsid w:val="005435B5"/>
    <w:rsid w:val="00545FFA"/>
    <w:rsid w:val="00547944"/>
    <w:rsid w:val="00552254"/>
    <w:rsid w:val="005552AE"/>
    <w:rsid w:val="00555C15"/>
    <w:rsid w:val="00557EB2"/>
    <w:rsid w:val="00565BED"/>
    <w:rsid w:val="005672EB"/>
    <w:rsid w:val="0057433E"/>
    <w:rsid w:val="005743CD"/>
    <w:rsid w:val="00574AE3"/>
    <w:rsid w:val="00576249"/>
    <w:rsid w:val="0057679B"/>
    <w:rsid w:val="005806C4"/>
    <w:rsid w:val="00581826"/>
    <w:rsid w:val="00581CFB"/>
    <w:rsid w:val="0058302A"/>
    <w:rsid w:val="00583B1A"/>
    <w:rsid w:val="00585D42"/>
    <w:rsid w:val="00585F43"/>
    <w:rsid w:val="00596E8B"/>
    <w:rsid w:val="005A2198"/>
    <w:rsid w:val="005A5AEE"/>
    <w:rsid w:val="005B0014"/>
    <w:rsid w:val="005B035F"/>
    <w:rsid w:val="005B1010"/>
    <w:rsid w:val="005B2C95"/>
    <w:rsid w:val="005B3535"/>
    <w:rsid w:val="005B5226"/>
    <w:rsid w:val="005C0B05"/>
    <w:rsid w:val="005C5B62"/>
    <w:rsid w:val="005D0C83"/>
    <w:rsid w:val="005D1143"/>
    <w:rsid w:val="005D2843"/>
    <w:rsid w:val="005D381B"/>
    <w:rsid w:val="005D3B64"/>
    <w:rsid w:val="005D3F0F"/>
    <w:rsid w:val="005D5A5C"/>
    <w:rsid w:val="005D61EE"/>
    <w:rsid w:val="005D67B5"/>
    <w:rsid w:val="005E5E2A"/>
    <w:rsid w:val="005E784F"/>
    <w:rsid w:val="005F2355"/>
    <w:rsid w:val="005F2753"/>
    <w:rsid w:val="005F3073"/>
    <w:rsid w:val="005F3735"/>
    <w:rsid w:val="005F5882"/>
    <w:rsid w:val="00604390"/>
    <w:rsid w:val="00604D09"/>
    <w:rsid w:val="00610177"/>
    <w:rsid w:val="006109B4"/>
    <w:rsid w:val="00611474"/>
    <w:rsid w:val="00611BD7"/>
    <w:rsid w:val="00612E1A"/>
    <w:rsid w:val="006138CE"/>
    <w:rsid w:val="00614CB5"/>
    <w:rsid w:val="00620E73"/>
    <w:rsid w:val="006234F8"/>
    <w:rsid w:val="00624D3F"/>
    <w:rsid w:val="00625A7E"/>
    <w:rsid w:val="00626C22"/>
    <w:rsid w:val="0063234B"/>
    <w:rsid w:val="006350C0"/>
    <w:rsid w:val="00640778"/>
    <w:rsid w:val="00645F4E"/>
    <w:rsid w:val="00651311"/>
    <w:rsid w:val="0065524D"/>
    <w:rsid w:val="00656228"/>
    <w:rsid w:val="006574C4"/>
    <w:rsid w:val="00657DD4"/>
    <w:rsid w:val="006609BA"/>
    <w:rsid w:val="0067435A"/>
    <w:rsid w:val="00676C90"/>
    <w:rsid w:val="0067785B"/>
    <w:rsid w:val="006817B1"/>
    <w:rsid w:val="00692A1A"/>
    <w:rsid w:val="006963CA"/>
    <w:rsid w:val="00696952"/>
    <w:rsid w:val="00696D1F"/>
    <w:rsid w:val="006A124E"/>
    <w:rsid w:val="006B040C"/>
    <w:rsid w:val="006B0E16"/>
    <w:rsid w:val="006B142D"/>
    <w:rsid w:val="006B3739"/>
    <w:rsid w:val="006B529C"/>
    <w:rsid w:val="006B5F54"/>
    <w:rsid w:val="006B6A08"/>
    <w:rsid w:val="006C095B"/>
    <w:rsid w:val="006C0A0B"/>
    <w:rsid w:val="006C0B70"/>
    <w:rsid w:val="006C1450"/>
    <w:rsid w:val="006C2D48"/>
    <w:rsid w:val="006C3BBA"/>
    <w:rsid w:val="006C55C5"/>
    <w:rsid w:val="006D0897"/>
    <w:rsid w:val="006D1A6B"/>
    <w:rsid w:val="006D3234"/>
    <w:rsid w:val="006D58CD"/>
    <w:rsid w:val="006D7CB9"/>
    <w:rsid w:val="006E215A"/>
    <w:rsid w:val="006E3BC1"/>
    <w:rsid w:val="006E5C94"/>
    <w:rsid w:val="006E6E8C"/>
    <w:rsid w:val="006F1C51"/>
    <w:rsid w:val="006F5341"/>
    <w:rsid w:val="006F7D54"/>
    <w:rsid w:val="00701AE0"/>
    <w:rsid w:val="00705417"/>
    <w:rsid w:val="00706366"/>
    <w:rsid w:val="00707218"/>
    <w:rsid w:val="00707A2F"/>
    <w:rsid w:val="00711D42"/>
    <w:rsid w:val="00712419"/>
    <w:rsid w:val="00714C95"/>
    <w:rsid w:val="0071612F"/>
    <w:rsid w:val="007165F3"/>
    <w:rsid w:val="00716B2A"/>
    <w:rsid w:val="00723F8D"/>
    <w:rsid w:val="007276C0"/>
    <w:rsid w:val="00727957"/>
    <w:rsid w:val="00730320"/>
    <w:rsid w:val="00733045"/>
    <w:rsid w:val="00733D47"/>
    <w:rsid w:val="007358C7"/>
    <w:rsid w:val="00736FA0"/>
    <w:rsid w:val="0073779B"/>
    <w:rsid w:val="0073795B"/>
    <w:rsid w:val="00737CAB"/>
    <w:rsid w:val="00742624"/>
    <w:rsid w:val="00743A37"/>
    <w:rsid w:val="007536D8"/>
    <w:rsid w:val="0075597C"/>
    <w:rsid w:val="00763BE0"/>
    <w:rsid w:val="0076555A"/>
    <w:rsid w:val="00767AB1"/>
    <w:rsid w:val="00770E31"/>
    <w:rsid w:val="007767BD"/>
    <w:rsid w:val="00780457"/>
    <w:rsid w:val="00781758"/>
    <w:rsid w:val="00783488"/>
    <w:rsid w:val="007863D7"/>
    <w:rsid w:val="00786884"/>
    <w:rsid w:val="00786F27"/>
    <w:rsid w:val="00792335"/>
    <w:rsid w:val="0079351C"/>
    <w:rsid w:val="00794FD1"/>
    <w:rsid w:val="007A0178"/>
    <w:rsid w:val="007A051A"/>
    <w:rsid w:val="007A1850"/>
    <w:rsid w:val="007A3AB1"/>
    <w:rsid w:val="007A45C2"/>
    <w:rsid w:val="007A6012"/>
    <w:rsid w:val="007A7267"/>
    <w:rsid w:val="007A7C13"/>
    <w:rsid w:val="007B7C72"/>
    <w:rsid w:val="007C0164"/>
    <w:rsid w:val="007C0515"/>
    <w:rsid w:val="007C4349"/>
    <w:rsid w:val="007D0098"/>
    <w:rsid w:val="007D6B0C"/>
    <w:rsid w:val="007E64E0"/>
    <w:rsid w:val="007E7F4F"/>
    <w:rsid w:val="007F18AB"/>
    <w:rsid w:val="007F1E19"/>
    <w:rsid w:val="007F487A"/>
    <w:rsid w:val="007F626B"/>
    <w:rsid w:val="007F7048"/>
    <w:rsid w:val="00800402"/>
    <w:rsid w:val="0080236D"/>
    <w:rsid w:val="00803D99"/>
    <w:rsid w:val="00810CCA"/>
    <w:rsid w:val="00816D0F"/>
    <w:rsid w:val="00821645"/>
    <w:rsid w:val="00827AE6"/>
    <w:rsid w:val="00831063"/>
    <w:rsid w:val="00832441"/>
    <w:rsid w:val="00834052"/>
    <w:rsid w:val="0083407B"/>
    <w:rsid w:val="00842501"/>
    <w:rsid w:val="00843F49"/>
    <w:rsid w:val="00844AEB"/>
    <w:rsid w:val="008464B2"/>
    <w:rsid w:val="00846F5C"/>
    <w:rsid w:val="0085189B"/>
    <w:rsid w:val="00853A3B"/>
    <w:rsid w:val="00854A61"/>
    <w:rsid w:val="00856991"/>
    <w:rsid w:val="00860882"/>
    <w:rsid w:val="00860BDB"/>
    <w:rsid w:val="00873D92"/>
    <w:rsid w:val="00877681"/>
    <w:rsid w:val="008826B5"/>
    <w:rsid w:val="008839D2"/>
    <w:rsid w:val="00885920"/>
    <w:rsid w:val="00885B8F"/>
    <w:rsid w:val="00886887"/>
    <w:rsid w:val="00895B5B"/>
    <w:rsid w:val="00897AF2"/>
    <w:rsid w:val="008A0361"/>
    <w:rsid w:val="008A0AAD"/>
    <w:rsid w:val="008A1294"/>
    <w:rsid w:val="008A4CA3"/>
    <w:rsid w:val="008A69EE"/>
    <w:rsid w:val="008B259E"/>
    <w:rsid w:val="008B4496"/>
    <w:rsid w:val="008B5CBB"/>
    <w:rsid w:val="008B6505"/>
    <w:rsid w:val="008B6F11"/>
    <w:rsid w:val="008B7374"/>
    <w:rsid w:val="008C021C"/>
    <w:rsid w:val="008C1BF2"/>
    <w:rsid w:val="008C4D9C"/>
    <w:rsid w:val="008D2494"/>
    <w:rsid w:val="008D2559"/>
    <w:rsid w:val="008E7D3E"/>
    <w:rsid w:val="008F5389"/>
    <w:rsid w:val="008F7EDA"/>
    <w:rsid w:val="00904895"/>
    <w:rsid w:val="00910484"/>
    <w:rsid w:val="00912006"/>
    <w:rsid w:val="009168A7"/>
    <w:rsid w:val="00924534"/>
    <w:rsid w:val="009260C2"/>
    <w:rsid w:val="00926CFC"/>
    <w:rsid w:val="00932207"/>
    <w:rsid w:val="009341D5"/>
    <w:rsid w:val="00937F4C"/>
    <w:rsid w:val="00951048"/>
    <w:rsid w:val="00952E7C"/>
    <w:rsid w:val="00953B7C"/>
    <w:rsid w:val="00954236"/>
    <w:rsid w:val="00955630"/>
    <w:rsid w:val="009579D0"/>
    <w:rsid w:val="0096021D"/>
    <w:rsid w:val="00961514"/>
    <w:rsid w:val="00961905"/>
    <w:rsid w:val="00964D41"/>
    <w:rsid w:val="009756CB"/>
    <w:rsid w:val="00980240"/>
    <w:rsid w:val="00981B53"/>
    <w:rsid w:val="00985089"/>
    <w:rsid w:val="00985E1D"/>
    <w:rsid w:val="00986EC0"/>
    <w:rsid w:val="00990211"/>
    <w:rsid w:val="009907BC"/>
    <w:rsid w:val="00990D63"/>
    <w:rsid w:val="00994DE5"/>
    <w:rsid w:val="00996D85"/>
    <w:rsid w:val="00996E00"/>
    <w:rsid w:val="00997061"/>
    <w:rsid w:val="00997276"/>
    <w:rsid w:val="009A1081"/>
    <w:rsid w:val="009A2019"/>
    <w:rsid w:val="009A3511"/>
    <w:rsid w:val="009A7E5D"/>
    <w:rsid w:val="009B0BB8"/>
    <w:rsid w:val="009B2EC9"/>
    <w:rsid w:val="009B37B8"/>
    <w:rsid w:val="009B6AE4"/>
    <w:rsid w:val="009C0AEC"/>
    <w:rsid w:val="009C5CA8"/>
    <w:rsid w:val="009D2768"/>
    <w:rsid w:val="009D31D6"/>
    <w:rsid w:val="009D35F3"/>
    <w:rsid w:val="009E15C5"/>
    <w:rsid w:val="009E36DB"/>
    <w:rsid w:val="009E3BB8"/>
    <w:rsid w:val="009E4D5C"/>
    <w:rsid w:val="009E5F5D"/>
    <w:rsid w:val="009E7413"/>
    <w:rsid w:val="009F0EB4"/>
    <w:rsid w:val="009F6228"/>
    <w:rsid w:val="00A00D9F"/>
    <w:rsid w:val="00A011A7"/>
    <w:rsid w:val="00A01C7E"/>
    <w:rsid w:val="00A023AD"/>
    <w:rsid w:val="00A02E3B"/>
    <w:rsid w:val="00A102A3"/>
    <w:rsid w:val="00A10C3D"/>
    <w:rsid w:val="00A1110A"/>
    <w:rsid w:val="00A12E63"/>
    <w:rsid w:val="00A162F3"/>
    <w:rsid w:val="00A17C27"/>
    <w:rsid w:val="00A20A9A"/>
    <w:rsid w:val="00A23307"/>
    <w:rsid w:val="00A24B5C"/>
    <w:rsid w:val="00A261B3"/>
    <w:rsid w:val="00A268A1"/>
    <w:rsid w:val="00A31578"/>
    <w:rsid w:val="00A34160"/>
    <w:rsid w:val="00A359F8"/>
    <w:rsid w:val="00A373A4"/>
    <w:rsid w:val="00A41A31"/>
    <w:rsid w:val="00A4292C"/>
    <w:rsid w:val="00A433C2"/>
    <w:rsid w:val="00A44FBE"/>
    <w:rsid w:val="00A50354"/>
    <w:rsid w:val="00A506DB"/>
    <w:rsid w:val="00A51352"/>
    <w:rsid w:val="00A53566"/>
    <w:rsid w:val="00A54D34"/>
    <w:rsid w:val="00A55E7D"/>
    <w:rsid w:val="00A63030"/>
    <w:rsid w:val="00A63247"/>
    <w:rsid w:val="00A63FAD"/>
    <w:rsid w:val="00A67200"/>
    <w:rsid w:val="00A67978"/>
    <w:rsid w:val="00A71ABC"/>
    <w:rsid w:val="00A82A04"/>
    <w:rsid w:val="00A82CB7"/>
    <w:rsid w:val="00A87CAA"/>
    <w:rsid w:val="00A87CD6"/>
    <w:rsid w:val="00A9000C"/>
    <w:rsid w:val="00A906D1"/>
    <w:rsid w:val="00A93165"/>
    <w:rsid w:val="00AA61CD"/>
    <w:rsid w:val="00AA6D4C"/>
    <w:rsid w:val="00AB7EF6"/>
    <w:rsid w:val="00AC05B8"/>
    <w:rsid w:val="00AC26BA"/>
    <w:rsid w:val="00AC29B2"/>
    <w:rsid w:val="00AC4EE9"/>
    <w:rsid w:val="00AC74CA"/>
    <w:rsid w:val="00AD092A"/>
    <w:rsid w:val="00AD1014"/>
    <w:rsid w:val="00AD10A3"/>
    <w:rsid w:val="00AD4BE3"/>
    <w:rsid w:val="00AD52BF"/>
    <w:rsid w:val="00AD5FC1"/>
    <w:rsid w:val="00AD72C7"/>
    <w:rsid w:val="00AE486C"/>
    <w:rsid w:val="00AF10D8"/>
    <w:rsid w:val="00AF4B93"/>
    <w:rsid w:val="00B01308"/>
    <w:rsid w:val="00B01879"/>
    <w:rsid w:val="00B13D4E"/>
    <w:rsid w:val="00B143DF"/>
    <w:rsid w:val="00B177BE"/>
    <w:rsid w:val="00B2079E"/>
    <w:rsid w:val="00B223B0"/>
    <w:rsid w:val="00B30220"/>
    <w:rsid w:val="00B30492"/>
    <w:rsid w:val="00B30532"/>
    <w:rsid w:val="00B310A9"/>
    <w:rsid w:val="00B3191D"/>
    <w:rsid w:val="00B319C7"/>
    <w:rsid w:val="00B32800"/>
    <w:rsid w:val="00B3385D"/>
    <w:rsid w:val="00B36BF0"/>
    <w:rsid w:val="00B44E0C"/>
    <w:rsid w:val="00B51F1F"/>
    <w:rsid w:val="00B5297A"/>
    <w:rsid w:val="00B5325B"/>
    <w:rsid w:val="00B56DD8"/>
    <w:rsid w:val="00B6087B"/>
    <w:rsid w:val="00B6179C"/>
    <w:rsid w:val="00B624B4"/>
    <w:rsid w:val="00B63A6B"/>
    <w:rsid w:val="00B64105"/>
    <w:rsid w:val="00B644A4"/>
    <w:rsid w:val="00B64BC6"/>
    <w:rsid w:val="00B652FB"/>
    <w:rsid w:val="00B66983"/>
    <w:rsid w:val="00B70B89"/>
    <w:rsid w:val="00B75288"/>
    <w:rsid w:val="00B77A43"/>
    <w:rsid w:val="00B77E3F"/>
    <w:rsid w:val="00B80144"/>
    <w:rsid w:val="00B827BE"/>
    <w:rsid w:val="00B82A62"/>
    <w:rsid w:val="00B8442A"/>
    <w:rsid w:val="00B85A0A"/>
    <w:rsid w:val="00B86971"/>
    <w:rsid w:val="00B909BA"/>
    <w:rsid w:val="00B9629A"/>
    <w:rsid w:val="00B96F08"/>
    <w:rsid w:val="00B9761E"/>
    <w:rsid w:val="00BA3B17"/>
    <w:rsid w:val="00BA491B"/>
    <w:rsid w:val="00BA64EC"/>
    <w:rsid w:val="00BA69E4"/>
    <w:rsid w:val="00BB029B"/>
    <w:rsid w:val="00BB4035"/>
    <w:rsid w:val="00BB5B44"/>
    <w:rsid w:val="00BC1D9F"/>
    <w:rsid w:val="00BC400F"/>
    <w:rsid w:val="00BC4C65"/>
    <w:rsid w:val="00BC789C"/>
    <w:rsid w:val="00BD06B9"/>
    <w:rsid w:val="00BD1AF3"/>
    <w:rsid w:val="00BD2118"/>
    <w:rsid w:val="00BD6A3E"/>
    <w:rsid w:val="00BD79A0"/>
    <w:rsid w:val="00BE7399"/>
    <w:rsid w:val="00BF0073"/>
    <w:rsid w:val="00BF09F9"/>
    <w:rsid w:val="00BF0A3B"/>
    <w:rsid w:val="00BF351D"/>
    <w:rsid w:val="00BF376E"/>
    <w:rsid w:val="00BF3EC6"/>
    <w:rsid w:val="00BF4E4E"/>
    <w:rsid w:val="00BF6C79"/>
    <w:rsid w:val="00C02776"/>
    <w:rsid w:val="00C0334E"/>
    <w:rsid w:val="00C04D27"/>
    <w:rsid w:val="00C064DC"/>
    <w:rsid w:val="00C06CE7"/>
    <w:rsid w:val="00C117EA"/>
    <w:rsid w:val="00C12924"/>
    <w:rsid w:val="00C13DC6"/>
    <w:rsid w:val="00C143A1"/>
    <w:rsid w:val="00C16C38"/>
    <w:rsid w:val="00C233D9"/>
    <w:rsid w:val="00C23874"/>
    <w:rsid w:val="00C25602"/>
    <w:rsid w:val="00C26013"/>
    <w:rsid w:val="00C321DB"/>
    <w:rsid w:val="00C344CF"/>
    <w:rsid w:val="00C36B11"/>
    <w:rsid w:val="00C36F99"/>
    <w:rsid w:val="00C370DB"/>
    <w:rsid w:val="00C402DA"/>
    <w:rsid w:val="00C40C3B"/>
    <w:rsid w:val="00C47213"/>
    <w:rsid w:val="00C501C2"/>
    <w:rsid w:val="00C52989"/>
    <w:rsid w:val="00C52AB9"/>
    <w:rsid w:val="00C5374A"/>
    <w:rsid w:val="00C53DFD"/>
    <w:rsid w:val="00C56106"/>
    <w:rsid w:val="00C60191"/>
    <w:rsid w:val="00C61A89"/>
    <w:rsid w:val="00C61AD9"/>
    <w:rsid w:val="00C65705"/>
    <w:rsid w:val="00C659AC"/>
    <w:rsid w:val="00C66C1F"/>
    <w:rsid w:val="00C67352"/>
    <w:rsid w:val="00C76FEA"/>
    <w:rsid w:val="00C77731"/>
    <w:rsid w:val="00C83A4A"/>
    <w:rsid w:val="00C850F1"/>
    <w:rsid w:val="00C86AAC"/>
    <w:rsid w:val="00C91E8C"/>
    <w:rsid w:val="00C93847"/>
    <w:rsid w:val="00C97E18"/>
    <w:rsid w:val="00CA2F34"/>
    <w:rsid w:val="00CA35DB"/>
    <w:rsid w:val="00CB0215"/>
    <w:rsid w:val="00CB0BD1"/>
    <w:rsid w:val="00CB0D91"/>
    <w:rsid w:val="00CB7EB8"/>
    <w:rsid w:val="00CC2812"/>
    <w:rsid w:val="00CC39DF"/>
    <w:rsid w:val="00CC503E"/>
    <w:rsid w:val="00CC6F83"/>
    <w:rsid w:val="00CD0BC7"/>
    <w:rsid w:val="00CD2821"/>
    <w:rsid w:val="00CD432C"/>
    <w:rsid w:val="00CD4A46"/>
    <w:rsid w:val="00CD6727"/>
    <w:rsid w:val="00CE4905"/>
    <w:rsid w:val="00CE54EE"/>
    <w:rsid w:val="00CF3834"/>
    <w:rsid w:val="00CF5083"/>
    <w:rsid w:val="00CF5AAA"/>
    <w:rsid w:val="00D04CCD"/>
    <w:rsid w:val="00D062C9"/>
    <w:rsid w:val="00D1178F"/>
    <w:rsid w:val="00D13CD7"/>
    <w:rsid w:val="00D14E80"/>
    <w:rsid w:val="00D1512A"/>
    <w:rsid w:val="00D15D8B"/>
    <w:rsid w:val="00D2089F"/>
    <w:rsid w:val="00D20FD3"/>
    <w:rsid w:val="00D21118"/>
    <w:rsid w:val="00D21DC3"/>
    <w:rsid w:val="00D21F2C"/>
    <w:rsid w:val="00D22D36"/>
    <w:rsid w:val="00D2569B"/>
    <w:rsid w:val="00D311E4"/>
    <w:rsid w:val="00D32983"/>
    <w:rsid w:val="00D32DB4"/>
    <w:rsid w:val="00D33311"/>
    <w:rsid w:val="00D33F21"/>
    <w:rsid w:val="00D40C86"/>
    <w:rsid w:val="00D41CDD"/>
    <w:rsid w:val="00D44A6A"/>
    <w:rsid w:val="00D46A35"/>
    <w:rsid w:val="00D55121"/>
    <w:rsid w:val="00D552AB"/>
    <w:rsid w:val="00D55813"/>
    <w:rsid w:val="00D5633F"/>
    <w:rsid w:val="00D56B5D"/>
    <w:rsid w:val="00D57D77"/>
    <w:rsid w:val="00D607EA"/>
    <w:rsid w:val="00D612E0"/>
    <w:rsid w:val="00D616F9"/>
    <w:rsid w:val="00D6532F"/>
    <w:rsid w:val="00D73584"/>
    <w:rsid w:val="00D8166F"/>
    <w:rsid w:val="00D81C2D"/>
    <w:rsid w:val="00D854FE"/>
    <w:rsid w:val="00D96CF7"/>
    <w:rsid w:val="00D9766C"/>
    <w:rsid w:val="00D97847"/>
    <w:rsid w:val="00DA4D6D"/>
    <w:rsid w:val="00DB2AA1"/>
    <w:rsid w:val="00DB4024"/>
    <w:rsid w:val="00DB6C19"/>
    <w:rsid w:val="00DB71C0"/>
    <w:rsid w:val="00DB738A"/>
    <w:rsid w:val="00DC0285"/>
    <w:rsid w:val="00DC0CCB"/>
    <w:rsid w:val="00DC7D07"/>
    <w:rsid w:val="00DD1233"/>
    <w:rsid w:val="00DD39EE"/>
    <w:rsid w:val="00DD55E1"/>
    <w:rsid w:val="00DD6519"/>
    <w:rsid w:val="00DD6C0D"/>
    <w:rsid w:val="00DE5D05"/>
    <w:rsid w:val="00DF0DB7"/>
    <w:rsid w:val="00DF29E7"/>
    <w:rsid w:val="00DF3B1F"/>
    <w:rsid w:val="00DF6C12"/>
    <w:rsid w:val="00DF7135"/>
    <w:rsid w:val="00E042B0"/>
    <w:rsid w:val="00E04904"/>
    <w:rsid w:val="00E0567C"/>
    <w:rsid w:val="00E06258"/>
    <w:rsid w:val="00E06E70"/>
    <w:rsid w:val="00E07985"/>
    <w:rsid w:val="00E07CB5"/>
    <w:rsid w:val="00E23814"/>
    <w:rsid w:val="00E239E7"/>
    <w:rsid w:val="00E32E13"/>
    <w:rsid w:val="00E34025"/>
    <w:rsid w:val="00E342D7"/>
    <w:rsid w:val="00E34719"/>
    <w:rsid w:val="00E35948"/>
    <w:rsid w:val="00E37E11"/>
    <w:rsid w:val="00E405A3"/>
    <w:rsid w:val="00E40E20"/>
    <w:rsid w:val="00E45A6D"/>
    <w:rsid w:val="00E52A80"/>
    <w:rsid w:val="00E52C21"/>
    <w:rsid w:val="00E52C83"/>
    <w:rsid w:val="00E569B0"/>
    <w:rsid w:val="00E569BB"/>
    <w:rsid w:val="00E601AA"/>
    <w:rsid w:val="00E60894"/>
    <w:rsid w:val="00E62AC5"/>
    <w:rsid w:val="00E62DB0"/>
    <w:rsid w:val="00E638E2"/>
    <w:rsid w:val="00E6677E"/>
    <w:rsid w:val="00E67080"/>
    <w:rsid w:val="00E67B42"/>
    <w:rsid w:val="00E67D94"/>
    <w:rsid w:val="00E708D0"/>
    <w:rsid w:val="00E73ACF"/>
    <w:rsid w:val="00E7519C"/>
    <w:rsid w:val="00E766EB"/>
    <w:rsid w:val="00E8087A"/>
    <w:rsid w:val="00E8322A"/>
    <w:rsid w:val="00E83894"/>
    <w:rsid w:val="00E83C67"/>
    <w:rsid w:val="00E87791"/>
    <w:rsid w:val="00E92B4F"/>
    <w:rsid w:val="00E92BE2"/>
    <w:rsid w:val="00E95BD5"/>
    <w:rsid w:val="00EA41FC"/>
    <w:rsid w:val="00EA5AC4"/>
    <w:rsid w:val="00EB11C7"/>
    <w:rsid w:val="00EB4614"/>
    <w:rsid w:val="00EB4F78"/>
    <w:rsid w:val="00EB6B03"/>
    <w:rsid w:val="00EB771B"/>
    <w:rsid w:val="00EC0D24"/>
    <w:rsid w:val="00EC0F83"/>
    <w:rsid w:val="00EC7252"/>
    <w:rsid w:val="00ED1C12"/>
    <w:rsid w:val="00ED2C15"/>
    <w:rsid w:val="00ED3516"/>
    <w:rsid w:val="00ED46FA"/>
    <w:rsid w:val="00ED7C98"/>
    <w:rsid w:val="00EE0EF9"/>
    <w:rsid w:val="00EE192C"/>
    <w:rsid w:val="00EE2718"/>
    <w:rsid w:val="00EE499F"/>
    <w:rsid w:val="00EE5D6B"/>
    <w:rsid w:val="00EF1F10"/>
    <w:rsid w:val="00EF4EC7"/>
    <w:rsid w:val="00F00079"/>
    <w:rsid w:val="00F00D62"/>
    <w:rsid w:val="00F04E6D"/>
    <w:rsid w:val="00F05036"/>
    <w:rsid w:val="00F07533"/>
    <w:rsid w:val="00F07D61"/>
    <w:rsid w:val="00F1102F"/>
    <w:rsid w:val="00F122E3"/>
    <w:rsid w:val="00F13576"/>
    <w:rsid w:val="00F14014"/>
    <w:rsid w:val="00F16952"/>
    <w:rsid w:val="00F21739"/>
    <w:rsid w:val="00F240F3"/>
    <w:rsid w:val="00F24258"/>
    <w:rsid w:val="00F27A13"/>
    <w:rsid w:val="00F27EA3"/>
    <w:rsid w:val="00F3107E"/>
    <w:rsid w:val="00F3370D"/>
    <w:rsid w:val="00F37BB4"/>
    <w:rsid w:val="00F41694"/>
    <w:rsid w:val="00F4181E"/>
    <w:rsid w:val="00F4388E"/>
    <w:rsid w:val="00F45F6F"/>
    <w:rsid w:val="00F46588"/>
    <w:rsid w:val="00F46A8B"/>
    <w:rsid w:val="00F507E6"/>
    <w:rsid w:val="00F53E76"/>
    <w:rsid w:val="00F54D83"/>
    <w:rsid w:val="00F63F37"/>
    <w:rsid w:val="00F64886"/>
    <w:rsid w:val="00F664C8"/>
    <w:rsid w:val="00F6784C"/>
    <w:rsid w:val="00F724FE"/>
    <w:rsid w:val="00F73183"/>
    <w:rsid w:val="00F762A4"/>
    <w:rsid w:val="00F802E7"/>
    <w:rsid w:val="00F80D64"/>
    <w:rsid w:val="00F83326"/>
    <w:rsid w:val="00F847F7"/>
    <w:rsid w:val="00F84FCB"/>
    <w:rsid w:val="00F86A46"/>
    <w:rsid w:val="00F8727F"/>
    <w:rsid w:val="00F8776C"/>
    <w:rsid w:val="00F87B6C"/>
    <w:rsid w:val="00F9204A"/>
    <w:rsid w:val="00F93586"/>
    <w:rsid w:val="00F9622B"/>
    <w:rsid w:val="00F9683E"/>
    <w:rsid w:val="00FA0B23"/>
    <w:rsid w:val="00FA449B"/>
    <w:rsid w:val="00FA6926"/>
    <w:rsid w:val="00FA760E"/>
    <w:rsid w:val="00FB1116"/>
    <w:rsid w:val="00FB5BBE"/>
    <w:rsid w:val="00FB6D5E"/>
    <w:rsid w:val="00FB7CC6"/>
    <w:rsid w:val="00FC0A08"/>
    <w:rsid w:val="00FC1F2C"/>
    <w:rsid w:val="00FD3AD3"/>
    <w:rsid w:val="00FE65F5"/>
    <w:rsid w:val="00FF0198"/>
    <w:rsid w:val="00FF2E95"/>
    <w:rsid w:val="00FF77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4D527FB1"/>
  <w15:chartTrackingRefBased/>
  <w15:docId w15:val="{4FDD1B49-F40C-4447-BA54-7586A5F1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1850"/>
    <w:pPr>
      <w:spacing w:after="80" w:line="216" w:lineRule="auto"/>
      <w:jc w:val="both"/>
    </w:pPr>
    <w:rPr>
      <w:rFonts w:ascii="Marianne" w:hAnsi="Marianne"/>
    </w:rPr>
  </w:style>
  <w:style w:type="paragraph" w:styleId="Titre1">
    <w:name w:val="heading 1"/>
    <w:basedOn w:val="Normal"/>
    <w:next w:val="Normal"/>
    <w:qFormat/>
    <w:rsid w:val="00980240"/>
    <w:pPr>
      <w:keepNext/>
      <w:numPr>
        <w:ilvl w:val="1"/>
        <w:numId w:val="17"/>
      </w:numPr>
      <w:tabs>
        <w:tab w:val="left" w:pos="993"/>
      </w:tabs>
      <w:spacing w:before="360" w:after="120"/>
      <w:outlineLvl w:val="0"/>
    </w:pPr>
    <w:rPr>
      <w:rFonts w:cs="Arial"/>
      <w:b/>
      <w:color w:val="1F3864" w:themeColor="accent1" w:themeShade="80"/>
      <w:kern w:val="28"/>
      <w:sz w:val="22"/>
      <w:u w:val="single"/>
    </w:rPr>
  </w:style>
  <w:style w:type="paragraph" w:styleId="Titre2">
    <w:name w:val="heading 2"/>
    <w:basedOn w:val="Normal"/>
    <w:next w:val="Normal"/>
    <w:qFormat/>
    <w:rsid w:val="00CD2821"/>
    <w:pPr>
      <w:keepNext/>
      <w:numPr>
        <w:numId w:val="17"/>
      </w:numPr>
      <w:pBdr>
        <w:bottom w:val="single" w:sz="4" w:space="1" w:color="auto"/>
      </w:pBdr>
      <w:spacing w:before="480" w:after="360"/>
      <w:jc w:val="center"/>
      <w:outlineLvl w:val="1"/>
    </w:pPr>
    <w:rPr>
      <w:b/>
      <w:color w:val="1F3864" w:themeColor="accent1" w:themeShade="80"/>
      <w:sz w:val="28"/>
    </w:rPr>
  </w:style>
  <w:style w:type="paragraph" w:styleId="Titre3">
    <w:name w:val="heading 3"/>
    <w:basedOn w:val="Normal"/>
    <w:next w:val="Normal"/>
    <w:qFormat/>
    <w:rsid w:val="008C021C"/>
    <w:pPr>
      <w:numPr>
        <w:ilvl w:val="2"/>
        <w:numId w:val="17"/>
      </w:numPr>
      <w:spacing w:before="120" w:after="60"/>
      <w:ind w:left="924" w:hanging="357"/>
      <w:outlineLvl w:val="2"/>
    </w:pPr>
    <w:rPr>
      <w:b/>
      <w:szCs w:val="18"/>
    </w:rPr>
  </w:style>
  <w:style w:type="paragraph" w:styleId="Titre4">
    <w:name w:val="heading 4"/>
    <w:basedOn w:val="Normal"/>
    <w:next w:val="Normal"/>
    <w:qFormat/>
    <w:rsid w:val="00786884"/>
    <w:pPr>
      <w:spacing w:before="240" w:after="120"/>
      <w:outlineLvl w:val="3"/>
    </w:pPr>
    <w:rPr>
      <w:rFonts w:ascii="Verdana" w:hAnsi="Verdana"/>
      <w:b/>
      <w:sz w:val="18"/>
      <w:szCs w:val="18"/>
    </w:rPr>
  </w:style>
  <w:style w:type="paragraph" w:styleId="Titre5">
    <w:name w:val="heading 5"/>
    <w:basedOn w:val="Normal"/>
    <w:next w:val="Normal"/>
    <w:qFormat/>
    <w:pPr>
      <w:keepNext/>
      <w:jc w:val="left"/>
      <w:outlineLvl w:val="4"/>
    </w:pPr>
    <w:rPr>
      <w:rFonts w:cs="Arial"/>
      <w:b/>
      <w:bCs/>
    </w:rPr>
  </w:style>
  <w:style w:type="paragraph" w:styleId="Titre6">
    <w:name w:val="heading 6"/>
    <w:basedOn w:val="Normal"/>
    <w:next w:val="Normal"/>
    <w:qFormat/>
    <w:pPr>
      <w:keepNext/>
      <w:jc w:val="center"/>
      <w:outlineLvl w:val="5"/>
    </w:pPr>
    <w:rPr>
      <w:rFonts w:cs="Arial"/>
      <w:b/>
      <w:bCs/>
    </w:rPr>
  </w:style>
  <w:style w:type="paragraph" w:styleId="Titre7">
    <w:name w:val="heading 7"/>
    <w:basedOn w:val="Normal"/>
    <w:next w:val="Normal"/>
    <w:qFormat/>
    <w:pPr>
      <w:keepNext/>
      <w:spacing w:before="360"/>
      <w:jc w:val="left"/>
      <w:outlineLvl w:val="6"/>
    </w:pPr>
    <w:rPr>
      <w:rFonts w:cs="Arial"/>
      <w:b/>
      <w:caps/>
      <w:sz w:val="22"/>
    </w:rPr>
  </w:style>
  <w:style w:type="paragraph" w:styleId="Titre8">
    <w:name w:val="heading 8"/>
    <w:basedOn w:val="Normal"/>
    <w:next w:val="Normal"/>
    <w:link w:val="Titre8Car"/>
    <w:qFormat/>
    <w:rsid w:val="00E34025"/>
    <w:pPr>
      <w:spacing w:before="240" w:after="60"/>
      <w:ind w:left="431" w:hanging="431"/>
      <w:outlineLvl w:val="7"/>
    </w:pPr>
    <w:rPr>
      <w:rFonts w:ascii="Times New Roman" w:hAnsi="Times New Roman"/>
      <w:i/>
      <w:iCs/>
      <w:sz w:val="24"/>
      <w:szCs w:val="24"/>
    </w:rPr>
  </w:style>
  <w:style w:type="paragraph" w:styleId="Titre9">
    <w:name w:val="heading 9"/>
    <w:basedOn w:val="Normal"/>
    <w:next w:val="Normal"/>
    <w:link w:val="Titre9Car"/>
    <w:qFormat/>
    <w:rsid w:val="00E34025"/>
    <w:pPr>
      <w:spacing w:before="240" w:after="60"/>
      <w:ind w:left="431" w:hanging="431"/>
      <w:outlineLvl w:val="8"/>
    </w:pPr>
    <w:rPr>
      <w:rFonts w:ascii="Book Antiqua" w:hAnsi="Book Antiqua"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Retraitnormal"/>
    <w:link w:val="Style1Car"/>
    <w:qFormat/>
    <w:pPr>
      <w:spacing w:before="360"/>
      <w:ind w:left="0"/>
    </w:pPr>
    <w:rPr>
      <w:rFonts w:ascii="Univers (W1)" w:hAnsi="Univers (W1)"/>
      <w:sz w:val="24"/>
    </w:rPr>
  </w:style>
  <w:style w:type="paragraph" w:styleId="Retraitnormal">
    <w:name w:val="Normal Indent"/>
    <w:basedOn w:val="Normal"/>
    <w:pPr>
      <w:ind w:left="708"/>
    </w:pPr>
  </w:style>
  <w:style w:type="paragraph" w:customStyle="1" w:styleId="Normalbis">
    <w:name w:val="Normal bis"/>
    <w:basedOn w:val="Normal"/>
    <w:pPr>
      <w:tabs>
        <w:tab w:val="left" w:pos="2268"/>
      </w:tabs>
    </w:pPr>
    <w:rPr>
      <w:rFonts w:ascii="Times New Roman" w:hAnsi="Times New Roman"/>
    </w:rPr>
  </w:style>
  <w:style w:type="paragraph" w:styleId="En-tte">
    <w:name w:val="header"/>
    <w:basedOn w:val="Normal"/>
    <w:pPr>
      <w:tabs>
        <w:tab w:val="center" w:pos="4819"/>
        <w:tab w:val="right" w:pos="9071"/>
      </w:tabs>
    </w:pPr>
    <w:rPr>
      <w:rFonts w:ascii="Times New Roman" w:hAnsi="Times New Roman"/>
    </w:rPr>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pPr>
      <w:jc w:val="left"/>
    </w:pPr>
  </w:style>
  <w:style w:type="paragraph" w:styleId="Corpsdetexte2">
    <w:name w:val="Body Text 2"/>
    <w:basedOn w:val="Normal"/>
    <w:pPr>
      <w:ind w:right="-284"/>
      <w:jc w:val="left"/>
    </w:pPr>
  </w:style>
  <w:style w:type="paragraph" w:styleId="Normalcentr">
    <w:name w:val="Block Text"/>
    <w:basedOn w:val="Normal"/>
    <w:pPr>
      <w:spacing w:before="120"/>
      <w:ind w:left="142" w:right="5670" w:hanging="142"/>
    </w:pPr>
    <w:rPr>
      <w:rFonts w:ascii="Tahoma" w:hAnsi="Tahoma" w:cs="Tahoma"/>
      <w:sz w:val="18"/>
    </w:rPr>
  </w:style>
  <w:style w:type="paragraph" w:styleId="Corpsdetexte3">
    <w:name w:val="Body Text 3"/>
    <w:basedOn w:val="Normal"/>
    <w:rPr>
      <w:rFonts w:ascii="Arial" w:hAnsi="Arial" w:cs="Arial"/>
      <w:i/>
      <w:iCs/>
    </w:rPr>
  </w:style>
  <w:style w:type="paragraph" w:styleId="Retraitcorpsdetexte">
    <w:name w:val="Body Text Indent"/>
    <w:basedOn w:val="Normal"/>
    <w:pPr>
      <w:tabs>
        <w:tab w:val="right" w:pos="1985"/>
        <w:tab w:val="left" w:pos="2127"/>
        <w:tab w:val="left" w:pos="2268"/>
      </w:tabs>
      <w:spacing w:before="120"/>
      <w:ind w:left="2268" w:hanging="2268"/>
      <w:jc w:val="left"/>
    </w:pPr>
    <w:rPr>
      <w:rFonts w:ascii="Arial" w:hAnsi="Arial" w:cs="Arial"/>
      <w:sz w:val="18"/>
    </w:rPr>
  </w:style>
  <w:style w:type="character" w:styleId="Marquedecommentaire">
    <w:name w:val="annotation reference"/>
    <w:rsid w:val="00831063"/>
    <w:rPr>
      <w:sz w:val="16"/>
      <w:szCs w:val="16"/>
    </w:rPr>
  </w:style>
  <w:style w:type="paragraph" w:styleId="Commentaire">
    <w:name w:val="annotation text"/>
    <w:basedOn w:val="Normal"/>
    <w:link w:val="CommentaireCar"/>
    <w:rsid w:val="00831063"/>
  </w:style>
  <w:style w:type="paragraph" w:styleId="Objetducommentaire">
    <w:name w:val="annotation subject"/>
    <w:basedOn w:val="Commentaire"/>
    <w:next w:val="Commentaire"/>
    <w:semiHidden/>
    <w:rsid w:val="00831063"/>
    <w:rPr>
      <w:b/>
      <w:bCs/>
    </w:rPr>
  </w:style>
  <w:style w:type="paragraph" w:styleId="Textedebulles">
    <w:name w:val="Balloon Text"/>
    <w:basedOn w:val="Normal"/>
    <w:semiHidden/>
    <w:rsid w:val="00831063"/>
    <w:rPr>
      <w:rFonts w:ascii="Tahoma" w:hAnsi="Tahoma" w:cs="Tahoma"/>
      <w:sz w:val="16"/>
      <w:szCs w:val="16"/>
    </w:rPr>
  </w:style>
  <w:style w:type="table" w:styleId="Grilledutableau">
    <w:name w:val="Table Grid"/>
    <w:basedOn w:val="TableauNormal"/>
    <w:rsid w:val="0048654B"/>
    <w:pPr>
      <w:spacing w:befor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qFormat/>
    <w:rsid w:val="00783488"/>
    <w:pPr>
      <w:tabs>
        <w:tab w:val="left" w:pos="1276"/>
        <w:tab w:val="left" w:pos="1418"/>
        <w:tab w:val="right" w:leader="dot" w:pos="9062"/>
      </w:tabs>
    </w:pPr>
    <w:rPr>
      <w:noProof/>
      <w:szCs w:val="28"/>
    </w:rPr>
  </w:style>
  <w:style w:type="paragraph" w:styleId="TM2">
    <w:name w:val="toc 2"/>
    <w:basedOn w:val="Normal"/>
    <w:next w:val="Normal"/>
    <w:autoRedefine/>
    <w:uiPriority w:val="39"/>
    <w:qFormat/>
    <w:rsid w:val="00BF0073"/>
    <w:pPr>
      <w:tabs>
        <w:tab w:val="left" w:pos="1440"/>
        <w:tab w:val="left" w:pos="1560"/>
        <w:tab w:val="right" w:leader="dot" w:pos="9062"/>
      </w:tabs>
    </w:pPr>
    <w:rPr>
      <w:rFonts w:cs="Arial"/>
      <w:noProof/>
      <w:szCs w:val="28"/>
    </w:rPr>
  </w:style>
  <w:style w:type="paragraph" w:styleId="TM3">
    <w:name w:val="toc 3"/>
    <w:basedOn w:val="Normal"/>
    <w:next w:val="Normal"/>
    <w:autoRedefine/>
    <w:uiPriority w:val="39"/>
    <w:qFormat/>
    <w:rsid w:val="00783488"/>
    <w:pPr>
      <w:tabs>
        <w:tab w:val="left" w:pos="1200"/>
        <w:tab w:val="right" w:leader="dot" w:pos="9062"/>
      </w:tabs>
      <w:ind w:left="482"/>
    </w:pPr>
    <w:rPr>
      <w:rFonts w:cs="Arial"/>
      <w:noProof/>
    </w:rPr>
  </w:style>
  <w:style w:type="character" w:styleId="Lienhypertexte">
    <w:name w:val="Hyperlink"/>
    <w:uiPriority w:val="99"/>
    <w:rsid w:val="00783488"/>
    <w:rPr>
      <w:color w:val="0000FF"/>
      <w:u w:val="single"/>
    </w:rPr>
  </w:style>
  <w:style w:type="paragraph" w:styleId="Notedebasdepage">
    <w:name w:val="footnote text"/>
    <w:basedOn w:val="Normal"/>
    <w:semiHidden/>
    <w:rsid w:val="00783488"/>
    <w:pPr>
      <w:spacing w:before="160"/>
    </w:pPr>
  </w:style>
  <w:style w:type="character" w:styleId="Appelnotedebasdep">
    <w:name w:val="footnote reference"/>
    <w:semiHidden/>
    <w:rsid w:val="00783488"/>
    <w:rPr>
      <w:vertAlign w:val="superscript"/>
    </w:rPr>
  </w:style>
  <w:style w:type="character" w:customStyle="1" w:styleId="PieddepageCar">
    <w:name w:val="Pied de page Car"/>
    <w:link w:val="Pieddepage"/>
    <w:uiPriority w:val="99"/>
    <w:rsid w:val="00981B53"/>
    <w:rPr>
      <w:rFonts w:ascii="Arial" w:hAnsi="Arial"/>
    </w:rPr>
  </w:style>
  <w:style w:type="character" w:customStyle="1" w:styleId="Titre8Car">
    <w:name w:val="Titre 8 Car"/>
    <w:link w:val="Titre8"/>
    <w:rsid w:val="00E34025"/>
    <w:rPr>
      <w:i/>
      <w:iCs/>
      <w:sz w:val="24"/>
      <w:szCs w:val="24"/>
    </w:rPr>
  </w:style>
  <w:style w:type="character" w:customStyle="1" w:styleId="Titre9Car">
    <w:name w:val="Titre 9 Car"/>
    <w:link w:val="Titre9"/>
    <w:rsid w:val="00E34025"/>
    <w:rPr>
      <w:rFonts w:ascii="Book Antiqua" w:hAnsi="Book Antiqua" w:cs="Arial"/>
      <w:sz w:val="22"/>
      <w:szCs w:val="22"/>
    </w:rPr>
  </w:style>
  <w:style w:type="paragraph" w:customStyle="1" w:styleId="Liste1">
    <w:name w:val="Liste 1"/>
    <w:basedOn w:val="Normal"/>
    <w:rsid w:val="008A69EE"/>
    <w:pPr>
      <w:spacing w:before="40" w:after="120"/>
    </w:pPr>
    <w:rPr>
      <w:rFonts w:cs="Arial"/>
    </w:rPr>
  </w:style>
  <w:style w:type="paragraph" w:styleId="Listepuces3">
    <w:name w:val="List Bullet 3"/>
    <w:basedOn w:val="Normal"/>
    <w:autoRedefine/>
    <w:rsid w:val="0073795B"/>
    <w:pPr>
      <w:spacing w:before="40"/>
    </w:pPr>
    <w:rPr>
      <w:rFonts w:cs="Arial"/>
      <w:b/>
    </w:rPr>
  </w:style>
  <w:style w:type="paragraph" w:styleId="Sous-titre">
    <w:name w:val="Subtitle"/>
    <w:basedOn w:val="Normal"/>
    <w:link w:val="Sous-titreCar"/>
    <w:qFormat/>
    <w:rsid w:val="0073795B"/>
    <w:pPr>
      <w:jc w:val="center"/>
    </w:pPr>
    <w:rPr>
      <w:rFonts w:ascii="Times New Roman" w:hAnsi="Times New Roman"/>
      <w:b/>
      <w:i/>
      <w:sz w:val="32"/>
    </w:rPr>
  </w:style>
  <w:style w:type="character" w:customStyle="1" w:styleId="Sous-titreCar">
    <w:name w:val="Sous-titre Car"/>
    <w:link w:val="Sous-titre"/>
    <w:rsid w:val="0073795B"/>
    <w:rPr>
      <w:b/>
      <w:i/>
      <w:sz w:val="32"/>
    </w:rPr>
  </w:style>
  <w:style w:type="paragraph" w:styleId="Paragraphedeliste">
    <w:name w:val="List Paragraph"/>
    <w:aliases w:val="texte de base,Puce focus,Normal bullet 2,List Paragraph1,Bullet list,TITRE2 STYLE GREG,TP Liste,LISTE1,TE Paragraphe de liste,Paragraphe de liste num,Paragraphe de liste 1,Listes,normal,PADE_liste,6 pt paragraphe carré,Citation 1,lp1"/>
    <w:basedOn w:val="Normal"/>
    <w:link w:val="ParagraphedelisteCar"/>
    <w:uiPriority w:val="34"/>
    <w:qFormat/>
    <w:rsid w:val="00DB71C0"/>
    <w:pPr>
      <w:ind w:left="708"/>
    </w:pPr>
  </w:style>
  <w:style w:type="paragraph" w:styleId="En-ttedetabledesmatires">
    <w:name w:val="TOC Heading"/>
    <w:basedOn w:val="Titre1"/>
    <w:next w:val="Normal"/>
    <w:uiPriority w:val="39"/>
    <w:semiHidden/>
    <w:unhideWhenUsed/>
    <w:qFormat/>
    <w:rsid w:val="00D04CCD"/>
    <w:pPr>
      <w:keepLines/>
      <w:spacing w:before="480" w:line="276" w:lineRule="auto"/>
      <w:jc w:val="left"/>
      <w:outlineLvl w:val="9"/>
    </w:pPr>
    <w:rPr>
      <w:rFonts w:ascii="Cambria" w:hAnsi="Cambria" w:cs="Times New Roman"/>
      <w:bCs/>
      <w:color w:val="365F91"/>
      <w:kern w:val="0"/>
      <w:sz w:val="28"/>
      <w:szCs w:val="28"/>
    </w:rPr>
  </w:style>
  <w:style w:type="numbering" w:customStyle="1" w:styleId="StyleAvecpuces6pt">
    <w:name w:val="Style Avec puces 6 pt"/>
    <w:basedOn w:val="Aucuneliste"/>
    <w:rsid w:val="00D04CCD"/>
    <w:pPr>
      <w:numPr>
        <w:numId w:val="1"/>
      </w:numPr>
    </w:pPr>
  </w:style>
  <w:style w:type="paragraph" w:customStyle="1" w:styleId="Titre10">
    <w:name w:val="Titre 1 §"/>
    <w:basedOn w:val="Normal"/>
    <w:link w:val="Titre1Car"/>
    <w:rsid w:val="00E95BD5"/>
    <w:pPr>
      <w:spacing w:after="120"/>
      <w:ind w:left="113"/>
    </w:pPr>
    <w:rPr>
      <w:rFonts w:cs="Arial"/>
      <w:snapToGrid w:val="0"/>
      <w:color w:val="000000"/>
    </w:rPr>
  </w:style>
  <w:style w:type="character" w:customStyle="1" w:styleId="Titre1Car">
    <w:name w:val="Titre 1 § Car"/>
    <w:link w:val="Titre10"/>
    <w:rsid w:val="00E95BD5"/>
    <w:rPr>
      <w:rFonts w:ascii="Arial" w:hAnsi="Arial" w:cs="Arial"/>
      <w:snapToGrid w:val="0"/>
      <w:color w:val="000000"/>
    </w:rPr>
  </w:style>
  <w:style w:type="paragraph" w:customStyle="1" w:styleId="Titre30">
    <w:name w:val="Titre 3 §"/>
    <w:basedOn w:val="Normal"/>
    <w:link w:val="Titre3Car"/>
    <w:rsid w:val="00E95BD5"/>
    <w:pPr>
      <w:spacing w:after="120"/>
      <w:ind w:left="113"/>
    </w:pPr>
    <w:rPr>
      <w:rFonts w:cs="Arial"/>
      <w:snapToGrid w:val="0"/>
      <w:color w:val="000000"/>
    </w:rPr>
  </w:style>
  <w:style w:type="character" w:customStyle="1" w:styleId="Titre3Car">
    <w:name w:val="Titre 3 § Car"/>
    <w:link w:val="Titre30"/>
    <w:rsid w:val="00E95BD5"/>
    <w:rPr>
      <w:rFonts w:ascii="Arial" w:hAnsi="Arial" w:cs="Arial"/>
      <w:snapToGrid w:val="0"/>
      <w:color w:val="000000"/>
    </w:rPr>
  </w:style>
  <w:style w:type="paragraph" w:styleId="Rvision">
    <w:name w:val="Revision"/>
    <w:hidden/>
    <w:uiPriority w:val="99"/>
    <w:semiHidden/>
    <w:rsid w:val="0041344D"/>
    <w:rPr>
      <w:rFonts w:ascii="Arial" w:hAnsi="Arial"/>
    </w:rPr>
  </w:style>
  <w:style w:type="paragraph" w:styleId="NormalWeb">
    <w:name w:val="Normal (Web)"/>
    <w:basedOn w:val="Normal"/>
    <w:uiPriority w:val="99"/>
    <w:unhideWhenUsed/>
    <w:rsid w:val="00AB7EF6"/>
    <w:pPr>
      <w:spacing w:before="100" w:beforeAutospacing="1" w:after="100" w:afterAutospacing="1"/>
      <w:jc w:val="left"/>
    </w:pPr>
    <w:rPr>
      <w:rFonts w:ascii="Times New Roman" w:hAnsi="Times New Roman"/>
      <w:sz w:val="24"/>
      <w:szCs w:val="24"/>
    </w:rPr>
  </w:style>
  <w:style w:type="paragraph" w:customStyle="1" w:styleId="Default">
    <w:name w:val="Default"/>
    <w:rsid w:val="00184118"/>
    <w:pPr>
      <w:autoSpaceDE w:val="0"/>
      <w:autoSpaceDN w:val="0"/>
      <w:adjustRightInd w:val="0"/>
    </w:pPr>
    <w:rPr>
      <w:rFonts w:ascii="Verdana" w:hAnsi="Verdana" w:cs="Verdana"/>
      <w:color w:val="000000"/>
      <w:sz w:val="24"/>
      <w:szCs w:val="24"/>
    </w:rPr>
  </w:style>
  <w:style w:type="character" w:styleId="lev">
    <w:name w:val="Strong"/>
    <w:uiPriority w:val="22"/>
    <w:qFormat/>
    <w:rsid w:val="00C233D9"/>
    <w:rPr>
      <w:b/>
      <w:bCs/>
    </w:rPr>
  </w:style>
  <w:style w:type="character" w:styleId="Mentionnonrsolue">
    <w:name w:val="Unresolved Mention"/>
    <w:uiPriority w:val="99"/>
    <w:semiHidden/>
    <w:unhideWhenUsed/>
    <w:rsid w:val="00E67080"/>
    <w:rPr>
      <w:color w:val="605E5C"/>
      <w:shd w:val="clear" w:color="auto" w:fill="E1DFDD"/>
    </w:rPr>
  </w:style>
  <w:style w:type="paragraph" w:styleId="Titre">
    <w:name w:val="Title"/>
    <w:basedOn w:val="Paragraphedeliste"/>
    <w:link w:val="TitreCar"/>
    <w:rsid w:val="00DD1233"/>
    <w:pPr>
      <w:pBdr>
        <w:bottom w:val="single" w:sz="4" w:space="1" w:color="auto"/>
      </w:pBdr>
      <w:spacing w:before="120" w:after="120" w:line="240" w:lineRule="auto"/>
      <w:ind w:left="0"/>
      <w:jc w:val="left"/>
      <w:outlineLvl w:val="0"/>
    </w:pPr>
    <w:rPr>
      <w:rFonts w:ascii="Calibri" w:hAnsi="Calibri" w:cs="Calibri"/>
      <w:b/>
      <w:color w:val="1F497D"/>
      <w:sz w:val="28"/>
    </w:rPr>
  </w:style>
  <w:style w:type="character" w:customStyle="1" w:styleId="TitreCar">
    <w:name w:val="Titre Car"/>
    <w:basedOn w:val="Policepardfaut"/>
    <w:link w:val="Titre"/>
    <w:rsid w:val="00DD1233"/>
    <w:rPr>
      <w:rFonts w:ascii="Calibri" w:hAnsi="Calibri" w:cs="Calibri"/>
      <w:b/>
      <w:color w:val="1F497D"/>
      <w:sz w:val="28"/>
      <w:lang w:val="fr-FR" w:eastAsia="fr-FR"/>
    </w:rPr>
  </w:style>
  <w:style w:type="character" w:customStyle="1" w:styleId="ParagraphedelisteCar">
    <w:name w:val="Paragraphe de liste Car"/>
    <w:aliases w:val="texte de base Car,Puce focus Car,Normal bullet 2 Car,List Paragraph1 Car,Bullet list Car,TITRE2 STYLE GREG Car,TP Liste Car,LISTE1 Car,TE Paragraphe de liste Car,Paragraphe de liste num Car,Paragraphe de liste 1 Car,Listes Car"/>
    <w:link w:val="Paragraphedeliste"/>
    <w:uiPriority w:val="34"/>
    <w:rsid w:val="00DD1233"/>
    <w:rPr>
      <w:rFonts w:ascii="Marianne" w:hAnsi="Marianne"/>
      <w:lang w:val="fr-FR" w:eastAsia="fr-FR"/>
    </w:rPr>
  </w:style>
  <w:style w:type="character" w:customStyle="1" w:styleId="CommentaireCar">
    <w:name w:val="Commentaire Car"/>
    <w:link w:val="Commentaire"/>
    <w:uiPriority w:val="99"/>
    <w:rsid w:val="00DD1233"/>
    <w:rPr>
      <w:rFonts w:ascii="Marianne" w:hAnsi="Marianne"/>
      <w:lang w:val="fr-FR" w:eastAsia="fr-FR"/>
    </w:rPr>
  </w:style>
  <w:style w:type="character" w:customStyle="1" w:styleId="cf01">
    <w:name w:val="cf01"/>
    <w:basedOn w:val="Policepardfaut"/>
    <w:rsid w:val="00800402"/>
    <w:rPr>
      <w:rFonts w:ascii="Segoe UI" w:hAnsi="Segoe UI" w:cs="Segoe UI" w:hint="default"/>
      <w:sz w:val="18"/>
      <w:szCs w:val="18"/>
    </w:rPr>
  </w:style>
  <w:style w:type="character" w:customStyle="1" w:styleId="Style1Car">
    <w:name w:val="Style1 Car"/>
    <w:basedOn w:val="Policepardfaut"/>
    <w:link w:val="Style1"/>
    <w:rsid w:val="00BF0073"/>
    <w:rPr>
      <w:rFonts w:ascii="Univers (W1)" w:hAnsi="Univers (W1)"/>
      <w:sz w:val="24"/>
    </w:rPr>
  </w:style>
  <w:style w:type="paragraph" w:customStyle="1" w:styleId="Normal1">
    <w:name w:val="Normal1"/>
    <w:basedOn w:val="Normal"/>
    <w:link w:val="NORMALCar"/>
    <w:qFormat/>
    <w:rsid w:val="00323FF8"/>
    <w:pPr>
      <w:spacing w:before="80" w:after="0" w:line="240" w:lineRule="auto"/>
    </w:pPr>
  </w:style>
  <w:style w:type="character" w:customStyle="1" w:styleId="NORMALCar">
    <w:name w:val="NORMAL Car"/>
    <w:link w:val="Normal1"/>
    <w:rsid w:val="00323FF8"/>
    <w:rPr>
      <w:rFonts w:ascii="Marianne" w:hAnsi="Marianne"/>
    </w:rPr>
  </w:style>
  <w:style w:type="paragraph" w:customStyle="1" w:styleId="ALINEA">
    <w:name w:val="ALINEA"/>
    <w:basedOn w:val="Normal"/>
    <w:link w:val="ALINEACar"/>
    <w:qFormat/>
    <w:rsid w:val="008A4CA3"/>
    <w:pPr>
      <w:spacing w:before="60" w:after="0"/>
      <w:ind w:left="714" w:hanging="357"/>
    </w:pPr>
  </w:style>
  <w:style w:type="character" w:customStyle="1" w:styleId="ALINEACar">
    <w:name w:val="ALINEA Car"/>
    <w:link w:val="ALINEA"/>
    <w:rsid w:val="008A4CA3"/>
    <w:rPr>
      <w:rFonts w:ascii="Marianne" w:hAnsi="Marianne"/>
    </w:rPr>
  </w:style>
  <w:style w:type="paragraph" w:customStyle="1" w:styleId="Normal2">
    <w:name w:val="Normal2"/>
    <w:basedOn w:val="Normal"/>
    <w:qFormat/>
    <w:rsid w:val="00C13DC6"/>
    <w:pPr>
      <w:spacing w:before="80" w:after="0" w:line="240" w:lineRule="auto"/>
    </w:pPr>
  </w:style>
  <w:style w:type="paragraph" w:customStyle="1" w:styleId="Normal3">
    <w:name w:val="Normal3"/>
    <w:basedOn w:val="Normal"/>
    <w:qFormat/>
    <w:rsid w:val="00505AC7"/>
    <w:pPr>
      <w:spacing w:before="80" w:after="0" w:line="240" w:lineRule="auto"/>
    </w:pPr>
  </w:style>
  <w:style w:type="paragraph" w:customStyle="1" w:styleId="Normal4">
    <w:name w:val="Normal4"/>
    <w:basedOn w:val="Normal"/>
    <w:qFormat/>
    <w:rsid w:val="00786884"/>
    <w:pPr>
      <w:spacing w:before="80" w:after="0" w:line="240" w:lineRule="auto"/>
    </w:pPr>
  </w:style>
  <w:style w:type="paragraph" w:customStyle="1" w:styleId="pf0">
    <w:name w:val="pf0"/>
    <w:basedOn w:val="Normal"/>
    <w:rsid w:val="00BF4E4E"/>
    <w:pPr>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756">
      <w:bodyDiv w:val="1"/>
      <w:marLeft w:val="0"/>
      <w:marRight w:val="0"/>
      <w:marTop w:val="0"/>
      <w:marBottom w:val="0"/>
      <w:divBdr>
        <w:top w:val="none" w:sz="0" w:space="0" w:color="auto"/>
        <w:left w:val="none" w:sz="0" w:space="0" w:color="auto"/>
        <w:bottom w:val="none" w:sz="0" w:space="0" w:color="auto"/>
        <w:right w:val="none" w:sz="0" w:space="0" w:color="auto"/>
      </w:divBdr>
    </w:div>
    <w:div w:id="521287044">
      <w:bodyDiv w:val="1"/>
      <w:marLeft w:val="0"/>
      <w:marRight w:val="0"/>
      <w:marTop w:val="0"/>
      <w:marBottom w:val="0"/>
      <w:divBdr>
        <w:top w:val="none" w:sz="0" w:space="0" w:color="auto"/>
        <w:left w:val="none" w:sz="0" w:space="0" w:color="auto"/>
        <w:bottom w:val="none" w:sz="0" w:space="0" w:color="auto"/>
        <w:right w:val="none" w:sz="0" w:space="0" w:color="auto"/>
      </w:divBdr>
    </w:div>
    <w:div w:id="744572404">
      <w:bodyDiv w:val="1"/>
      <w:marLeft w:val="0"/>
      <w:marRight w:val="0"/>
      <w:marTop w:val="0"/>
      <w:marBottom w:val="0"/>
      <w:divBdr>
        <w:top w:val="none" w:sz="0" w:space="0" w:color="auto"/>
        <w:left w:val="none" w:sz="0" w:space="0" w:color="auto"/>
        <w:bottom w:val="none" w:sz="0" w:space="0" w:color="auto"/>
        <w:right w:val="none" w:sz="0" w:space="0" w:color="auto"/>
      </w:divBdr>
    </w:div>
    <w:div w:id="1072654234">
      <w:bodyDiv w:val="1"/>
      <w:marLeft w:val="0"/>
      <w:marRight w:val="0"/>
      <w:marTop w:val="0"/>
      <w:marBottom w:val="0"/>
      <w:divBdr>
        <w:top w:val="none" w:sz="0" w:space="0" w:color="auto"/>
        <w:left w:val="none" w:sz="0" w:space="0" w:color="auto"/>
        <w:bottom w:val="none" w:sz="0" w:space="0" w:color="auto"/>
        <w:right w:val="none" w:sz="0" w:space="0" w:color="auto"/>
      </w:divBdr>
    </w:div>
    <w:div w:id="1231229592">
      <w:bodyDiv w:val="1"/>
      <w:marLeft w:val="0"/>
      <w:marRight w:val="0"/>
      <w:marTop w:val="0"/>
      <w:marBottom w:val="0"/>
      <w:divBdr>
        <w:top w:val="none" w:sz="0" w:space="0" w:color="auto"/>
        <w:left w:val="none" w:sz="0" w:space="0" w:color="auto"/>
        <w:bottom w:val="none" w:sz="0" w:space="0" w:color="auto"/>
        <w:right w:val="none" w:sz="0" w:space="0" w:color="auto"/>
      </w:divBdr>
    </w:div>
    <w:div w:id="1587423304">
      <w:bodyDiv w:val="1"/>
      <w:marLeft w:val="0"/>
      <w:marRight w:val="0"/>
      <w:marTop w:val="0"/>
      <w:marBottom w:val="0"/>
      <w:divBdr>
        <w:top w:val="none" w:sz="0" w:space="0" w:color="auto"/>
        <w:left w:val="none" w:sz="0" w:space="0" w:color="auto"/>
        <w:bottom w:val="none" w:sz="0" w:space="0" w:color="auto"/>
        <w:right w:val="none" w:sz="0" w:space="0" w:color="auto"/>
      </w:divBdr>
    </w:div>
    <w:div w:id="1603800311">
      <w:bodyDiv w:val="1"/>
      <w:marLeft w:val="0"/>
      <w:marRight w:val="0"/>
      <w:marTop w:val="0"/>
      <w:marBottom w:val="0"/>
      <w:divBdr>
        <w:top w:val="none" w:sz="0" w:space="0" w:color="auto"/>
        <w:left w:val="none" w:sz="0" w:space="0" w:color="auto"/>
        <w:bottom w:val="none" w:sz="0" w:space="0" w:color="auto"/>
        <w:right w:val="none" w:sz="0" w:space="0" w:color="auto"/>
      </w:divBdr>
    </w:div>
    <w:div w:id="1716848493">
      <w:bodyDiv w:val="1"/>
      <w:marLeft w:val="0"/>
      <w:marRight w:val="0"/>
      <w:marTop w:val="0"/>
      <w:marBottom w:val="0"/>
      <w:divBdr>
        <w:top w:val="none" w:sz="0" w:space="0" w:color="auto"/>
        <w:left w:val="none" w:sz="0" w:space="0" w:color="auto"/>
        <w:bottom w:val="none" w:sz="0" w:space="0" w:color="auto"/>
        <w:right w:val="none" w:sz="0" w:space="0" w:color="auto"/>
      </w:divBdr>
    </w:div>
    <w:div w:id="1798136915">
      <w:bodyDiv w:val="1"/>
      <w:marLeft w:val="0"/>
      <w:marRight w:val="0"/>
      <w:marTop w:val="0"/>
      <w:marBottom w:val="0"/>
      <w:divBdr>
        <w:top w:val="none" w:sz="0" w:space="0" w:color="auto"/>
        <w:left w:val="none" w:sz="0" w:space="0" w:color="auto"/>
        <w:bottom w:val="none" w:sz="0" w:space="0" w:color="auto"/>
        <w:right w:val="none" w:sz="0" w:space="0" w:color="auto"/>
      </w:divBdr>
    </w:div>
    <w:div w:id="1801723445">
      <w:bodyDiv w:val="1"/>
      <w:marLeft w:val="0"/>
      <w:marRight w:val="0"/>
      <w:marTop w:val="0"/>
      <w:marBottom w:val="0"/>
      <w:divBdr>
        <w:top w:val="none" w:sz="0" w:space="0" w:color="auto"/>
        <w:left w:val="none" w:sz="0" w:space="0" w:color="auto"/>
        <w:bottom w:val="none" w:sz="0" w:space="0" w:color="auto"/>
        <w:right w:val="none" w:sz="0" w:space="0" w:color="auto"/>
      </w:divBdr>
    </w:div>
    <w:div w:id="1855529846">
      <w:bodyDiv w:val="1"/>
      <w:marLeft w:val="0"/>
      <w:marRight w:val="0"/>
      <w:marTop w:val="0"/>
      <w:marBottom w:val="0"/>
      <w:divBdr>
        <w:top w:val="none" w:sz="0" w:space="0" w:color="auto"/>
        <w:left w:val="none" w:sz="0" w:space="0" w:color="auto"/>
        <w:bottom w:val="none" w:sz="0" w:space="0" w:color="auto"/>
        <w:right w:val="none" w:sz="0" w:space="0" w:color="auto"/>
      </w:divBdr>
    </w:div>
    <w:div w:id="1960843440">
      <w:bodyDiv w:val="1"/>
      <w:marLeft w:val="0"/>
      <w:marRight w:val="0"/>
      <w:marTop w:val="0"/>
      <w:marBottom w:val="0"/>
      <w:divBdr>
        <w:top w:val="none" w:sz="0" w:space="0" w:color="auto"/>
        <w:left w:val="none" w:sz="0" w:space="0" w:color="auto"/>
        <w:bottom w:val="none" w:sz="0" w:space="0" w:color="auto"/>
        <w:right w:val="none" w:sz="0" w:space="0" w:color="auto"/>
      </w:divBdr>
    </w:div>
    <w:div w:id="211065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85871-122F-419F-8792-D8B29F8D6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22</Pages>
  <Words>8123</Words>
  <Characters>44681</Characters>
  <Application>Microsoft Office Word</Application>
  <DocSecurity>0</DocSecurity>
  <Lines>372</Lines>
  <Paragraphs>105</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Ministère de la Justice</Company>
  <LinksUpToDate>false</LinksUpToDate>
  <CharactersWithSpaces>52699</CharactersWithSpaces>
  <SharedDoc>false</SharedDoc>
  <HLinks>
    <vt:vector size="18" baseType="variant">
      <vt:variant>
        <vt:i4>2031676</vt:i4>
      </vt:variant>
      <vt:variant>
        <vt:i4>72</vt:i4>
      </vt:variant>
      <vt:variant>
        <vt:i4>0</vt:i4>
      </vt:variant>
      <vt:variant>
        <vt:i4>5</vt:i4>
      </vt:variant>
      <vt:variant>
        <vt:lpwstr>mailto:service-facturier@apij-justice.fr</vt:lpwstr>
      </vt:variant>
      <vt:variant>
        <vt:lpwstr/>
      </vt:variant>
      <vt:variant>
        <vt:i4>2687031</vt:i4>
      </vt:variant>
      <vt:variant>
        <vt:i4>69</vt:i4>
      </vt:variant>
      <vt:variant>
        <vt:i4>0</vt:i4>
      </vt:variant>
      <vt:variant>
        <vt:i4>5</vt:i4>
      </vt:variant>
      <vt:variant>
        <vt:lpwstr>https://chorus-pro.gouv.fr/</vt:lpwstr>
      </vt:variant>
      <vt:variant>
        <vt:lpwstr/>
      </vt:variant>
      <vt:variant>
        <vt:i4>2228277</vt:i4>
      </vt:variant>
      <vt:variant>
        <vt:i4>0</vt:i4>
      </vt:variant>
      <vt:variant>
        <vt:i4>0</vt:i4>
      </vt:variant>
      <vt:variant>
        <vt:i4>5</vt:i4>
      </vt:variant>
      <vt:variant>
        <vt:lpwstr>https://www.legifrance.gouv.fr/loda/id/JORFTEXT000043310613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MINISTERE DE LA JUSTICE</dc:creator>
  <cp:keywords/>
  <cp:lastModifiedBy>LAFITTE Mathieu</cp:lastModifiedBy>
  <cp:revision>18</cp:revision>
  <cp:lastPrinted>2018-03-28T12:54:00Z</cp:lastPrinted>
  <dcterms:created xsi:type="dcterms:W3CDTF">2023-12-07T14:12:00Z</dcterms:created>
  <dcterms:modified xsi:type="dcterms:W3CDTF">2025-04-25T15:24:00Z</dcterms:modified>
</cp:coreProperties>
</file>