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BD513" w14:textId="66F18147" w:rsidR="00D92134" w:rsidRPr="00CE3919" w:rsidRDefault="00AC6FA4" w:rsidP="00D92134">
      <w:pPr>
        <w:spacing w:before="0"/>
        <w:jc w:val="left"/>
        <w:rPr>
          <w:rStyle w:val="lev"/>
        </w:rPr>
      </w:pPr>
      <w:r>
        <w:rPr>
          <w:noProof/>
        </w:rPr>
        <w:drawing>
          <wp:anchor distT="0" distB="0" distL="114300" distR="114300" simplePos="0" relativeHeight="251659264" behindDoc="0" locked="0" layoutInCell="1" allowOverlap="1" wp14:anchorId="3A532640" wp14:editId="0C02EAAC">
            <wp:simplePos x="0" y="0"/>
            <wp:positionH relativeFrom="column">
              <wp:posOffset>2333625</wp:posOffset>
            </wp:positionH>
            <wp:positionV relativeFrom="paragraph">
              <wp:posOffset>-360680</wp:posOffset>
            </wp:positionV>
            <wp:extent cx="1080770" cy="928370"/>
            <wp:effectExtent l="0" t="0" r="0" b="0"/>
            <wp:wrapNone/>
            <wp:docPr id="2" name="Image 7" descr="apij logo courri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apij logo courrie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770" cy="928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39F83E" w14:textId="54DBC339" w:rsidR="000611D0" w:rsidRPr="00A21D03" w:rsidRDefault="000611D0" w:rsidP="000611D0">
      <w:pPr>
        <w:spacing w:before="120"/>
        <w:rPr>
          <w:rFonts w:cs="Arial"/>
        </w:rPr>
      </w:pPr>
      <w:bookmarkStart w:id="0" w:name="_Hlk105774866"/>
      <w:bookmarkEnd w:id="0"/>
    </w:p>
    <w:p w14:paraId="4DF54128" w14:textId="77777777" w:rsidR="000611D0" w:rsidRPr="00A21D03" w:rsidRDefault="000611D0" w:rsidP="000611D0">
      <w:pPr>
        <w:spacing w:before="120"/>
        <w:rPr>
          <w:rFonts w:cs="Arial"/>
        </w:rPr>
      </w:pPr>
    </w:p>
    <w:p w14:paraId="54D1852E" w14:textId="77777777" w:rsidR="000611D0" w:rsidRPr="00BC7097" w:rsidRDefault="000611D0" w:rsidP="000611D0">
      <w:pPr>
        <w:spacing w:before="120"/>
        <w:rPr>
          <w:rFonts w:cs="Arial"/>
          <w:b/>
          <w:sz w:val="28"/>
        </w:rPr>
      </w:pPr>
    </w:p>
    <w:p w14:paraId="04EF13E6" w14:textId="77777777" w:rsidR="000611D0" w:rsidRPr="00A632D9" w:rsidRDefault="000611D0" w:rsidP="000611D0">
      <w:pPr>
        <w:spacing w:beforeLines="80" w:before="192"/>
        <w:jc w:val="center"/>
        <w:rPr>
          <w:rFonts w:cs="Arial"/>
          <w:b/>
          <w:sz w:val="28"/>
        </w:rPr>
      </w:pPr>
    </w:p>
    <w:p w14:paraId="62DB1E64" w14:textId="0B847F30" w:rsidR="000611D0" w:rsidRPr="00A632D9" w:rsidRDefault="00D573B7" w:rsidP="000611D0">
      <w:pPr>
        <w:spacing w:beforeLines="80" w:before="192"/>
        <w:jc w:val="center"/>
        <w:rPr>
          <w:rFonts w:cs="Arial"/>
          <w:b/>
          <w:sz w:val="28"/>
        </w:rPr>
      </w:pPr>
      <w:r w:rsidRPr="00A632D9">
        <w:rPr>
          <w:rFonts w:cs="Arial"/>
          <w:b/>
          <w:sz w:val="28"/>
        </w:rPr>
        <w:t>ACCORD-CADRE</w:t>
      </w:r>
      <w:r w:rsidR="00A632D9">
        <w:rPr>
          <w:rFonts w:cs="Arial"/>
          <w:b/>
          <w:sz w:val="28"/>
        </w:rPr>
        <w:t xml:space="preserve"> DE PRESTATIONS INTELLECTUELLES</w:t>
      </w:r>
    </w:p>
    <w:p w14:paraId="0B29D93E" w14:textId="77777777" w:rsidR="000611D0" w:rsidRPr="00BC7097" w:rsidRDefault="000611D0" w:rsidP="000611D0">
      <w:pPr>
        <w:spacing w:before="120"/>
        <w:rPr>
          <w:rFonts w:cs="Arial"/>
          <w:b/>
          <w:sz w:val="28"/>
        </w:rPr>
      </w:pPr>
    </w:p>
    <w:p w14:paraId="5F7FDD1D" w14:textId="77777777" w:rsidR="000611D0" w:rsidRPr="00BC7097" w:rsidRDefault="000611D0" w:rsidP="000611D0">
      <w:pPr>
        <w:spacing w:before="120"/>
        <w:rPr>
          <w:rFonts w:cs="Arial"/>
          <w:b/>
          <w:sz w:val="28"/>
        </w:rPr>
      </w:pPr>
    </w:p>
    <w:p w14:paraId="47528736" w14:textId="77777777" w:rsidR="000611D0" w:rsidRPr="00BC7097" w:rsidRDefault="000611D0" w:rsidP="000611D0">
      <w:pPr>
        <w:spacing w:before="120"/>
        <w:rPr>
          <w:rFonts w:cs="Arial"/>
          <w:b/>
          <w:sz w:val="28"/>
        </w:rPr>
      </w:pPr>
    </w:p>
    <w:p w14:paraId="441A0F1D" w14:textId="77777777" w:rsidR="000611D0" w:rsidRPr="00BC7097" w:rsidRDefault="000611D0" w:rsidP="000611D0">
      <w:pPr>
        <w:spacing w:before="120"/>
        <w:rPr>
          <w:rFonts w:cs="Arial"/>
          <w:b/>
          <w:sz w:val="28"/>
        </w:rPr>
      </w:pPr>
    </w:p>
    <w:p w14:paraId="36C2A5F9" w14:textId="77777777" w:rsidR="000611D0" w:rsidRPr="00BC7097" w:rsidRDefault="000611D0" w:rsidP="000611D0">
      <w:pPr>
        <w:spacing w:before="120"/>
        <w:jc w:val="center"/>
        <w:rPr>
          <w:rFonts w:cs="Arial"/>
          <w:b/>
          <w:sz w:val="28"/>
        </w:rPr>
      </w:pPr>
    </w:p>
    <w:p w14:paraId="64662483" w14:textId="59736236" w:rsidR="0072235F" w:rsidRDefault="0072235F" w:rsidP="0072235F">
      <w:pPr>
        <w:spacing w:before="120"/>
        <w:jc w:val="center"/>
        <w:rPr>
          <w:rFonts w:cs="Arial"/>
          <w:b/>
          <w:caps/>
          <w:sz w:val="32"/>
        </w:rPr>
      </w:pPr>
      <w:r w:rsidRPr="00BC7097">
        <w:rPr>
          <w:rFonts w:cs="Arial"/>
          <w:b/>
          <w:caps/>
          <w:sz w:val="32"/>
        </w:rPr>
        <w:t xml:space="preserve">MISSIONS DE COORDINATION en matière de securite et de protection de la santé </w:t>
      </w:r>
      <w:bookmarkStart w:id="1" w:name="_Hlk143253679"/>
      <w:r w:rsidRPr="00BC7097">
        <w:rPr>
          <w:rFonts w:cs="Arial"/>
          <w:b/>
          <w:caps/>
          <w:sz w:val="32"/>
        </w:rPr>
        <w:t xml:space="preserve">POUR LES OPERATIONS DE TRAVAUX </w:t>
      </w:r>
      <w:bookmarkEnd w:id="1"/>
      <w:r w:rsidRPr="00BC7097">
        <w:rPr>
          <w:rFonts w:cs="Arial"/>
          <w:b/>
          <w:caps/>
          <w:sz w:val="32"/>
        </w:rPr>
        <w:t xml:space="preserve">en </w:t>
      </w:r>
      <w:r w:rsidR="00F46C22">
        <w:rPr>
          <w:rFonts w:cs="Arial"/>
          <w:b/>
          <w:caps/>
          <w:sz w:val="32"/>
        </w:rPr>
        <w:t>MARTINIQUE</w:t>
      </w:r>
    </w:p>
    <w:p w14:paraId="7CDDD877" w14:textId="77777777" w:rsidR="00453FC0" w:rsidRPr="00BC7097" w:rsidRDefault="00453FC0" w:rsidP="0072235F">
      <w:pPr>
        <w:spacing w:before="120"/>
        <w:jc w:val="center"/>
        <w:rPr>
          <w:rFonts w:cs="Arial"/>
          <w:b/>
          <w:caps/>
          <w:sz w:val="32"/>
        </w:rPr>
      </w:pPr>
    </w:p>
    <w:p w14:paraId="3D939460" w14:textId="77777777" w:rsidR="000611D0" w:rsidRPr="00BC7097" w:rsidRDefault="000611D0" w:rsidP="000611D0">
      <w:pPr>
        <w:spacing w:before="120"/>
        <w:jc w:val="center"/>
        <w:rPr>
          <w:rFonts w:cs="Arial"/>
          <w:sz w:val="28"/>
        </w:rPr>
      </w:pPr>
    </w:p>
    <w:p w14:paraId="61AFF818" w14:textId="77777777" w:rsidR="000611D0" w:rsidRPr="00BC7097" w:rsidRDefault="000611D0" w:rsidP="000611D0">
      <w:pPr>
        <w:spacing w:before="120"/>
        <w:jc w:val="center"/>
        <w:rPr>
          <w:rFonts w:cs="Arial"/>
          <w:sz w:val="28"/>
        </w:rPr>
      </w:pPr>
    </w:p>
    <w:p w14:paraId="36CDAD07" w14:textId="77777777" w:rsidR="000611D0" w:rsidRPr="00BC7097" w:rsidRDefault="000611D0" w:rsidP="000611D0">
      <w:pPr>
        <w:spacing w:before="120"/>
        <w:jc w:val="center"/>
        <w:rPr>
          <w:rFonts w:cs="Arial"/>
          <w:sz w:val="28"/>
        </w:rPr>
      </w:pPr>
    </w:p>
    <w:p w14:paraId="0B73A622" w14:textId="77777777" w:rsidR="000611D0" w:rsidRPr="00BC7097" w:rsidRDefault="000611D0" w:rsidP="000611D0">
      <w:pPr>
        <w:pBdr>
          <w:top w:val="single" w:sz="4" w:space="1" w:color="auto"/>
          <w:left w:val="single" w:sz="4" w:space="4" w:color="auto"/>
          <w:bottom w:val="single" w:sz="4" w:space="1" w:color="auto"/>
          <w:right w:val="single" w:sz="4" w:space="4" w:color="auto"/>
        </w:pBdr>
        <w:spacing w:before="120"/>
        <w:jc w:val="center"/>
        <w:rPr>
          <w:rFonts w:cs="Arial"/>
          <w:sz w:val="28"/>
        </w:rPr>
      </w:pPr>
      <w:r w:rsidRPr="00BC7097">
        <w:rPr>
          <w:rFonts w:cs="Arial"/>
          <w:b/>
          <w:i/>
          <w:caps/>
          <w:sz w:val="28"/>
        </w:rPr>
        <w:t>Règlement de consultation (RC)</w:t>
      </w:r>
    </w:p>
    <w:p w14:paraId="6EB92FDB" w14:textId="77777777" w:rsidR="000611D0" w:rsidRPr="00BC7097" w:rsidRDefault="000611D0" w:rsidP="000611D0">
      <w:pPr>
        <w:spacing w:before="120"/>
        <w:jc w:val="center"/>
        <w:rPr>
          <w:rFonts w:cs="Arial"/>
          <w:sz w:val="28"/>
        </w:rPr>
      </w:pPr>
    </w:p>
    <w:p w14:paraId="516DC5AA" w14:textId="77777777" w:rsidR="000611D0" w:rsidRPr="00A21D03" w:rsidRDefault="000611D0" w:rsidP="000611D0">
      <w:pPr>
        <w:spacing w:before="120"/>
        <w:jc w:val="center"/>
        <w:rPr>
          <w:rFonts w:cs="Arial"/>
          <w:sz w:val="28"/>
        </w:rPr>
      </w:pPr>
    </w:p>
    <w:p w14:paraId="7B44F42E" w14:textId="77777777" w:rsidR="00D92134" w:rsidRPr="00010EB4" w:rsidRDefault="00D92134" w:rsidP="00D92134">
      <w:pPr>
        <w:pStyle w:val="En-tte"/>
        <w:spacing w:before="0"/>
        <w:ind w:left="3260"/>
        <w:rPr>
          <w:rFonts w:ascii="Verdana" w:hAnsi="Verdana" w:cs="Arial"/>
          <w:b/>
          <w:sz w:val="32"/>
          <w:szCs w:val="32"/>
        </w:rPr>
      </w:pPr>
    </w:p>
    <w:p w14:paraId="1F58785B" w14:textId="77777777" w:rsidR="00D92134" w:rsidRDefault="00D92134" w:rsidP="00D92134">
      <w:pPr>
        <w:spacing w:before="278"/>
        <w:rPr>
          <w:rFonts w:ascii="Verdana" w:hAnsi="Verdana"/>
          <w:sz w:val="32"/>
          <w:szCs w:val="32"/>
        </w:rPr>
      </w:pPr>
    </w:p>
    <w:p w14:paraId="200E076A" w14:textId="77777777" w:rsidR="000611D0" w:rsidRPr="00A632D9" w:rsidRDefault="000611D0" w:rsidP="00D92134">
      <w:pPr>
        <w:spacing w:before="278"/>
        <w:rPr>
          <w:sz w:val="32"/>
          <w:szCs w:val="32"/>
        </w:rPr>
      </w:pPr>
    </w:p>
    <w:p w14:paraId="553F2481" w14:textId="77777777" w:rsidR="00CD1654" w:rsidRPr="00A632D9" w:rsidRDefault="00D92134" w:rsidP="00034041">
      <w:pPr>
        <w:jc w:val="center"/>
        <w:rPr>
          <w:rFonts w:cs="Arial"/>
          <w:sz w:val="28"/>
        </w:rPr>
      </w:pPr>
      <w:r w:rsidRPr="00A632D9">
        <w:rPr>
          <w:rFonts w:cs="Arial"/>
          <w:b/>
        </w:rPr>
        <w:t>DATE ET HEURE LIMITES DE REMISE DES OFFRES</w:t>
      </w:r>
      <w:r w:rsidRPr="00A632D9">
        <w:rPr>
          <w:rFonts w:cs="Arial"/>
          <w:sz w:val="28"/>
        </w:rPr>
        <w:t xml:space="preserve"> :</w:t>
      </w:r>
    </w:p>
    <w:p w14:paraId="0FEBA3F3" w14:textId="77B38D04" w:rsidR="00A45D43" w:rsidRPr="00084930" w:rsidRDefault="00210877" w:rsidP="00A45D43">
      <w:pPr>
        <w:jc w:val="center"/>
        <w:rPr>
          <w:rFonts w:ascii="Verdana" w:hAnsi="Verdana" w:cs="Arial"/>
          <w:b/>
          <w:sz w:val="28"/>
        </w:rPr>
      </w:pPr>
      <w:r>
        <w:rPr>
          <w:rFonts w:ascii="Verdana" w:hAnsi="Verdana" w:cs="Arial"/>
          <w:b/>
          <w:sz w:val="28"/>
        </w:rPr>
        <w:t>31 mai 2025</w:t>
      </w:r>
      <w:r w:rsidR="00A45D43" w:rsidRPr="000D6EA3">
        <w:rPr>
          <w:rFonts w:ascii="Verdana" w:hAnsi="Verdana" w:cs="Arial"/>
          <w:b/>
          <w:sz w:val="28"/>
        </w:rPr>
        <w:t xml:space="preserve"> à 1</w:t>
      </w:r>
      <w:r w:rsidR="000D6EA3" w:rsidRPr="000D6EA3">
        <w:rPr>
          <w:rFonts w:ascii="Verdana" w:hAnsi="Verdana" w:cs="Arial"/>
          <w:b/>
          <w:sz w:val="28"/>
        </w:rPr>
        <w:t>2</w:t>
      </w:r>
      <w:r w:rsidR="00A45D43" w:rsidRPr="000D6EA3">
        <w:rPr>
          <w:rFonts w:ascii="Verdana" w:hAnsi="Verdana" w:cs="Arial"/>
          <w:b/>
          <w:sz w:val="28"/>
        </w:rPr>
        <w:t>H00 (heure de Paris)</w:t>
      </w:r>
    </w:p>
    <w:p w14:paraId="26B0EF99" w14:textId="77777777" w:rsidR="00D92134" w:rsidRDefault="00D92134" w:rsidP="00D92134">
      <w:pPr>
        <w:jc w:val="center"/>
        <w:rPr>
          <w:b/>
          <w:sz w:val="22"/>
          <w:szCs w:val="22"/>
        </w:rPr>
      </w:pPr>
    </w:p>
    <w:p w14:paraId="23A66E24" w14:textId="6767E18B" w:rsidR="00A61AF0" w:rsidRDefault="000611D0">
      <w:pPr>
        <w:spacing w:before="0" w:line="240" w:lineRule="auto"/>
        <w:jc w:val="left"/>
        <w:rPr>
          <w:b/>
          <w:color w:val="1F3864" w:themeColor="accent1" w:themeShade="80"/>
          <w:sz w:val="24"/>
        </w:rPr>
      </w:pPr>
      <w:bookmarkStart w:id="2" w:name="_Toc30923326"/>
      <w:bookmarkStart w:id="3" w:name="_Toc114385076"/>
      <w:r>
        <w:br w:type="page"/>
      </w:r>
    </w:p>
    <w:p w14:paraId="6CE47A0D" w14:textId="6A48813E" w:rsidR="00841F1D" w:rsidRPr="00034041" w:rsidRDefault="00A576A5" w:rsidP="00A632D9">
      <w:pPr>
        <w:pStyle w:val="Titre2"/>
      </w:pPr>
      <w:bookmarkStart w:id="4" w:name="_Toc143763765"/>
      <w:r w:rsidRPr="00034041">
        <w:lastRenderedPageBreak/>
        <w:t>OBJET</w:t>
      </w:r>
      <w:bookmarkEnd w:id="2"/>
      <w:r w:rsidRPr="00034041">
        <w:t xml:space="preserve"> DE LA </w:t>
      </w:r>
      <w:r w:rsidRPr="00A632D9">
        <w:t>CONSULTATION</w:t>
      </w:r>
      <w:bookmarkStart w:id="5" w:name="_Toc30923327"/>
      <w:bookmarkStart w:id="6" w:name="_Toc114385077"/>
      <w:bookmarkEnd w:id="3"/>
      <w:bookmarkEnd w:id="4"/>
    </w:p>
    <w:p w14:paraId="5C24867F" w14:textId="41DEC461" w:rsidR="006E3749" w:rsidRDefault="005A6C8E" w:rsidP="00A632D9">
      <w:r w:rsidRPr="005A6C8E">
        <w:t>L</w:t>
      </w:r>
      <w:r w:rsidR="006E3749">
        <w:t xml:space="preserve">a présente consultation a pour objet </w:t>
      </w:r>
      <w:r w:rsidR="006E3749" w:rsidRPr="003E09D9">
        <w:t xml:space="preserve">des missions </w:t>
      </w:r>
      <w:r w:rsidR="006E3749">
        <w:t xml:space="preserve">de coordination en matière de sécurité et de protection de la santé </w:t>
      </w:r>
      <w:r w:rsidR="006E3749" w:rsidRPr="005A6C8E">
        <w:t xml:space="preserve">dans le cadre des </w:t>
      </w:r>
      <w:r w:rsidR="006E3749">
        <w:t xml:space="preserve">travaux au sein réalisés sous maîtrise d’ouvrage APIJ en </w:t>
      </w:r>
      <w:r w:rsidR="00F46C22">
        <w:t>Martinique</w:t>
      </w:r>
      <w:r w:rsidR="006E3749">
        <w:t xml:space="preserve"> pour un montant de travaux inférieur à 1 500 000€ HT, principalement en site occupé.</w:t>
      </w:r>
    </w:p>
    <w:p w14:paraId="5714D70E" w14:textId="3E35B92E" w:rsidR="003E09D9" w:rsidRDefault="003E09D9" w:rsidP="006E3749"/>
    <w:p w14:paraId="558B07DB" w14:textId="4E4651AB" w:rsidR="005A6C8E" w:rsidRDefault="0091011D" w:rsidP="00581668">
      <w:pPr>
        <w:rPr>
          <w:szCs w:val="18"/>
        </w:rPr>
      </w:pPr>
      <w:r>
        <w:rPr>
          <w:szCs w:val="18"/>
        </w:rPr>
        <w:t>Il a été fixé un maximum de 1</w:t>
      </w:r>
      <w:r w:rsidR="00E5344A">
        <w:rPr>
          <w:szCs w:val="18"/>
        </w:rPr>
        <w:t>39</w:t>
      </w:r>
      <w:r>
        <w:rPr>
          <w:szCs w:val="18"/>
        </w:rPr>
        <w:t> 000€</w:t>
      </w:r>
      <w:r w:rsidR="00594543">
        <w:rPr>
          <w:szCs w:val="18"/>
        </w:rPr>
        <w:t xml:space="preserve"> HT</w:t>
      </w:r>
      <w:r w:rsidR="009D7EBE">
        <w:rPr>
          <w:szCs w:val="18"/>
        </w:rPr>
        <w:t xml:space="preserve"> et aucun minimum au montant de </w:t>
      </w:r>
      <w:r w:rsidR="00642772">
        <w:rPr>
          <w:szCs w:val="18"/>
        </w:rPr>
        <w:t>l’accord-cadre</w:t>
      </w:r>
      <w:r>
        <w:rPr>
          <w:szCs w:val="18"/>
        </w:rPr>
        <w:t xml:space="preserve"> sur l’ensemble de sa durée.</w:t>
      </w:r>
    </w:p>
    <w:p w14:paraId="1CE1A8E9" w14:textId="77777777" w:rsidR="00A632D9" w:rsidRDefault="00A632D9" w:rsidP="00581668">
      <w:pPr>
        <w:rPr>
          <w:szCs w:val="18"/>
        </w:rPr>
      </w:pPr>
    </w:p>
    <w:p w14:paraId="51B9393E" w14:textId="30C0C6BE" w:rsidR="00A576A5" w:rsidRPr="00034041" w:rsidRDefault="00A576A5" w:rsidP="00A632D9">
      <w:pPr>
        <w:pStyle w:val="Titre2"/>
      </w:pPr>
      <w:bookmarkStart w:id="7" w:name="_Toc143763766"/>
      <w:r w:rsidRPr="00581668">
        <w:t>CONDITIONS</w:t>
      </w:r>
      <w:r w:rsidRPr="00034041">
        <w:t xml:space="preserve"> </w:t>
      </w:r>
      <w:bookmarkEnd w:id="5"/>
      <w:r w:rsidRPr="00034041">
        <w:t xml:space="preserve">DE LA </w:t>
      </w:r>
      <w:r w:rsidRPr="00A632D9">
        <w:t>CONSULTATION</w:t>
      </w:r>
      <w:bookmarkEnd w:id="6"/>
      <w:bookmarkEnd w:id="7"/>
    </w:p>
    <w:p w14:paraId="49D5F3D0" w14:textId="6B4D55CB" w:rsidR="00FA63C1" w:rsidRPr="00CC49D0" w:rsidRDefault="00A576A5" w:rsidP="00A632D9">
      <w:pPr>
        <w:pStyle w:val="Titre3"/>
      </w:pPr>
      <w:bookmarkStart w:id="8" w:name="_Toc30923328"/>
      <w:bookmarkStart w:id="9" w:name="_Toc114385078"/>
      <w:bookmarkStart w:id="10" w:name="_Toc143763767"/>
      <w:r w:rsidRPr="00034041">
        <w:t xml:space="preserve">Mode </w:t>
      </w:r>
      <w:bookmarkEnd w:id="8"/>
      <w:bookmarkEnd w:id="9"/>
      <w:r w:rsidRPr="00034041">
        <w:t xml:space="preserve">de </w:t>
      </w:r>
      <w:r w:rsidRPr="00A632D9">
        <w:t>passation</w:t>
      </w:r>
      <w:bookmarkStart w:id="11" w:name="_Toc30923329"/>
      <w:bookmarkStart w:id="12" w:name="_Toc114385079"/>
      <w:bookmarkEnd w:id="10"/>
    </w:p>
    <w:p w14:paraId="2FF748CE" w14:textId="61FF348E" w:rsidR="00BB1917" w:rsidRDefault="00FA63C1" w:rsidP="00581668">
      <w:pPr>
        <w:rPr>
          <w:rFonts w:cs="Arial"/>
          <w:szCs w:val="18"/>
        </w:rPr>
      </w:pPr>
      <w:r w:rsidRPr="00A632D9">
        <w:t>Il s'agit d'</w:t>
      </w:r>
      <w:r w:rsidR="00047D72" w:rsidRPr="00A632D9">
        <w:t xml:space="preserve">un </w:t>
      </w:r>
      <w:r w:rsidR="00097EE0" w:rsidRPr="00A632D9">
        <w:t xml:space="preserve">accord-cadre </w:t>
      </w:r>
      <w:r w:rsidR="00D734CB" w:rsidRPr="00A632D9">
        <w:t>mono</w:t>
      </w:r>
      <w:r w:rsidR="0095414C" w:rsidRPr="00A632D9">
        <w:t>-attributaire</w:t>
      </w:r>
      <w:r w:rsidRPr="00A632D9">
        <w:t xml:space="preserve"> </w:t>
      </w:r>
      <w:r w:rsidR="00E5344A" w:rsidRPr="00E5344A">
        <w:t>passé en procédure adaptée en application des articles R2162-1 et suivants du Code de la commande publique</w:t>
      </w:r>
      <w:r w:rsidR="00E5344A">
        <w:t>.</w:t>
      </w:r>
      <w:r w:rsidR="00E5344A" w:rsidRPr="00E5344A">
        <w:t xml:space="preserve"> </w:t>
      </w:r>
    </w:p>
    <w:p w14:paraId="17C2B653" w14:textId="2713B953" w:rsidR="00E5344A" w:rsidRPr="00E5344A" w:rsidRDefault="00047D72" w:rsidP="00E5344A">
      <w:pPr>
        <w:rPr>
          <w:rFonts w:cs="Arial"/>
          <w:szCs w:val="18"/>
        </w:rPr>
      </w:pPr>
      <w:r>
        <w:rPr>
          <w:rFonts w:cs="Arial"/>
          <w:szCs w:val="18"/>
        </w:rPr>
        <w:t>Cet accord-cadre</w:t>
      </w:r>
      <w:r w:rsidR="00FA63C1" w:rsidRPr="00BC274C">
        <w:rPr>
          <w:rFonts w:cs="Arial"/>
          <w:szCs w:val="18"/>
        </w:rPr>
        <w:t xml:space="preserve"> s'exécute</w:t>
      </w:r>
      <w:r w:rsidR="00BB1917">
        <w:rPr>
          <w:rFonts w:cs="Arial"/>
          <w:szCs w:val="18"/>
        </w:rPr>
        <w:t>ra</w:t>
      </w:r>
      <w:r w:rsidR="00FA63C1" w:rsidRPr="00BC274C">
        <w:rPr>
          <w:rFonts w:cs="Arial"/>
          <w:szCs w:val="18"/>
        </w:rPr>
        <w:t xml:space="preserve"> au fur et à mesure des besoins par</w:t>
      </w:r>
      <w:r w:rsidR="00B10158">
        <w:rPr>
          <w:rFonts w:cs="Arial"/>
          <w:szCs w:val="18"/>
        </w:rPr>
        <w:t xml:space="preserve"> émission</w:t>
      </w:r>
      <w:r w:rsidR="00FA63C1" w:rsidRPr="00BC274C">
        <w:rPr>
          <w:rFonts w:cs="Arial"/>
          <w:szCs w:val="18"/>
        </w:rPr>
        <w:t xml:space="preserve"> des bons de commande </w:t>
      </w:r>
      <w:r w:rsidR="003E5706">
        <w:rPr>
          <w:rFonts w:cs="Arial"/>
          <w:szCs w:val="18"/>
        </w:rPr>
        <w:t xml:space="preserve">et des marchés subséquents </w:t>
      </w:r>
      <w:r w:rsidR="00FA63C1" w:rsidRPr="00BC274C">
        <w:rPr>
          <w:rFonts w:cs="Arial"/>
          <w:szCs w:val="18"/>
        </w:rPr>
        <w:t xml:space="preserve">notifiés au titulaire </w:t>
      </w:r>
      <w:r w:rsidR="00E5344A" w:rsidRPr="00E5344A">
        <w:rPr>
          <w:rFonts w:cs="Arial"/>
          <w:szCs w:val="18"/>
        </w:rPr>
        <w:t>dans les conditions fixées aux articles R.2162-7 à -12 du Code de la commande publique.</w:t>
      </w:r>
    </w:p>
    <w:p w14:paraId="7AAC2709" w14:textId="3B184AE0" w:rsidR="005F27F4" w:rsidRPr="00034041" w:rsidRDefault="005F27F4" w:rsidP="00A632D9">
      <w:pPr>
        <w:pStyle w:val="Titre3"/>
      </w:pPr>
      <w:bookmarkStart w:id="13" w:name="_Toc142491293"/>
      <w:bookmarkStart w:id="14" w:name="_Toc143763768"/>
      <w:bookmarkStart w:id="15" w:name="_Toc30923330"/>
      <w:bookmarkStart w:id="16" w:name="_Toc114385080"/>
      <w:bookmarkEnd w:id="11"/>
      <w:bookmarkEnd w:id="12"/>
      <w:bookmarkEnd w:id="13"/>
      <w:r w:rsidRPr="00034041">
        <w:t>Variantes</w:t>
      </w:r>
      <w:bookmarkEnd w:id="14"/>
    </w:p>
    <w:p w14:paraId="39628E4A" w14:textId="77777777" w:rsidR="005F27F4" w:rsidRPr="00034041" w:rsidRDefault="005F27F4" w:rsidP="00A632D9">
      <w:r w:rsidRPr="00034041">
        <w:t>Les variantes ne sont pas autorisées.</w:t>
      </w:r>
    </w:p>
    <w:p w14:paraId="14F976D7" w14:textId="7165DDB3" w:rsidR="00A576A5" w:rsidRPr="00034041" w:rsidRDefault="00724EB4" w:rsidP="00A632D9">
      <w:pPr>
        <w:pStyle w:val="Titre3"/>
      </w:pPr>
      <w:bookmarkStart w:id="17" w:name="_Toc143763769"/>
      <w:r>
        <w:t>D</w:t>
      </w:r>
      <w:r w:rsidR="00A576A5" w:rsidRPr="00581668">
        <w:t>élais</w:t>
      </w:r>
      <w:r w:rsidR="00A576A5" w:rsidRPr="00034041">
        <w:t xml:space="preserve"> d’exécution</w:t>
      </w:r>
      <w:bookmarkEnd w:id="15"/>
      <w:bookmarkEnd w:id="16"/>
      <w:bookmarkEnd w:id="17"/>
      <w:r w:rsidR="00A576A5" w:rsidRPr="00034041">
        <w:t xml:space="preserve"> </w:t>
      </w:r>
    </w:p>
    <w:p w14:paraId="2B95FA3A" w14:textId="175CC971" w:rsidR="00724EB4" w:rsidRPr="00034041" w:rsidRDefault="009678D5" w:rsidP="00596C0A">
      <w:r>
        <w:t>L</w:t>
      </w:r>
      <w:r w:rsidR="00F47291">
        <w:t>es</w:t>
      </w:r>
      <w:r w:rsidR="00A576A5" w:rsidRPr="00034041">
        <w:t xml:space="preserve"> délais d’exécution</w:t>
      </w:r>
      <w:r w:rsidR="005B30B0" w:rsidRPr="00034041">
        <w:t xml:space="preserve"> pour les prestations objet </w:t>
      </w:r>
      <w:r w:rsidRPr="00966558">
        <w:t xml:space="preserve">des bons de commande </w:t>
      </w:r>
      <w:r>
        <w:t xml:space="preserve">et des marchés subséquents </w:t>
      </w:r>
      <w:r w:rsidR="00380117" w:rsidRPr="00034041">
        <w:t>sont</w:t>
      </w:r>
      <w:r w:rsidR="005B30B0" w:rsidRPr="00034041">
        <w:t xml:space="preserve"> fixé</w:t>
      </w:r>
      <w:r w:rsidR="00380117" w:rsidRPr="00034041">
        <w:t>s</w:t>
      </w:r>
      <w:r w:rsidR="005B30B0" w:rsidRPr="00034041">
        <w:t xml:space="preserve"> à l’article 6 de l’</w:t>
      </w:r>
      <w:r w:rsidR="00A93E88">
        <w:t>A</w:t>
      </w:r>
      <w:r w:rsidR="005B30B0" w:rsidRPr="00034041">
        <w:t>cte d’</w:t>
      </w:r>
      <w:r w:rsidR="00A93E88">
        <w:t>E</w:t>
      </w:r>
      <w:r w:rsidR="005B30B0" w:rsidRPr="00034041">
        <w:t xml:space="preserve">ngagement. </w:t>
      </w:r>
    </w:p>
    <w:p w14:paraId="33AD6082" w14:textId="5DA8B90F" w:rsidR="00DA3B25" w:rsidRPr="00034041" w:rsidRDefault="00CF1916" w:rsidP="00A632D9">
      <w:pPr>
        <w:pStyle w:val="Titre3"/>
      </w:pPr>
      <w:bookmarkStart w:id="18" w:name="_Toc143763770"/>
      <w:r w:rsidRPr="00034041">
        <w:t>Lieu</w:t>
      </w:r>
      <w:r w:rsidR="00DA3B25" w:rsidRPr="00034041">
        <w:t xml:space="preserve"> d’exécution</w:t>
      </w:r>
      <w:bookmarkEnd w:id="18"/>
      <w:r w:rsidR="00DA3B25" w:rsidRPr="00034041">
        <w:t xml:space="preserve"> </w:t>
      </w:r>
    </w:p>
    <w:p w14:paraId="1D5C221C" w14:textId="285540E0" w:rsidR="003527C3" w:rsidRPr="00034041" w:rsidRDefault="00DA3B25" w:rsidP="00596C0A">
      <w:r w:rsidRPr="00034041">
        <w:t>Le</w:t>
      </w:r>
      <w:r w:rsidR="00370050">
        <w:t xml:space="preserve"> </w:t>
      </w:r>
      <w:r w:rsidRPr="00034041">
        <w:t xml:space="preserve">lieu d’exécution des prestations </w:t>
      </w:r>
      <w:r w:rsidR="00370050">
        <w:t xml:space="preserve">est la </w:t>
      </w:r>
      <w:r w:rsidR="00F46C22">
        <w:t>Martinique.</w:t>
      </w:r>
      <w:r w:rsidR="00E5344A">
        <w:t xml:space="preserve"> </w:t>
      </w:r>
      <w:r w:rsidR="00E5344A" w:rsidRPr="00E5344A">
        <w:t>Le lieu précis sera fixé dans chaque bon de commande et/ou le marché subséquent.</w:t>
      </w:r>
    </w:p>
    <w:p w14:paraId="72955F90" w14:textId="76291072" w:rsidR="00A576A5" w:rsidRPr="00034041" w:rsidRDefault="00A576A5" w:rsidP="00A632D9">
      <w:pPr>
        <w:pStyle w:val="Titre3"/>
      </w:pPr>
      <w:bookmarkStart w:id="19" w:name="_Toc30923331"/>
      <w:bookmarkStart w:id="20" w:name="_Toc114385081"/>
      <w:bookmarkStart w:id="21" w:name="_Toc143763771"/>
      <w:r w:rsidRPr="00034041">
        <w:t>Délai de validité des offres</w:t>
      </w:r>
      <w:bookmarkEnd w:id="19"/>
      <w:bookmarkEnd w:id="20"/>
      <w:bookmarkEnd w:id="21"/>
    </w:p>
    <w:p w14:paraId="67801DE2" w14:textId="0CBF632F" w:rsidR="00A576A5" w:rsidRPr="00034041" w:rsidRDefault="00A576A5" w:rsidP="00596C0A">
      <w:r w:rsidRPr="00034041">
        <w:t xml:space="preserve">Le délai de validité des offres est fixé à cent </w:t>
      </w:r>
      <w:proofErr w:type="gramStart"/>
      <w:r w:rsidRPr="00034041">
        <w:t>quatre</w:t>
      </w:r>
      <w:r w:rsidR="007672A7">
        <w:t>-</w:t>
      </w:r>
      <w:r w:rsidRPr="00034041">
        <w:t>vingt</w:t>
      </w:r>
      <w:proofErr w:type="gramEnd"/>
      <w:r w:rsidRPr="00034041">
        <w:t xml:space="preserve"> (180</w:t>
      </w:r>
      <w:r w:rsidR="00A632D9">
        <w:t>)</w:t>
      </w:r>
      <w:r w:rsidRPr="00034041">
        <w:t xml:space="preserve"> jours à compter de la date limite de remise des offres indiquée en page de garde du présent </w:t>
      </w:r>
      <w:r w:rsidR="00E5344A">
        <w:t>r</w:t>
      </w:r>
      <w:r w:rsidRPr="00034041">
        <w:t>èglement</w:t>
      </w:r>
      <w:r w:rsidR="00A93E88">
        <w:t xml:space="preserve"> de </w:t>
      </w:r>
      <w:r w:rsidR="00E5344A">
        <w:t>c</w:t>
      </w:r>
      <w:r w:rsidR="007672A7">
        <w:t>onsultation</w:t>
      </w:r>
      <w:r w:rsidRPr="00034041">
        <w:t>.</w:t>
      </w:r>
    </w:p>
    <w:p w14:paraId="390749A2" w14:textId="7BA8334D" w:rsidR="00566F20" w:rsidRPr="00CC49D0" w:rsidRDefault="00403FB2" w:rsidP="00A632D9">
      <w:pPr>
        <w:pStyle w:val="Titre3"/>
      </w:pPr>
      <w:bookmarkStart w:id="22" w:name="_Toc143763772"/>
      <w:bookmarkStart w:id="23" w:name="_Toc114385082"/>
      <w:r>
        <w:t>Mode de dévolution</w:t>
      </w:r>
      <w:bookmarkEnd w:id="22"/>
    </w:p>
    <w:p w14:paraId="67A0A038" w14:textId="77777777" w:rsidR="00403FB2" w:rsidRPr="00403FB2" w:rsidRDefault="00047D72" w:rsidP="00A632D9">
      <w:r>
        <w:t>L</w:t>
      </w:r>
      <w:r w:rsidR="00403FB2" w:rsidRPr="00403FB2">
        <w:t>a consultation est ouverte :</w:t>
      </w:r>
    </w:p>
    <w:p w14:paraId="182F726B" w14:textId="77777777" w:rsidR="00403FB2" w:rsidRDefault="00403FB2" w:rsidP="00A632D9">
      <w:pPr>
        <w:pStyle w:val="Paragraphedeliste"/>
        <w:numPr>
          <w:ilvl w:val="0"/>
          <w:numId w:val="48"/>
        </w:numPr>
      </w:pPr>
      <w:proofErr w:type="gramStart"/>
      <w:r w:rsidRPr="00403FB2">
        <w:t>aux</w:t>
      </w:r>
      <w:proofErr w:type="gramEnd"/>
      <w:r w:rsidRPr="00403FB2">
        <w:t xml:space="preserve"> prestataires individuels susceptibles d’exécuter les prest</w:t>
      </w:r>
      <w:r>
        <w:t>ations par leurs moyens propres,</w:t>
      </w:r>
    </w:p>
    <w:p w14:paraId="3EA55FD8" w14:textId="2CC6C57A" w:rsidR="00CA2927" w:rsidRDefault="00403FB2" w:rsidP="00CA2927">
      <w:pPr>
        <w:pStyle w:val="Paragraphedeliste"/>
        <w:numPr>
          <w:ilvl w:val="0"/>
          <w:numId w:val="48"/>
        </w:numPr>
      </w:pPr>
      <w:proofErr w:type="gramStart"/>
      <w:r w:rsidRPr="00BC274C">
        <w:t>aux</w:t>
      </w:r>
      <w:proofErr w:type="gramEnd"/>
      <w:r w:rsidRPr="00BC274C">
        <w:t xml:space="preserve"> groupements </w:t>
      </w:r>
      <w:r w:rsidR="006D703C">
        <w:t>solidaire</w:t>
      </w:r>
      <w:r w:rsidR="00596C0A">
        <w:t>s</w:t>
      </w:r>
      <w:r w:rsidR="006D703C">
        <w:t>.</w:t>
      </w:r>
    </w:p>
    <w:p w14:paraId="739BD1AA" w14:textId="018CF889" w:rsidR="00CA2927" w:rsidRDefault="00CA2927" w:rsidP="00A632D9">
      <w:r>
        <w:t xml:space="preserve">En raison de la nature des prestations faisant objet de la présente consultation et de leur forte </w:t>
      </w:r>
      <w:r w:rsidRPr="00CA2927">
        <w:t>imbrication</w:t>
      </w:r>
      <w:r>
        <w:t xml:space="preserve">, l’acheteur entend s’assurer que </w:t>
      </w:r>
      <w:r w:rsidRPr="00CA2927">
        <w:t xml:space="preserve">chacun des prestataires membres du </w:t>
      </w:r>
      <w:r>
        <w:t>groupement</w:t>
      </w:r>
      <w:r w:rsidRPr="00CA2927">
        <w:t xml:space="preserve"> soit en</w:t>
      </w:r>
      <w:r>
        <w:t xml:space="preserve">gagé sur la </w:t>
      </w:r>
      <w:r w:rsidRPr="00CA2927">
        <w:t>totalité du</w:t>
      </w:r>
      <w:r>
        <w:t xml:space="preserve"> marché. C’est la raison pour laquelle le groupement attributaire sera solidaire.</w:t>
      </w:r>
    </w:p>
    <w:p w14:paraId="49E2E141" w14:textId="745C6391" w:rsidR="00A576A5" w:rsidRPr="00034041" w:rsidRDefault="00A576A5" w:rsidP="00A632D9">
      <w:pPr>
        <w:pStyle w:val="Titre3"/>
      </w:pPr>
      <w:bookmarkStart w:id="24" w:name="_Toc143763773"/>
      <w:r w:rsidRPr="00034041">
        <w:t>Modifications de détail au dossier de consultation</w:t>
      </w:r>
      <w:bookmarkEnd w:id="23"/>
      <w:bookmarkEnd w:id="24"/>
    </w:p>
    <w:p w14:paraId="1FE86158" w14:textId="46066E54" w:rsidR="00A576A5" w:rsidRPr="00034041" w:rsidRDefault="00A576A5" w:rsidP="00A632D9">
      <w:r w:rsidRPr="00034041">
        <w:t xml:space="preserve">Le pouvoir adjudicateur se réserve le droit d’apporter, au plus tard </w:t>
      </w:r>
      <w:r w:rsidR="00E17418">
        <w:t>7</w:t>
      </w:r>
      <w:r w:rsidR="00E17418" w:rsidRPr="00034041">
        <w:t xml:space="preserve"> </w:t>
      </w:r>
      <w:r w:rsidRPr="00034041">
        <w:t xml:space="preserve">jours </w:t>
      </w:r>
      <w:r w:rsidR="00E17418">
        <w:t xml:space="preserve">calendaires </w:t>
      </w:r>
      <w:r w:rsidRPr="00034041">
        <w:t>avant la date limite fixée pour la remise des offres, des modifications de détail au dossier de consultation. Les candidats devront alors répondre sur la base du dossier modifié sans pouvoir élever aucune réclamation à ce sujet.</w:t>
      </w:r>
    </w:p>
    <w:p w14:paraId="30EB2192" w14:textId="77777777" w:rsidR="00F41AFA" w:rsidRPr="00034041" w:rsidRDefault="00A576A5" w:rsidP="00A632D9">
      <w:r w:rsidRPr="00034041">
        <w:t>Si, pendant l’étude du dossier par les candidats, la date limite fixée pour la remise des offres est reportée, la disposition précédente est applicable en fonction de cette nouvelle date.</w:t>
      </w:r>
    </w:p>
    <w:p w14:paraId="4773A525" w14:textId="69A648AA" w:rsidR="00A576A5" w:rsidRPr="00034041" w:rsidRDefault="00A576A5" w:rsidP="00A632D9">
      <w:pPr>
        <w:pStyle w:val="Titre2"/>
      </w:pPr>
      <w:bookmarkStart w:id="25" w:name="_Toc30923332"/>
      <w:bookmarkStart w:id="26" w:name="_Toc114385083"/>
      <w:bookmarkStart w:id="27" w:name="_Toc143763774"/>
      <w:r w:rsidRPr="00034041">
        <w:lastRenderedPageBreak/>
        <w:t xml:space="preserve">PIECES CONSTITUTIVES </w:t>
      </w:r>
      <w:r w:rsidRPr="00A632D9">
        <w:t>DU</w:t>
      </w:r>
      <w:r w:rsidRPr="00034041">
        <w:t xml:space="preserve"> DOSSIER DE CONSULTATION</w:t>
      </w:r>
      <w:bookmarkEnd w:id="25"/>
      <w:bookmarkEnd w:id="26"/>
      <w:bookmarkEnd w:id="27"/>
    </w:p>
    <w:p w14:paraId="3A9364BE" w14:textId="77777777" w:rsidR="00A576A5" w:rsidRDefault="00A576A5" w:rsidP="00A632D9">
      <w:r w:rsidRPr="00034041">
        <w:t>Les pièces constitutives du dossier de consultation sont les suivantes :</w:t>
      </w:r>
    </w:p>
    <w:p w14:paraId="02C350F8" w14:textId="507AB343" w:rsidR="00DE0188" w:rsidRDefault="00CA2927">
      <w:pPr>
        <w:pStyle w:val="Paragraphedeliste"/>
        <w:numPr>
          <w:ilvl w:val="0"/>
          <w:numId w:val="49"/>
        </w:numPr>
      </w:pPr>
      <w:r>
        <w:t>L</w:t>
      </w:r>
      <w:r w:rsidR="00A576A5" w:rsidRPr="006A7A13">
        <w:t xml:space="preserve">e présent </w:t>
      </w:r>
      <w:r w:rsidR="00A93E88" w:rsidRPr="006A7A13">
        <w:t>R</w:t>
      </w:r>
      <w:r w:rsidR="00A576A5" w:rsidRPr="006A7A13">
        <w:t xml:space="preserve">èglement de </w:t>
      </w:r>
      <w:r w:rsidR="00A93E88" w:rsidRPr="006A7A13">
        <w:t>C</w:t>
      </w:r>
      <w:r w:rsidR="00A576A5" w:rsidRPr="006A7A13">
        <w:t>onsultation (RC)</w:t>
      </w:r>
      <w:r w:rsidR="00D575EA">
        <w:t xml:space="preserve"> et s</w:t>
      </w:r>
      <w:r w:rsidR="00C67DD0">
        <w:t>es</w:t>
      </w:r>
      <w:r w:rsidR="00DE0188">
        <w:t xml:space="preserve"> </w:t>
      </w:r>
      <w:r w:rsidR="00D575EA">
        <w:t>annexe</w:t>
      </w:r>
      <w:r w:rsidR="00C67DD0">
        <w:t>s</w:t>
      </w:r>
      <w:r w:rsidR="00DE0188">
        <w:rPr>
          <w:rFonts w:ascii="Calibri" w:hAnsi="Calibri" w:cs="Calibri"/>
        </w:rPr>
        <w:t> </w:t>
      </w:r>
      <w:r w:rsidR="00DE0188">
        <w:t>:</w:t>
      </w:r>
    </w:p>
    <w:p w14:paraId="7355D71F" w14:textId="08E0AC50" w:rsidR="00DE0188" w:rsidRDefault="00C67DD0" w:rsidP="00C67DD0">
      <w:pPr>
        <w:pStyle w:val="Paragraphedeliste"/>
        <w:ind w:left="1440"/>
      </w:pPr>
      <w:r>
        <w:t xml:space="preserve">1 - </w:t>
      </w:r>
      <w:r w:rsidR="00DE0188">
        <w:t>Cadre de réponse</w:t>
      </w:r>
      <w:r w:rsidR="00DE0188" w:rsidRPr="00C67DD0">
        <w:rPr>
          <w:rFonts w:ascii="Calibri" w:hAnsi="Calibri" w:cs="Calibri"/>
        </w:rPr>
        <w:t> </w:t>
      </w:r>
      <w:r w:rsidRPr="001A2F26">
        <w:t xml:space="preserve">relatif aux références du </w:t>
      </w:r>
      <w:r w:rsidR="001A2F26" w:rsidRPr="001A2F26">
        <w:t>candidat</w:t>
      </w:r>
      <w:r w:rsidR="001A2F26">
        <w:t xml:space="preserve"> ;</w:t>
      </w:r>
    </w:p>
    <w:p w14:paraId="42A7BF16" w14:textId="297FAE10" w:rsidR="00C67DD0" w:rsidRPr="00395F79" w:rsidRDefault="00C67DD0" w:rsidP="001A2F26">
      <w:pPr>
        <w:pStyle w:val="Paragraphedeliste"/>
        <w:ind w:left="1440"/>
      </w:pPr>
      <w:r>
        <w:t>2 - Cadre de réponse</w:t>
      </w:r>
      <w:r w:rsidRPr="00C67DD0">
        <w:rPr>
          <w:rFonts w:ascii="Calibri" w:hAnsi="Calibri" w:cs="Calibri"/>
        </w:rPr>
        <w:t> </w:t>
      </w:r>
      <w:r w:rsidRPr="00784344">
        <w:t>relatif aux</w:t>
      </w:r>
      <w:r>
        <w:t xml:space="preserve"> temps passés</w:t>
      </w:r>
      <w:r w:rsidR="00395F79" w:rsidRPr="0078670B">
        <w:rPr>
          <w:rFonts w:ascii="Calibri" w:hAnsi="Calibri" w:cs="Calibri"/>
        </w:rPr>
        <w:t> </w:t>
      </w:r>
      <w:r w:rsidR="00395F79" w:rsidRPr="00395F79">
        <w:t>;</w:t>
      </w:r>
    </w:p>
    <w:p w14:paraId="4DCF297C" w14:textId="65A6247C" w:rsidR="00395F79" w:rsidRDefault="00395F79" w:rsidP="001A2F26">
      <w:pPr>
        <w:pStyle w:val="Paragraphedeliste"/>
        <w:ind w:left="1440"/>
      </w:pPr>
      <w:r w:rsidRPr="00395F79">
        <w:t xml:space="preserve">3 – Le </w:t>
      </w:r>
      <w:r>
        <w:t xml:space="preserve">Détail Quantitatif Estimatif </w:t>
      </w:r>
      <w:r w:rsidR="006E3749">
        <w:t>(</w:t>
      </w:r>
      <w:proofErr w:type="gramStart"/>
      <w:r w:rsidR="006E3749">
        <w:t xml:space="preserve">DQE) </w:t>
      </w:r>
      <w:r>
        <w:rPr>
          <w:rFonts w:ascii="Calibri" w:hAnsi="Calibri" w:cs="Calibri"/>
        </w:rPr>
        <w:t> </w:t>
      </w:r>
      <w:r>
        <w:t>;</w:t>
      </w:r>
      <w:proofErr w:type="gramEnd"/>
    </w:p>
    <w:p w14:paraId="0504484F" w14:textId="6FBE6C58" w:rsidR="00EC2473" w:rsidRPr="006A7A13" w:rsidRDefault="00CA2927" w:rsidP="001A2F26">
      <w:pPr>
        <w:pStyle w:val="Paragraphedeliste"/>
        <w:numPr>
          <w:ilvl w:val="0"/>
          <w:numId w:val="49"/>
        </w:numPr>
      </w:pPr>
      <w:r>
        <w:t>L</w:t>
      </w:r>
      <w:r w:rsidR="00EC2473" w:rsidRPr="006A7A13">
        <w:t>’Acte d’Engagement (AE) et ses annexes</w:t>
      </w:r>
      <w:r>
        <w:t xml:space="preserve"> éventuelles</w:t>
      </w:r>
      <w:r w:rsidR="00EC2473" w:rsidRPr="00D575EA">
        <w:rPr>
          <w:rFonts w:ascii="Calibri" w:hAnsi="Calibri" w:cs="Calibri"/>
        </w:rPr>
        <w:t> </w:t>
      </w:r>
      <w:r w:rsidR="00EC2473" w:rsidRPr="006A7A13">
        <w:t>;</w:t>
      </w:r>
    </w:p>
    <w:p w14:paraId="1056A225" w14:textId="774F5C95" w:rsidR="00F47291" w:rsidRPr="00261085" w:rsidRDefault="00CA2927" w:rsidP="001A2F26">
      <w:pPr>
        <w:pStyle w:val="Paragraphedeliste"/>
        <w:numPr>
          <w:ilvl w:val="0"/>
          <w:numId w:val="49"/>
        </w:numPr>
      </w:pPr>
      <w:r w:rsidRPr="00261085">
        <w:t>L</w:t>
      </w:r>
      <w:r w:rsidR="007672A7" w:rsidRPr="00261085">
        <w:t>e Ca</w:t>
      </w:r>
      <w:r w:rsidR="00231941" w:rsidRPr="00261085">
        <w:t>hier des Clauses</w:t>
      </w:r>
      <w:r w:rsidR="007672A7" w:rsidRPr="00261085">
        <w:t xml:space="preserve"> Particulières (CCP)</w:t>
      </w:r>
      <w:r w:rsidR="007672A7" w:rsidRPr="00261085">
        <w:rPr>
          <w:rFonts w:ascii="Calibri" w:hAnsi="Calibri" w:cs="Calibri"/>
        </w:rPr>
        <w:t> </w:t>
      </w:r>
      <w:r w:rsidR="007672A7" w:rsidRPr="00261085">
        <w:t>;</w:t>
      </w:r>
    </w:p>
    <w:p w14:paraId="6277D778" w14:textId="3015469C" w:rsidR="00403FB2" w:rsidRPr="00395F79" w:rsidRDefault="00CA2927" w:rsidP="001A2F26">
      <w:pPr>
        <w:pStyle w:val="Paragraphedeliste"/>
        <w:numPr>
          <w:ilvl w:val="0"/>
          <w:numId w:val="49"/>
        </w:numPr>
        <w:rPr>
          <w:rFonts w:ascii="Verdana" w:hAnsi="Verdana"/>
          <w:sz w:val="18"/>
        </w:rPr>
      </w:pPr>
      <w:r w:rsidRPr="00261085">
        <w:t>L</w:t>
      </w:r>
      <w:r w:rsidR="005D50B5" w:rsidRPr="00261085">
        <w:t>e bor</w:t>
      </w:r>
      <w:r w:rsidR="00970A24" w:rsidRPr="00261085">
        <w:t xml:space="preserve">dereau des prix </w:t>
      </w:r>
      <w:r w:rsidR="001A2F26" w:rsidRPr="00261085">
        <w:t>unitaires (</w:t>
      </w:r>
      <w:r w:rsidRPr="00261085">
        <w:t>BPU)</w:t>
      </w:r>
      <w:r w:rsidRPr="00261085">
        <w:rPr>
          <w:rFonts w:ascii="Calibri" w:hAnsi="Calibri" w:cs="Calibri"/>
        </w:rPr>
        <w:t> </w:t>
      </w:r>
      <w:r w:rsidRPr="00261085">
        <w:t>;</w:t>
      </w:r>
    </w:p>
    <w:p w14:paraId="2A9206B0" w14:textId="687C50D7" w:rsidR="00A576A5" w:rsidRPr="00034041" w:rsidRDefault="00A576A5" w:rsidP="001A2F26">
      <w:pPr>
        <w:pStyle w:val="Titre2"/>
      </w:pPr>
      <w:bookmarkStart w:id="28" w:name="_Toc143763775"/>
      <w:r w:rsidRPr="001A2F26">
        <w:t>PRESENTATION</w:t>
      </w:r>
      <w:r w:rsidRPr="00034041">
        <w:t xml:space="preserve"> DES OFFRES</w:t>
      </w:r>
      <w:bookmarkEnd w:id="28"/>
    </w:p>
    <w:p w14:paraId="3F175D96" w14:textId="77777777" w:rsidR="004450B4" w:rsidRDefault="004450B4" w:rsidP="001A2F26">
      <w:r w:rsidRPr="00034041">
        <w:t>Les offres des candidats seront entièrement rédigées en langue française.</w:t>
      </w:r>
    </w:p>
    <w:p w14:paraId="7E6E208D" w14:textId="5BBC47B8" w:rsidR="006D703C" w:rsidRDefault="006D703C" w:rsidP="001A2F26">
      <w:r w:rsidRPr="006D703C">
        <w:t>NB - Les pièces accompagnant le dossier de candidature rédigées en langue étrangère seront acceptées si elles sont accompagnées d'une traduction en langue française</w:t>
      </w:r>
      <w:r w:rsidR="006A2896">
        <w:t>.</w:t>
      </w:r>
    </w:p>
    <w:p w14:paraId="77301EFC" w14:textId="61183223" w:rsidR="00F2731C" w:rsidRPr="00034041" w:rsidRDefault="00055A92" w:rsidP="001A2F26">
      <w:r>
        <w:t>Les offres</w:t>
      </w:r>
      <w:r w:rsidR="004450B4" w:rsidRPr="00034041">
        <w:t xml:space="preserve"> seront composées de deux dossiers :</w:t>
      </w:r>
    </w:p>
    <w:p w14:paraId="0C218EDA" w14:textId="0856D46A" w:rsidR="00CB37BB" w:rsidRPr="00CC49D0" w:rsidRDefault="004450B4" w:rsidP="001A2F26">
      <w:pPr>
        <w:pStyle w:val="Titre3"/>
      </w:pPr>
      <w:bookmarkStart w:id="29" w:name="_Toc143763776"/>
      <w:r w:rsidRPr="00CC49D0">
        <w:t>Dossie</w:t>
      </w:r>
      <w:r w:rsidR="001A2F26">
        <w:t>r</w:t>
      </w:r>
      <w:r w:rsidRPr="00CC49D0">
        <w:t xml:space="preserve"> </w:t>
      </w:r>
      <w:r w:rsidR="001A2F26">
        <w:t>«</w:t>
      </w:r>
      <w:r w:rsidR="001A2F26">
        <w:rPr>
          <w:rFonts w:ascii="Calibri" w:hAnsi="Calibri" w:cs="Calibri"/>
        </w:rPr>
        <w:t> </w:t>
      </w:r>
      <w:r w:rsidRPr="00CC49D0">
        <w:t>candidatures</w:t>
      </w:r>
      <w:r w:rsidR="001A2F26">
        <w:rPr>
          <w:rFonts w:ascii="Calibri" w:hAnsi="Calibri" w:cs="Calibri"/>
        </w:rPr>
        <w:t> </w:t>
      </w:r>
      <w:r w:rsidR="001A2F26">
        <w:rPr>
          <w:rFonts w:cs="Marianne"/>
        </w:rPr>
        <w:t>»</w:t>
      </w:r>
      <w:bookmarkEnd w:id="29"/>
    </w:p>
    <w:p w14:paraId="7E720AD9" w14:textId="77777777" w:rsidR="00440734" w:rsidRPr="001A2F26" w:rsidRDefault="00440734" w:rsidP="00AA4064">
      <w:r w:rsidRPr="001A2F26">
        <w:t>Ce dossier devra contenir tous les éléments mentionnés dans l’avis d’appel public à la concurrence, à savoir :</w:t>
      </w:r>
    </w:p>
    <w:p w14:paraId="54F5A508" w14:textId="77777777" w:rsidR="0087522E" w:rsidRDefault="0087522E" w:rsidP="00D575EA">
      <w:pPr>
        <w:rPr>
          <w:u w:val="single"/>
        </w:rPr>
      </w:pPr>
    </w:p>
    <w:p w14:paraId="781715DF" w14:textId="3D432BD7" w:rsidR="00DB1F55" w:rsidRPr="001A2F26" w:rsidRDefault="00696EA8" w:rsidP="001A2F26">
      <w:pPr>
        <w:rPr>
          <w:b/>
          <w:bCs/>
        </w:rPr>
      </w:pPr>
      <w:r w:rsidRPr="001A2F26">
        <w:rPr>
          <w:b/>
          <w:bCs/>
          <w:u w:val="single"/>
        </w:rPr>
        <w:t>Situation juridique du candidat</w:t>
      </w:r>
      <w:r w:rsidRPr="001A2F26">
        <w:rPr>
          <w:rFonts w:ascii="Calibri" w:hAnsi="Calibri" w:cs="Calibri"/>
          <w:b/>
          <w:bCs/>
          <w:u w:val="single"/>
        </w:rPr>
        <w:t> </w:t>
      </w:r>
      <w:r w:rsidRPr="001A2F26">
        <w:rPr>
          <w:b/>
          <w:bCs/>
          <w:u w:val="single"/>
        </w:rPr>
        <w:t>:</w:t>
      </w:r>
    </w:p>
    <w:p w14:paraId="28AF13B5" w14:textId="07F8D42F" w:rsidR="00DB1F55" w:rsidRDefault="00DB1F55">
      <w:pPr>
        <w:pStyle w:val="Paragraphedeliste"/>
        <w:numPr>
          <w:ilvl w:val="0"/>
          <w:numId w:val="50"/>
        </w:numPr>
      </w:pPr>
      <w:r w:rsidRPr="001A2F26">
        <w:t xml:space="preserve">Une lettre de candidature complétée, avec, en cas de groupement, la désignation du mandataire par ses cotraitants </w:t>
      </w:r>
      <w:r w:rsidR="001A2F26" w:rsidRPr="00034041">
        <w:t>(f</w:t>
      </w:r>
      <w:r w:rsidR="001A2F26">
        <w:t xml:space="preserve">ormulaire DC1 </w:t>
      </w:r>
      <w:r w:rsidR="001A2F26" w:rsidRPr="001052E6">
        <w:rPr>
          <w:spacing w:val="-2"/>
          <w:szCs w:val="18"/>
        </w:rPr>
        <w:t>version du 1</w:t>
      </w:r>
      <w:r w:rsidR="001A2F26" w:rsidRPr="00387CFC">
        <w:rPr>
          <w:spacing w:val="-2"/>
          <w:szCs w:val="18"/>
          <w:vertAlign w:val="superscript"/>
        </w:rPr>
        <w:t>er</w:t>
      </w:r>
      <w:r w:rsidR="001A2F26">
        <w:rPr>
          <w:spacing w:val="-2"/>
          <w:szCs w:val="18"/>
        </w:rPr>
        <w:t xml:space="preserve"> avril 2019).</w:t>
      </w:r>
      <w:r w:rsidR="00E35C5D">
        <w:rPr>
          <w:rFonts w:ascii="Calibri" w:hAnsi="Calibri" w:cs="Calibri"/>
        </w:rPr>
        <w:t> </w:t>
      </w:r>
      <w:r w:rsidR="00E35C5D">
        <w:t>;</w:t>
      </w:r>
    </w:p>
    <w:p w14:paraId="5F2A1957" w14:textId="69D2C5B4" w:rsidR="00E35C5D" w:rsidRPr="001A2F26" w:rsidRDefault="00E35C5D" w:rsidP="001A2F26">
      <w:pPr>
        <w:pStyle w:val="Paragraphedeliste"/>
        <w:numPr>
          <w:ilvl w:val="0"/>
          <w:numId w:val="50"/>
        </w:numPr>
      </w:pPr>
      <w:r w:rsidRPr="00E35C5D">
        <w:t>Si le candidat est en redressement judiciaire au sens de l’article L.631-1 du Code de commerce, ou est admis à une procédure équivalente régie par un droit étranger, la copie du ou des jugements prononcés à cet effet</w:t>
      </w:r>
    </w:p>
    <w:p w14:paraId="60B94FF7" w14:textId="77777777" w:rsidR="0087522E" w:rsidRPr="00AA4064" w:rsidRDefault="0087522E" w:rsidP="00AA4064"/>
    <w:p w14:paraId="46D6FBFF" w14:textId="56F4EA47" w:rsidR="00696EA8" w:rsidRPr="00AA4064" w:rsidRDefault="00696EA8" w:rsidP="00AA4064">
      <w:pPr>
        <w:rPr>
          <w:b/>
          <w:bCs/>
          <w:u w:val="single"/>
        </w:rPr>
      </w:pPr>
      <w:r w:rsidRPr="00AA4064">
        <w:rPr>
          <w:b/>
          <w:bCs/>
          <w:u w:val="single"/>
        </w:rPr>
        <w:t xml:space="preserve">Capacités professionnelles, techniques et financières </w:t>
      </w:r>
      <w:r w:rsidR="001A2F26" w:rsidRPr="00ED10E7">
        <w:rPr>
          <w:b/>
          <w:bCs/>
          <w:u w:val="single"/>
        </w:rPr>
        <w:t>(le cas échéant</w:t>
      </w:r>
      <w:r w:rsidR="001A2F26" w:rsidRPr="001A2F26">
        <w:rPr>
          <w:b/>
          <w:bCs/>
          <w:u w:val="single"/>
        </w:rPr>
        <w:t xml:space="preserve"> </w:t>
      </w:r>
      <w:r w:rsidRPr="00AA4064">
        <w:rPr>
          <w:b/>
          <w:bCs/>
          <w:u w:val="single"/>
        </w:rPr>
        <w:t>pour chacun des co-traitants</w:t>
      </w:r>
      <w:r w:rsidR="001A2F26">
        <w:rPr>
          <w:b/>
          <w:bCs/>
          <w:u w:val="single"/>
        </w:rPr>
        <w:t>)</w:t>
      </w:r>
      <w:r w:rsidRPr="00AA4064">
        <w:rPr>
          <w:rFonts w:ascii="Calibri" w:hAnsi="Calibri" w:cs="Calibri"/>
          <w:b/>
          <w:bCs/>
          <w:u w:val="single"/>
        </w:rPr>
        <w:t> </w:t>
      </w:r>
      <w:r w:rsidRPr="00AA4064">
        <w:rPr>
          <w:b/>
          <w:bCs/>
          <w:u w:val="single"/>
        </w:rPr>
        <w:t>:</w:t>
      </w:r>
    </w:p>
    <w:p w14:paraId="67EC3BF7" w14:textId="7DB02748" w:rsidR="00922AB8" w:rsidRPr="00A03244" w:rsidRDefault="00E35C5D" w:rsidP="00B029B5">
      <w:pPr>
        <w:pStyle w:val="Paragraphedeliste"/>
        <w:numPr>
          <w:ilvl w:val="0"/>
          <w:numId w:val="50"/>
        </w:numPr>
      </w:pPr>
      <w:r w:rsidRPr="00E35C5D">
        <w:t xml:space="preserve">Une déclaration concernant le chiffre d’affaires global et le chiffre d’affaires concernant l’objet du marché, réalisé au cours des trois derniers exercices disponibles </w:t>
      </w:r>
      <w:r w:rsidR="001A2F26" w:rsidRPr="00D043BD">
        <w:t>(</w:t>
      </w:r>
      <w:r w:rsidR="001A2F26">
        <w:t xml:space="preserve">formulaire </w:t>
      </w:r>
      <w:r w:rsidR="001A2F26" w:rsidRPr="00D043BD">
        <w:t>DC2</w:t>
      </w:r>
      <w:r w:rsidR="001A2F26" w:rsidRPr="00247F53">
        <w:t xml:space="preserve"> version du 1er avril 2019</w:t>
      </w:r>
      <w:r w:rsidRPr="00E35C5D">
        <w:t xml:space="preserve">). </w:t>
      </w:r>
      <w:r w:rsidR="00922AB8" w:rsidRPr="00A03244">
        <w:t xml:space="preserve">Le détail des </w:t>
      </w:r>
      <w:r w:rsidR="005D50B5" w:rsidRPr="00A03244">
        <w:t>effectifs moyens annuels du candidat et l’importance du personnel d’encadrement pour chacune des trois dernières années ;</w:t>
      </w:r>
      <w:r w:rsidR="00922AB8" w:rsidRPr="00A03244">
        <w:t xml:space="preserve"> </w:t>
      </w:r>
    </w:p>
    <w:p w14:paraId="593C9CAB" w14:textId="02FA8EB3" w:rsidR="00A03244" w:rsidRDefault="006E4099" w:rsidP="00A03244">
      <w:pPr>
        <w:pStyle w:val="alinea"/>
      </w:pPr>
      <w:r w:rsidRPr="00A03244">
        <w:t xml:space="preserve">Un dossier détaillé de </w:t>
      </w:r>
      <w:r w:rsidR="00931149">
        <w:t>3</w:t>
      </w:r>
      <w:r w:rsidR="00922AB8" w:rsidRPr="00A03244">
        <w:t xml:space="preserve"> </w:t>
      </w:r>
      <w:r w:rsidR="00A03244" w:rsidRPr="00A03244">
        <w:t>références,</w:t>
      </w:r>
      <w:r w:rsidR="00481C0D" w:rsidRPr="00A03244">
        <w:t xml:space="preserve"> </w:t>
      </w:r>
      <w:r w:rsidR="00922AB8" w:rsidRPr="00A03244">
        <w:t>de moins de trois ans</w:t>
      </w:r>
      <w:r w:rsidR="00481C0D" w:rsidRPr="00A03244">
        <w:t>, significatives,</w:t>
      </w:r>
      <w:r w:rsidR="00922AB8" w:rsidRPr="00A03244">
        <w:t xml:space="preserve"> </w:t>
      </w:r>
      <w:r w:rsidR="00951A10">
        <w:t xml:space="preserve">portant sur </w:t>
      </w:r>
      <w:r w:rsidR="002B13A6">
        <w:t xml:space="preserve">une </w:t>
      </w:r>
      <w:r w:rsidR="00951A10">
        <w:t>opération de catégorie 3</w:t>
      </w:r>
      <w:r w:rsidR="002B13A6">
        <w:t xml:space="preserve"> et</w:t>
      </w:r>
      <w:r w:rsidR="00DB1015">
        <w:t xml:space="preserve"> deux (2)</w:t>
      </w:r>
      <w:r w:rsidR="002B13A6">
        <w:t xml:space="preserve"> opération</w:t>
      </w:r>
      <w:r w:rsidR="00DB1015">
        <w:t>s</w:t>
      </w:r>
      <w:r w:rsidR="002B13A6">
        <w:t xml:space="preserve"> de catégorie 2 </w:t>
      </w:r>
      <w:r w:rsidR="00922AB8" w:rsidRPr="00A03244">
        <w:t>appropriées à l'objet de la présente consultation</w:t>
      </w:r>
      <w:r w:rsidR="00EE31CE">
        <w:t>.</w:t>
      </w:r>
      <w:r w:rsidR="00A03244">
        <w:t xml:space="preserve"> Pour chaque référence, le candidat précisera</w:t>
      </w:r>
      <w:r w:rsidR="00A03244">
        <w:rPr>
          <w:rFonts w:ascii="Calibri" w:hAnsi="Calibri" w:cs="Calibri"/>
        </w:rPr>
        <w:t> </w:t>
      </w:r>
      <w:r w:rsidR="00A03244">
        <w:t xml:space="preserve">: </w:t>
      </w:r>
    </w:p>
    <w:p w14:paraId="05533600" w14:textId="77777777" w:rsidR="00A03244" w:rsidRDefault="00A03244" w:rsidP="00A03244">
      <w:pPr>
        <w:pStyle w:val="alinea"/>
        <w:numPr>
          <w:ilvl w:val="1"/>
          <w:numId w:val="60"/>
        </w:numPr>
      </w:pPr>
      <w:proofErr w:type="gramStart"/>
      <w:r>
        <w:t>la</w:t>
      </w:r>
      <w:proofErr w:type="gramEnd"/>
      <w:r>
        <w:t xml:space="preserve"> nature du projet et sa localisation</w:t>
      </w:r>
    </w:p>
    <w:p w14:paraId="644B445D" w14:textId="77777777" w:rsidR="00A03244" w:rsidRDefault="00A03244" w:rsidP="00A03244">
      <w:pPr>
        <w:pStyle w:val="alinea"/>
        <w:numPr>
          <w:ilvl w:val="1"/>
          <w:numId w:val="60"/>
        </w:numPr>
      </w:pPr>
      <w:r>
        <w:t xml:space="preserve"> le donneur d'ordre (dénomination complète avec coordonnées),</w:t>
      </w:r>
    </w:p>
    <w:p w14:paraId="368A7DA0" w14:textId="77777777" w:rsidR="00A03244" w:rsidRDefault="00A03244" w:rsidP="00A03244">
      <w:pPr>
        <w:pStyle w:val="alinea"/>
        <w:numPr>
          <w:ilvl w:val="1"/>
          <w:numId w:val="60"/>
        </w:numPr>
      </w:pPr>
      <w:r>
        <w:t xml:space="preserve"> la surface de plancher,</w:t>
      </w:r>
    </w:p>
    <w:p w14:paraId="7A0234CB" w14:textId="77777777" w:rsidR="00A03244" w:rsidRDefault="00A03244" w:rsidP="00A03244">
      <w:pPr>
        <w:pStyle w:val="alinea"/>
        <w:numPr>
          <w:ilvl w:val="1"/>
          <w:numId w:val="60"/>
        </w:numPr>
      </w:pPr>
      <w:r>
        <w:t>le calendrier de l'opération,</w:t>
      </w:r>
    </w:p>
    <w:p w14:paraId="41B04F80" w14:textId="77777777" w:rsidR="00A03244" w:rsidRDefault="00A03244" w:rsidP="00A03244">
      <w:pPr>
        <w:pStyle w:val="alinea"/>
        <w:numPr>
          <w:ilvl w:val="1"/>
          <w:numId w:val="60"/>
        </w:numPr>
      </w:pPr>
      <w:r>
        <w:t xml:space="preserve"> le montant (H.T.) des travaux</w:t>
      </w:r>
    </w:p>
    <w:p w14:paraId="23E6AFCD" w14:textId="77777777" w:rsidR="00A03244" w:rsidRDefault="00A03244" w:rsidP="00A03244">
      <w:pPr>
        <w:pStyle w:val="alinea"/>
        <w:numPr>
          <w:ilvl w:val="1"/>
          <w:numId w:val="60"/>
        </w:numPr>
      </w:pPr>
      <w:r>
        <w:t>le montant (H.T.) de la mission réalisée.</w:t>
      </w:r>
    </w:p>
    <w:p w14:paraId="63F31E31" w14:textId="77777777" w:rsidR="00A03244" w:rsidRDefault="00A03244" w:rsidP="00A03244">
      <w:pPr>
        <w:pStyle w:val="alinea"/>
        <w:numPr>
          <w:ilvl w:val="0"/>
          <w:numId w:val="0"/>
        </w:numPr>
        <w:ind w:left="1440"/>
      </w:pPr>
    </w:p>
    <w:p w14:paraId="00DA2C06" w14:textId="6E0DF100" w:rsidR="00A03244" w:rsidRDefault="00A03244" w:rsidP="00A03244">
      <w:pPr>
        <w:pStyle w:val="alinea"/>
        <w:numPr>
          <w:ilvl w:val="0"/>
          <w:numId w:val="0"/>
        </w:numPr>
        <w:ind w:left="714"/>
        <w:rPr>
          <w:b/>
          <w:bCs w:val="0"/>
          <w:sz w:val="18"/>
          <w:szCs w:val="18"/>
        </w:rPr>
      </w:pPr>
      <w:r>
        <w:rPr>
          <w:b/>
          <w:bCs w:val="0"/>
          <w:sz w:val="18"/>
          <w:szCs w:val="18"/>
        </w:rPr>
        <w:t xml:space="preserve">Si plus de </w:t>
      </w:r>
      <w:r w:rsidR="00931149">
        <w:rPr>
          <w:b/>
          <w:bCs w:val="0"/>
          <w:sz w:val="18"/>
          <w:szCs w:val="18"/>
        </w:rPr>
        <w:t>3</w:t>
      </w:r>
      <w:r>
        <w:rPr>
          <w:b/>
          <w:bCs w:val="0"/>
          <w:sz w:val="18"/>
          <w:szCs w:val="18"/>
        </w:rPr>
        <w:t xml:space="preserve"> références sont présentées, les </w:t>
      </w:r>
      <w:r w:rsidR="00931149">
        <w:rPr>
          <w:b/>
          <w:bCs w:val="0"/>
          <w:sz w:val="18"/>
          <w:szCs w:val="18"/>
        </w:rPr>
        <w:t>3</w:t>
      </w:r>
      <w:r>
        <w:rPr>
          <w:b/>
          <w:bCs w:val="0"/>
          <w:sz w:val="18"/>
          <w:szCs w:val="18"/>
        </w:rPr>
        <w:t xml:space="preserve"> premières dans l’ordre chronologique de présentation seront prises en compte.</w:t>
      </w:r>
    </w:p>
    <w:p w14:paraId="35E28A59" w14:textId="4CD79D13" w:rsidR="008768D6" w:rsidRDefault="008768D6" w:rsidP="00A03244"/>
    <w:p w14:paraId="696B7331" w14:textId="0916196A" w:rsidR="001A2F26" w:rsidRPr="00A03244" w:rsidRDefault="001A2F26" w:rsidP="00A03244">
      <w:pPr>
        <w:pStyle w:val="Paragraphedeliste"/>
        <w:numPr>
          <w:ilvl w:val="0"/>
          <w:numId w:val="50"/>
        </w:numPr>
      </w:pPr>
      <w:r w:rsidRPr="00A03244">
        <w:t>L’attestation de compétence et l’attestation d’actualisation (le cas échéant) du coordinateur SPS</w:t>
      </w:r>
      <w:r>
        <w:t xml:space="preserve"> et du</w:t>
      </w:r>
      <w:r w:rsidRPr="00A03244">
        <w:t xml:space="preserve"> suppléant</w:t>
      </w:r>
      <w:r w:rsidRPr="00A03244">
        <w:rPr>
          <w:rFonts w:ascii="Calibri" w:hAnsi="Calibri" w:cs="Calibri"/>
        </w:rPr>
        <w:t> </w:t>
      </w:r>
      <w:r w:rsidRPr="00A03244">
        <w:t xml:space="preserve">pour les phases de conception et de </w:t>
      </w:r>
      <w:r w:rsidR="00A03244" w:rsidRPr="00A03244">
        <w:t>réalisation ;</w:t>
      </w:r>
    </w:p>
    <w:p w14:paraId="2963C05C" w14:textId="77777777" w:rsidR="001A2F26" w:rsidRPr="00A03244" w:rsidRDefault="001A2F26" w:rsidP="00C9308A">
      <w:pPr>
        <w:pStyle w:val="Paragraphedeliste"/>
        <w:ind w:left="720"/>
      </w:pPr>
    </w:p>
    <w:p w14:paraId="43ED38E7" w14:textId="77777777" w:rsidR="005D50B5" w:rsidRPr="00A03244" w:rsidRDefault="00EB666F" w:rsidP="0087522E">
      <w:r w:rsidRPr="00A03244">
        <w:t>Une trame obligatoire de présentation des références est fournie en annexe 1 du présent règlement de consultation.</w:t>
      </w:r>
    </w:p>
    <w:p w14:paraId="7EACDB98" w14:textId="609B63DF" w:rsidR="00EB666F" w:rsidRDefault="00EB666F" w:rsidP="0087522E"/>
    <w:p w14:paraId="2D6E966D" w14:textId="77777777" w:rsidR="00A03244" w:rsidRPr="00034041" w:rsidRDefault="00A03244" w:rsidP="00A03244">
      <w:pPr>
        <w:pStyle w:val="Sous-titre"/>
      </w:pPr>
      <w:r w:rsidRPr="00034041">
        <w:t xml:space="preserve">Les prestations les plus importantes pourront utilement être appuyées par des attestations de bonne exécution des prestations réalisées, précisant si elles ont été menées régulièrement à bonne fin. </w:t>
      </w:r>
    </w:p>
    <w:p w14:paraId="068DA93F" w14:textId="77777777" w:rsidR="00A03244" w:rsidRPr="00034041" w:rsidRDefault="00A03244" w:rsidP="00A03244">
      <w:pPr>
        <w:pStyle w:val="Sous-titre"/>
      </w:pPr>
      <w:r w:rsidRPr="00034041">
        <w:t>Si les candidats sont dans l’impossibilité de produire les documents au titre de la candidature (entreprise de création récente essentiellement), ils peuvent justifier de leurs capacités financières et de leurs références professionnelles par tout autre moyen.</w:t>
      </w:r>
    </w:p>
    <w:p w14:paraId="7DB1EA18" w14:textId="77777777" w:rsidR="00A03244" w:rsidRPr="00A03244" w:rsidRDefault="00A03244" w:rsidP="0087522E"/>
    <w:p w14:paraId="3385E662" w14:textId="77777777" w:rsidR="00CB37BB" w:rsidRPr="00A03244" w:rsidRDefault="0039377E" w:rsidP="00A03244">
      <w:r w:rsidRPr="00A03244">
        <w:t>Pour justifier des capacités professionnelles, techniques et financières d’autres opérateurs</w:t>
      </w:r>
      <w:r w:rsidR="00D67CB8" w:rsidRPr="00A03244">
        <w:t xml:space="preserve"> </w:t>
      </w:r>
      <w:r w:rsidRPr="00A03244">
        <w:t>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72198A98" w14:textId="49627CE4" w:rsidR="00D67CB8" w:rsidRPr="00A03244" w:rsidRDefault="00D67CB8" w:rsidP="00A03244">
      <w:r w:rsidRPr="00A03244">
        <w:t>En cas de groupement, l’appréciation des capacités professionnelles, techniques et financières est globale.</w:t>
      </w:r>
    </w:p>
    <w:p w14:paraId="29CCF1A4" w14:textId="625E1B61" w:rsidR="00CE7961" w:rsidRDefault="00CE7961">
      <w:pPr>
        <w:tabs>
          <w:tab w:val="left" w:pos="1275"/>
        </w:tabs>
      </w:pPr>
      <w:r w:rsidRPr="00A03244">
        <w:t>Les candidats ne disposant pas de capacités techniques et professionnelles suffisantes seront éliminés.</w:t>
      </w:r>
    </w:p>
    <w:p w14:paraId="1B75B3F1" w14:textId="77777777" w:rsidR="00F2696F" w:rsidRPr="00A03244" w:rsidRDefault="00F2696F" w:rsidP="00AA4064">
      <w:pPr>
        <w:tabs>
          <w:tab w:val="left" w:pos="1275"/>
        </w:tabs>
      </w:pPr>
    </w:p>
    <w:p w14:paraId="4BA7F47F" w14:textId="77777777" w:rsidR="00F2696F" w:rsidRPr="00F2696F" w:rsidRDefault="00F2696F" w:rsidP="00F2696F">
      <w:pPr>
        <w:tabs>
          <w:tab w:val="left" w:pos="1275"/>
        </w:tabs>
      </w:pPr>
      <w:r w:rsidRPr="00F2696F">
        <w:t>Les formulaires DC1 et DC2 sont disponibles à l’adresse suivante :</w:t>
      </w:r>
    </w:p>
    <w:p w14:paraId="055B9138" w14:textId="77777777" w:rsidR="00F2696F" w:rsidRPr="00F2696F" w:rsidRDefault="00F2696F" w:rsidP="00F2696F">
      <w:pPr>
        <w:tabs>
          <w:tab w:val="left" w:pos="1275"/>
        </w:tabs>
      </w:pPr>
      <w:r w:rsidRPr="00F2696F">
        <w:t xml:space="preserve"> </w:t>
      </w:r>
    </w:p>
    <w:p w14:paraId="24DEC618" w14:textId="01E1BF36" w:rsidR="00F2696F" w:rsidRPr="00F2696F" w:rsidRDefault="008420FE" w:rsidP="00F2696F">
      <w:pPr>
        <w:tabs>
          <w:tab w:val="left" w:pos="1275"/>
        </w:tabs>
      </w:pPr>
      <w:hyperlink r:id="rId9" w:history="1">
        <w:r w:rsidRPr="009B2BAE">
          <w:rPr>
            <w:rStyle w:val="Lienhypertexte"/>
          </w:rPr>
          <w:t>https://www.economie.gouv.fr/daj/formulaires-declaration-du-candidat</w:t>
        </w:r>
      </w:hyperlink>
      <w:r>
        <w:t xml:space="preserve"> </w:t>
      </w:r>
    </w:p>
    <w:p w14:paraId="11625BC4" w14:textId="77777777" w:rsidR="00F2696F" w:rsidRPr="00F2696F" w:rsidRDefault="00F2696F" w:rsidP="00F2696F">
      <w:pPr>
        <w:tabs>
          <w:tab w:val="left" w:pos="1275"/>
        </w:tabs>
      </w:pPr>
    </w:p>
    <w:p w14:paraId="056727E7" w14:textId="77777777" w:rsidR="00F2696F" w:rsidRPr="00F2696F" w:rsidRDefault="00F2696F" w:rsidP="00F2696F">
      <w:pPr>
        <w:tabs>
          <w:tab w:val="left" w:pos="1275"/>
        </w:tabs>
      </w:pPr>
      <w:r w:rsidRPr="00F2696F">
        <w:t>Le candidat indiquera une adresse courriel valide pour toute la durée de la consultation. Cette adresse constituera le media unique pour l’ensemble des échanges éventuels. Un interlocuteur identifié prendra en charge la responsabilité de traitement de toute correspondance.</w:t>
      </w:r>
    </w:p>
    <w:p w14:paraId="365EE942" w14:textId="33E14EF3" w:rsidR="00F455E9" w:rsidRDefault="00F455E9" w:rsidP="00AA4064">
      <w:pPr>
        <w:jc w:val="center"/>
      </w:pPr>
    </w:p>
    <w:p w14:paraId="72276A28" w14:textId="5EEDD87D" w:rsidR="00CB37BB" w:rsidRPr="00034041" w:rsidRDefault="005E1922" w:rsidP="001040B0">
      <w:pPr>
        <w:pStyle w:val="Titre3"/>
      </w:pPr>
      <w:bookmarkStart w:id="30" w:name="_Toc142491304"/>
      <w:bookmarkStart w:id="31" w:name="_Toc143763777"/>
      <w:bookmarkEnd w:id="30"/>
      <w:r w:rsidRPr="00CC49D0">
        <w:t xml:space="preserve">Dossier </w:t>
      </w:r>
      <w:r w:rsidR="00A03244">
        <w:t>«</w:t>
      </w:r>
      <w:r w:rsidR="00A03244">
        <w:rPr>
          <w:rFonts w:ascii="Calibri" w:hAnsi="Calibri" w:cs="Calibri"/>
        </w:rPr>
        <w:t> </w:t>
      </w:r>
      <w:r w:rsidR="00CB37BB" w:rsidRPr="005E1922">
        <w:t>offre</w:t>
      </w:r>
      <w:r w:rsidRPr="005E1922">
        <w:t>s</w:t>
      </w:r>
      <w:r w:rsidR="00A03244">
        <w:rPr>
          <w:rFonts w:ascii="Calibri" w:hAnsi="Calibri" w:cs="Calibri"/>
        </w:rPr>
        <w:t> </w:t>
      </w:r>
      <w:r w:rsidR="00A03244">
        <w:rPr>
          <w:rFonts w:cs="Marianne"/>
        </w:rPr>
        <w:t>»</w:t>
      </w:r>
      <w:r w:rsidR="00CB37BB" w:rsidRPr="005E1922">
        <w:rPr>
          <w:rFonts w:ascii="Calibri" w:hAnsi="Calibri" w:cs="Calibri"/>
        </w:rPr>
        <w:t> </w:t>
      </w:r>
      <w:r w:rsidR="00CB37BB" w:rsidRPr="005E1922">
        <w:t>:</w:t>
      </w:r>
      <w:bookmarkEnd w:id="31"/>
    </w:p>
    <w:p w14:paraId="1098F942" w14:textId="77777777" w:rsidR="005E1922" w:rsidRDefault="005E1922" w:rsidP="0087522E">
      <w:pPr>
        <w:rPr>
          <w:bCs/>
        </w:rPr>
      </w:pPr>
      <w:r w:rsidRPr="005E1922">
        <w:t xml:space="preserve">Ce dossier </w:t>
      </w:r>
      <w:r w:rsidRPr="00034041">
        <w:rPr>
          <w:bCs/>
        </w:rPr>
        <w:t>devra contenir</w:t>
      </w:r>
      <w:r>
        <w:rPr>
          <w:bCs/>
        </w:rPr>
        <w:t xml:space="preserve"> 2 sous-dossiers</w:t>
      </w:r>
      <w:r>
        <w:rPr>
          <w:rFonts w:ascii="Calibri" w:hAnsi="Calibri" w:cs="Calibri"/>
          <w:bCs/>
        </w:rPr>
        <w:t> </w:t>
      </w:r>
      <w:r>
        <w:rPr>
          <w:bCs/>
        </w:rPr>
        <w:t>:</w:t>
      </w:r>
    </w:p>
    <w:p w14:paraId="375ED591" w14:textId="77777777" w:rsidR="0087522E" w:rsidRPr="005E1922" w:rsidRDefault="0087522E" w:rsidP="001040B0"/>
    <w:p w14:paraId="579F25A1" w14:textId="77777777" w:rsidR="001672EE" w:rsidRDefault="00A576A5" w:rsidP="001040B0">
      <w:pPr>
        <w:rPr>
          <w:b/>
          <w:bCs/>
          <w:smallCaps/>
        </w:rPr>
      </w:pPr>
      <w:r w:rsidRPr="00034041">
        <w:rPr>
          <w:b/>
          <w:bCs/>
          <w:smallCaps/>
        </w:rPr>
        <w:t>A - Un projet d</w:t>
      </w:r>
      <w:r w:rsidR="0095414C">
        <w:rPr>
          <w:b/>
          <w:bCs/>
          <w:smallCaps/>
        </w:rPr>
        <w:t xml:space="preserve">’accord-cadre </w:t>
      </w:r>
      <w:r w:rsidRPr="00034041">
        <w:rPr>
          <w:b/>
          <w:bCs/>
          <w:smallCaps/>
        </w:rPr>
        <w:t>comprenant</w:t>
      </w:r>
      <w:r w:rsidRPr="00034041">
        <w:rPr>
          <w:rFonts w:ascii="Calibri" w:hAnsi="Calibri" w:cs="Calibri"/>
          <w:b/>
          <w:bCs/>
          <w:smallCaps/>
        </w:rPr>
        <w:t> </w:t>
      </w:r>
      <w:r w:rsidRPr="00034041">
        <w:rPr>
          <w:b/>
          <w:bCs/>
          <w:smallCaps/>
        </w:rPr>
        <w:t>:</w:t>
      </w:r>
    </w:p>
    <w:p w14:paraId="4211B0A8" w14:textId="57E377CB" w:rsidR="00F2696F" w:rsidRPr="001040B0" w:rsidRDefault="00584C79">
      <w:pPr>
        <w:pStyle w:val="Paragraphedeliste"/>
        <w:numPr>
          <w:ilvl w:val="0"/>
          <w:numId w:val="51"/>
        </w:numPr>
        <w:rPr>
          <w:bCs/>
        </w:rPr>
      </w:pPr>
      <w:r w:rsidRPr="00BB374B">
        <w:rPr>
          <w:b/>
          <w:bCs/>
        </w:rPr>
        <w:t xml:space="preserve">L’acte d’engagement (AE) </w:t>
      </w:r>
      <w:r w:rsidRPr="00BB374B">
        <w:rPr>
          <w:bCs/>
        </w:rPr>
        <w:t>à compléter</w:t>
      </w:r>
      <w:r w:rsidR="006E3749">
        <w:rPr>
          <w:bCs/>
        </w:rPr>
        <w:t xml:space="preserve"> et signer </w:t>
      </w:r>
      <w:r w:rsidR="006E3749" w:rsidRPr="00BB374B">
        <w:rPr>
          <w:bCs/>
        </w:rPr>
        <w:t>par</w:t>
      </w:r>
      <w:r w:rsidRPr="00BB374B">
        <w:rPr>
          <w:bCs/>
        </w:rPr>
        <w:t xml:space="preserve"> le représentant qualifié du titulaire</w:t>
      </w:r>
      <w:r w:rsidR="00F2696F" w:rsidRPr="00BB374B">
        <w:rPr>
          <w:bCs/>
        </w:rPr>
        <w:t xml:space="preserve">, </w:t>
      </w:r>
    </w:p>
    <w:p w14:paraId="365AD2B3" w14:textId="77777777" w:rsidR="00F2696F" w:rsidRDefault="00584C79" w:rsidP="003B49FB">
      <w:pPr>
        <w:pStyle w:val="Paragraphedeliste"/>
        <w:numPr>
          <w:ilvl w:val="0"/>
          <w:numId w:val="51"/>
        </w:numPr>
        <w:rPr>
          <w:bCs/>
        </w:rPr>
      </w:pPr>
      <w:r w:rsidRPr="001040B0">
        <w:rPr>
          <w:b/>
          <w:bCs/>
        </w:rPr>
        <w:t xml:space="preserve">Le bordereau des prix unitaires (BPU) </w:t>
      </w:r>
      <w:r w:rsidRPr="00BB374B">
        <w:rPr>
          <w:bCs/>
        </w:rPr>
        <w:t>à compléte</w:t>
      </w:r>
      <w:r w:rsidR="00F2696F" w:rsidRPr="00BB374B">
        <w:rPr>
          <w:bCs/>
        </w:rPr>
        <w:t>r</w:t>
      </w:r>
    </w:p>
    <w:p w14:paraId="06DFDCB0" w14:textId="181CCF7E" w:rsidR="00675717" w:rsidRPr="00BB374B" w:rsidRDefault="00675717" w:rsidP="003B49FB">
      <w:pPr>
        <w:pStyle w:val="Paragraphedeliste"/>
        <w:numPr>
          <w:ilvl w:val="0"/>
          <w:numId w:val="51"/>
        </w:numPr>
        <w:rPr>
          <w:bCs/>
        </w:rPr>
      </w:pPr>
      <w:r w:rsidRPr="00395F79">
        <w:rPr>
          <w:b/>
          <w:bCs/>
        </w:rPr>
        <w:t>Le Détail Quantitatif Estimatif  (DQE )</w:t>
      </w:r>
      <w:r>
        <w:t xml:space="preserve"> à compléter</w:t>
      </w:r>
    </w:p>
    <w:p w14:paraId="41E5F524" w14:textId="77777777" w:rsidR="006E3749" w:rsidRPr="00034041" w:rsidRDefault="006E3749" w:rsidP="001040B0"/>
    <w:p w14:paraId="19478DBF" w14:textId="207EC457" w:rsidR="001672EE" w:rsidRPr="00481C0D" w:rsidRDefault="00A576A5" w:rsidP="001040B0">
      <w:r w:rsidRPr="00034041">
        <w:rPr>
          <w:b/>
          <w:bCs/>
          <w:smallCaps/>
        </w:rPr>
        <w:t xml:space="preserve">B - Un mémoire </w:t>
      </w:r>
      <w:r w:rsidR="001672EE" w:rsidRPr="00034041">
        <w:rPr>
          <w:b/>
          <w:bCs/>
          <w:smallCaps/>
        </w:rPr>
        <w:t xml:space="preserve">technique </w:t>
      </w:r>
      <w:r w:rsidRPr="00034041">
        <w:rPr>
          <w:b/>
          <w:bCs/>
          <w:smallCaps/>
        </w:rPr>
        <w:t>portant sur l’organisation opérationnelle mise en place et indiquant notamment</w:t>
      </w:r>
      <w:r w:rsidRPr="00034041">
        <w:rPr>
          <w:rFonts w:ascii="Calibri" w:hAnsi="Calibri" w:cs="Calibri"/>
          <w:b/>
          <w:bCs/>
          <w:smallCaps/>
        </w:rPr>
        <w:t> </w:t>
      </w:r>
      <w:r w:rsidRPr="00034041">
        <w:rPr>
          <w:b/>
          <w:bCs/>
          <w:smallCaps/>
        </w:rPr>
        <w:t>:</w:t>
      </w:r>
    </w:p>
    <w:p w14:paraId="6915A5A3" w14:textId="1B162250" w:rsidR="00481C0D" w:rsidRPr="00481C0D" w:rsidRDefault="00367985" w:rsidP="00C9308A">
      <w:pPr>
        <w:pStyle w:val="Paragraphedeliste"/>
        <w:ind w:left="720"/>
      </w:pPr>
      <w:r w:rsidRPr="00367985">
        <w:rPr>
          <w:bCs/>
        </w:rPr>
        <w:tab/>
      </w:r>
    </w:p>
    <w:p w14:paraId="3BC68BC9" w14:textId="77777777" w:rsidR="00933C70" w:rsidRDefault="00933C70" w:rsidP="00933C70">
      <w:pPr>
        <w:pStyle w:val="Paragraphedeliste"/>
        <w:numPr>
          <w:ilvl w:val="0"/>
          <w:numId w:val="61"/>
        </w:numPr>
      </w:pPr>
      <w:r>
        <w:t xml:space="preserve">Les moyens humains : </w:t>
      </w:r>
    </w:p>
    <w:p w14:paraId="4AED7F47" w14:textId="77777777" w:rsidR="00933C70" w:rsidRDefault="00933C70" w:rsidP="00933C70">
      <w:pPr>
        <w:pStyle w:val="Paragraphedeliste"/>
        <w:numPr>
          <w:ilvl w:val="1"/>
          <w:numId w:val="61"/>
        </w:numPr>
      </w:pPr>
      <w:r>
        <w:t>la liste nominative des différents personnels affectés à l’exécution du marché, avec leurs curriculum vitae présentant notamment leurs expériences. Les CV comprendront en annexe la copie de l’attestation de compétence en cours de validité à l’exercice des missions CSPS niveau 1 - article articles R4532-23 à R4532-29 du Code du travail)</w:t>
      </w:r>
    </w:p>
    <w:p w14:paraId="143897CB" w14:textId="77777777" w:rsidR="00933C70" w:rsidRDefault="00933C70" w:rsidP="00C9308A">
      <w:pPr>
        <w:pStyle w:val="Paragraphedeliste"/>
        <w:numPr>
          <w:ilvl w:val="1"/>
          <w:numId w:val="61"/>
        </w:numPr>
      </w:pPr>
      <w:r>
        <w:t>les tâches qu’il est prévu de confier à chacun d’entre eux, et la répartition des compétences spécifiques au sein des différents intervenants , au regard des spécificités de l’opération</w:t>
      </w:r>
    </w:p>
    <w:p w14:paraId="2B174E0F" w14:textId="77777777" w:rsidR="00933C70" w:rsidRDefault="00933C70" w:rsidP="00C9308A">
      <w:pPr>
        <w:pStyle w:val="Paragraphedeliste"/>
        <w:ind w:left="720"/>
      </w:pPr>
    </w:p>
    <w:p w14:paraId="0A2F3621" w14:textId="7CD16C24" w:rsidR="00AF0BC8" w:rsidRDefault="00933C70" w:rsidP="001040B0">
      <w:pPr>
        <w:pStyle w:val="Paragraphedeliste"/>
        <w:numPr>
          <w:ilvl w:val="0"/>
          <w:numId w:val="61"/>
        </w:numPr>
      </w:pPr>
      <w:r w:rsidRPr="00933C70">
        <w:t xml:space="preserve">L’organisation et la méthodologie mise en place à chacune des étapes de la mission (manuel d’assurance qualité, méthodologie générale et procédures, procédure d’audit </w:t>
      </w:r>
      <w:r w:rsidRPr="00933C70">
        <w:lastRenderedPageBreak/>
        <w:t>interne par exemple, traçabilité des actions menées), avec un focus sur les spécificités relatives aux interventions en site occupé ;</w:t>
      </w:r>
      <w:r w:rsidR="00EE31CE" w:rsidRPr="00AD1F3B">
        <w:t>;</w:t>
      </w:r>
    </w:p>
    <w:p w14:paraId="510D06F0" w14:textId="77777777" w:rsidR="00933C70" w:rsidRPr="00AF0BC8" w:rsidRDefault="00933C70" w:rsidP="00933C70">
      <w:pPr>
        <w:pStyle w:val="Paragraphedeliste"/>
        <w:numPr>
          <w:ilvl w:val="0"/>
          <w:numId w:val="61"/>
        </w:numPr>
      </w:pPr>
      <w:r w:rsidRPr="00AF0BC8">
        <w:rPr>
          <w:bCs/>
        </w:rPr>
        <w:t>Les forme et contenu des livrables</w:t>
      </w:r>
      <w:r>
        <w:rPr>
          <w:bCs/>
        </w:rPr>
        <w:t xml:space="preserve">, avec </w:t>
      </w:r>
      <w:r w:rsidRPr="00AF0BC8">
        <w:rPr>
          <w:bCs/>
        </w:rPr>
        <w:t>transmission d’un exemple de</w:t>
      </w:r>
      <w:r>
        <w:rPr>
          <w:rFonts w:ascii="Calibri" w:hAnsi="Calibri" w:cs="Calibri"/>
          <w:bCs/>
        </w:rPr>
        <w:t> </w:t>
      </w:r>
      <w:r>
        <w:rPr>
          <w:bCs/>
        </w:rPr>
        <w:t>:</w:t>
      </w:r>
    </w:p>
    <w:p w14:paraId="7BD0059E" w14:textId="77777777" w:rsidR="00933C70" w:rsidRPr="00AF0BC8" w:rsidRDefault="00933C70" w:rsidP="00933C70">
      <w:pPr>
        <w:pStyle w:val="Paragraphedeliste"/>
        <w:numPr>
          <w:ilvl w:val="1"/>
          <w:numId w:val="61"/>
        </w:numPr>
        <w:spacing w:before="0"/>
      </w:pPr>
      <w:r w:rsidRPr="00AF0BC8">
        <w:rPr>
          <w:bCs/>
        </w:rPr>
        <w:t>PGC</w:t>
      </w:r>
      <w:r>
        <w:rPr>
          <w:bCs/>
        </w:rPr>
        <w:t xml:space="preserve"> et PGSC</w:t>
      </w:r>
    </w:p>
    <w:p w14:paraId="767475D5" w14:textId="77777777" w:rsidR="00933C70" w:rsidRPr="00AF0BC8" w:rsidRDefault="00933C70" w:rsidP="00933C70">
      <w:pPr>
        <w:pStyle w:val="Paragraphedeliste"/>
        <w:numPr>
          <w:ilvl w:val="1"/>
          <w:numId w:val="61"/>
        </w:numPr>
        <w:spacing w:before="0"/>
      </w:pPr>
      <w:r w:rsidRPr="00AF0BC8">
        <w:rPr>
          <w:bCs/>
        </w:rPr>
        <w:t xml:space="preserve">RJ </w:t>
      </w:r>
    </w:p>
    <w:p w14:paraId="6CD95AE5" w14:textId="77777777" w:rsidR="00933C70" w:rsidRPr="00AF0BC8" w:rsidRDefault="00933C70" w:rsidP="00933C70">
      <w:pPr>
        <w:pStyle w:val="Paragraphedeliste"/>
        <w:numPr>
          <w:ilvl w:val="1"/>
          <w:numId w:val="61"/>
        </w:numPr>
        <w:spacing w:before="0"/>
      </w:pPr>
      <w:r w:rsidRPr="00AF0BC8">
        <w:rPr>
          <w:bCs/>
        </w:rPr>
        <w:t>DIUO</w:t>
      </w:r>
    </w:p>
    <w:p w14:paraId="1A315171" w14:textId="050FF046" w:rsidR="00933C70" w:rsidRDefault="00933C70" w:rsidP="00933C70">
      <w:pPr>
        <w:pStyle w:val="Paragraphedeliste"/>
        <w:spacing w:before="0"/>
        <w:ind w:left="1440"/>
      </w:pPr>
      <w:r w:rsidRPr="00AF0BC8">
        <w:rPr>
          <w:bCs/>
        </w:rPr>
        <w:t>PV de transfert</w:t>
      </w:r>
    </w:p>
    <w:p w14:paraId="56CE4144" w14:textId="71B593C4" w:rsidR="008768D6" w:rsidRDefault="008768D6" w:rsidP="001040B0">
      <w:pPr>
        <w:pStyle w:val="Paragraphedeliste"/>
        <w:numPr>
          <w:ilvl w:val="0"/>
          <w:numId w:val="61"/>
        </w:numPr>
      </w:pPr>
      <w:r>
        <w:t>Le cadre de réponse relatif aux temps passés</w:t>
      </w:r>
      <w:r w:rsidR="00933C70">
        <w:t xml:space="preserve"> (annexe 3 du présent RC, dûment complétée).</w:t>
      </w:r>
    </w:p>
    <w:p w14:paraId="3F80C55F" w14:textId="77777777" w:rsidR="00AF0BC8" w:rsidRDefault="00AF0BC8" w:rsidP="00AF0BC8">
      <w:pPr>
        <w:rPr>
          <w:bCs/>
        </w:rPr>
      </w:pPr>
    </w:p>
    <w:p w14:paraId="5E85D67C" w14:textId="77777777" w:rsidR="001040B0" w:rsidRPr="007F0711" w:rsidRDefault="001040B0" w:rsidP="001040B0">
      <w:pPr>
        <w:pStyle w:val="Titre2"/>
      </w:pPr>
      <w:bookmarkStart w:id="32" w:name="_Toc143763778"/>
      <w:bookmarkStart w:id="33" w:name="_Toc176083108"/>
      <w:r w:rsidRPr="007F0711">
        <w:t>VERIFICATION DES CONDITIONS DE PARTICIPATION ET EXAMEN DES OFFRES</w:t>
      </w:r>
      <w:bookmarkEnd w:id="32"/>
    </w:p>
    <w:p w14:paraId="4AE1192F" w14:textId="2221BA6F" w:rsidR="00BA1A9A" w:rsidRPr="00034041" w:rsidRDefault="00B131BA" w:rsidP="001040B0">
      <w:pPr>
        <w:pStyle w:val="Titre3"/>
      </w:pPr>
      <w:bookmarkStart w:id="34" w:name="_Toc143763779"/>
      <w:r>
        <w:t>Jugement</w:t>
      </w:r>
      <w:r w:rsidRPr="00034041">
        <w:t xml:space="preserve"> </w:t>
      </w:r>
      <w:r w:rsidR="00BA1A9A" w:rsidRPr="00947A84">
        <w:t>des</w:t>
      </w:r>
      <w:r w:rsidR="00BA1A9A" w:rsidRPr="00034041">
        <w:t xml:space="preserve"> candidatures</w:t>
      </w:r>
      <w:bookmarkEnd w:id="34"/>
    </w:p>
    <w:p w14:paraId="025A9CE1" w14:textId="77777777" w:rsidR="00273A4A" w:rsidRDefault="00273A4A" w:rsidP="00273A4A">
      <w:pPr>
        <w:spacing w:before="0" w:line="240" w:lineRule="atLeast"/>
        <w:ind w:right="72"/>
        <w:rPr>
          <w:rFonts w:ascii="Verdana" w:eastAsia="Calibri" w:hAnsi="Verdana" w:cs="Arial"/>
          <w:sz w:val="18"/>
          <w:szCs w:val="18"/>
        </w:rPr>
      </w:pPr>
    </w:p>
    <w:p w14:paraId="6EF46BB5" w14:textId="77777777" w:rsidR="004F26E7" w:rsidRPr="008627B8" w:rsidRDefault="004F26E7" w:rsidP="004F26E7">
      <w:pPr>
        <w:pStyle w:val="Sous-titre"/>
      </w:pPr>
      <w:r w:rsidRPr="008627B8">
        <w:t>Les candidatures seront examinées au regard des niveaux de capacité économique, financière et technique du candidat ou du groupement candidat, appréciés au vu des renseignements demandés.</w:t>
      </w:r>
    </w:p>
    <w:p w14:paraId="4E1DE420" w14:textId="4259994B" w:rsidR="00273A4A" w:rsidRPr="004F26E7" w:rsidRDefault="00273A4A" w:rsidP="00273A4A">
      <w:pPr>
        <w:spacing w:before="0" w:line="240" w:lineRule="atLeast"/>
        <w:ind w:right="72"/>
      </w:pPr>
      <w:r w:rsidRPr="004F26E7">
        <w:t>Les candidats qui se trouvent dans un cas d’interdiction de soumissionner, qui ne disposent pas de la capacité économique et financière, des capacités techniques et professionnelles ou qui ne peuvent produire dans le délai imparti les documents justificatifs, les moyens de preuve, les compléments ou explications requis par le pouvoir adjudicateur sont éliminés.</w:t>
      </w:r>
    </w:p>
    <w:p w14:paraId="6BC57318" w14:textId="77777777" w:rsidR="00273A4A" w:rsidRPr="004F26E7" w:rsidRDefault="00273A4A" w:rsidP="00273A4A">
      <w:pPr>
        <w:spacing w:before="0" w:line="240" w:lineRule="atLeast"/>
        <w:ind w:right="72"/>
      </w:pPr>
    </w:p>
    <w:p w14:paraId="10DD46E6" w14:textId="77777777" w:rsidR="00273A4A" w:rsidRPr="000A5402" w:rsidRDefault="00273A4A" w:rsidP="00273A4A">
      <w:pPr>
        <w:spacing w:before="0" w:line="240" w:lineRule="atLeast"/>
        <w:ind w:right="72"/>
      </w:pPr>
      <w:r w:rsidRPr="004F26E7">
        <w:t>Nota</w:t>
      </w:r>
      <w:r w:rsidRPr="004F26E7">
        <w:rPr>
          <w:rFonts w:ascii="Calibri" w:hAnsi="Calibri" w:cs="Calibri"/>
        </w:rPr>
        <w:t> </w:t>
      </w:r>
      <w:r w:rsidRPr="004F26E7">
        <w:t>: Toutes les pi</w:t>
      </w:r>
      <w:r w:rsidRPr="004F26E7">
        <w:rPr>
          <w:rFonts w:cs="Marianne"/>
        </w:rPr>
        <w:t>è</w:t>
      </w:r>
      <w:r w:rsidRPr="004F26E7">
        <w:t>ces demand</w:t>
      </w:r>
      <w:r w:rsidRPr="004F26E7">
        <w:rPr>
          <w:rFonts w:cs="Marianne"/>
        </w:rPr>
        <w:t>é</w:t>
      </w:r>
      <w:r w:rsidRPr="004F26E7">
        <w:t>es pour appr</w:t>
      </w:r>
      <w:r w:rsidRPr="004F26E7">
        <w:rPr>
          <w:rFonts w:cs="Marianne"/>
        </w:rPr>
        <w:t>é</w:t>
      </w:r>
      <w:r w:rsidRPr="004F26E7">
        <w:t xml:space="preserve">cier la candidature doivent être présentées par le ou les candidats. En cas de document manquant à ce stade, il pourra être demandé aux candidats concernés de compléter le contenu de leur dossier de candidature. </w:t>
      </w:r>
    </w:p>
    <w:p w14:paraId="084DE784" w14:textId="77777777" w:rsidR="00513437" w:rsidRPr="00034041" w:rsidRDefault="00513437" w:rsidP="004F26E7">
      <w:pPr>
        <w:rPr>
          <w:rFonts w:eastAsia="Calibri"/>
        </w:rPr>
      </w:pPr>
    </w:p>
    <w:p w14:paraId="29997EDE" w14:textId="5AC0B13D" w:rsidR="00A576A5" w:rsidRDefault="00B131BA" w:rsidP="00947A84">
      <w:pPr>
        <w:pStyle w:val="Titre3"/>
      </w:pPr>
      <w:bookmarkStart w:id="35" w:name="_Toc142491308"/>
      <w:bookmarkStart w:id="36" w:name="_Toc143763780"/>
      <w:bookmarkEnd w:id="35"/>
      <w:r>
        <w:t>Jugement</w:t>
      </w:r>
      <w:r w:rsidRPr="00034041">
        <w:t xml:space="preserve"> </w:t>
      </w:r>
      <w:r w:rsidR="00A576A5" w:rsidRPr="00034041">
        <w:t>des offres</w:t>
      </w:r>
      <w:bookmarkEnd w:id="33"/>
      <w:bookmarkEnd w:id="36"/>
    </w:p>
    <w:p w14:paraId="00A4D7FB" w14:textId="0C882127" w:rsidR="00A576A5" w:rsidRDefault="00E1690A" w:rsidP="00947A84">
      <w:r>
        <w:t>L</w:t>
      </w:r>
      <w:r w:rsidR="0018452A" w:rsidRPr="00E1690A">
        <w:t>’offre économiquement la plus avantageuse s</w:t>
      </w:r>
      <w:r w:rsidRPr="00E1690A">
        <w:t xml:space="preserve">era désignée après application des </w:t>
      </w:r>
      <w:r w:rsidR="00A576A5" w:rsidRPr="00E1690A">
        <w:t>critères énoncés ci-dessous :</w:t>
      </w:r>
    </w:p>
    <w:p w14:paraId="4EFE56AE" w14:textId="77777777" w:rsidR="00617D22" w:rsidRDefault="00617D22" w:rsidP="004F26E7"/>
    <w:tbl>
      <w:tblPr>
        <w:tblW w:w="98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663"/>
        <w:gridCol w:w="2016"/>
      </w:tblGrid>
      <w:tr w:rsidR="009E404A" w:rsidRPr="007B2503" w14:paraId="33CC7157" w14:textId="77777777" w:rsidTr="004F26E7">
        <w:trPr>
          <w:trHeight w:val="413"/>
        </w:trPr>
        <w:tc>
          <w:tcPr>
            <w:tcW w:w="7797" w:type="dxa"/>
            <w:gridSpan w:val="2"/>
            <w:shd w:val="clear" w:color="auto" w:fill="DAEEF3"/>
            <w:vAlign w:val="center"/>
          </w:tcPr>
          <w:p w14:paraId="0E502848" w14:textId="72F854A7" w:rsidR="009E404A" w:rsidRPr="004F26E7" w:rsidRDefault="009E404A" w:rsidP="004F26E7">
            <w:pPr>
              <w:pStyle w:val="Retraitnormal"/>
              <w:spacing w:before="40"/>
              <w:ind w:left="0"/>
              <w:jc w:val="center"/>
              <w:rPr>
                <w:b/>
                <w:sz w:val="18"/>
                <w:szCs w:val="18"/>
              </w:rPr>
            </w:pPr>
            <w:r w:rsidRPr="004F26E7">
              <w:rPr>
                <w:b/>
                <w:sz w:val="18"/>
                <w:szCs w:val="18"/>
              </w:rPr>
              <w:t>Critères de sélection</w:t>
            </w:r>
          </w:p>
        </w:tc>
        <w:tc>
          <w:tcPr>
            <w:tcW w:w="2016" w:type="dxa"/>
            <w:shd w:val="clear" w:color="auto" w:fill="DAEEF3"/>
            <w:vAlign w:val="center"/>
          </w:tcPr>
          <w:p w14:paraId="342613A5" w14:textId="77777777" w:rsidR="009E404A" w:rsidRPr="004F26E7" w:rsidRDefault="009E404A" w:rsidP="004F26E7">
            <w:pPr>
              <w:pStyle w:val="Retraitnormal"/>
              <w:spacing w:before="40"/>
              <w:ind w:left="0"/>
              <w:jc w:val="center"/>
              <w:rPr>
                <w:b/>
                <w:sz w:val="18"/>
                <w:szCs w:val="18"/>
              </w:rPr>
            </w:pPr>
            <w:r w:rsidRPr="004F26E7">
              <w:rPr>
                <w:b/>
                <w:sz w:val="18"/>
                <w:szCs w:val="18"/>
              </w:rPr>
              <w:t>Pondération</w:t>
            </w:r>
          </w:p>
        </w:tc>
      </w:tr>
      <w:tr w:rsidR="000544E4" w:rsidRPr="007B2503" w14:paraId="76EEAA8F" w14:textId="77777777" w:rsidTr="004F26E7">
        <w:tc>
          <w:tcPr>
            <w:tcW w:w="1134" w:type="dxa"/>
            <w:shd w:val="clear" w:color="auto" w:fill="auto"/>
            <w:vAlign w:val="center"/>
          </w:tcPr>
          <w:p w14:paraId="3C3E6DAF" w14:textId="77777777" w:rsidR="000544E4" w:rsidRDefault="000544E4" w:rsidP="004F26E7">
            <w:pPr>
              <w:pStyle w:val="Retraitnormal"/>
              <w:spacing w:before="40"/>
              <w:ind w:left="0"/>
              <w:jc w:val="center"/>
              <w:rPr>
                <w:b/>
                <w:sz w:val="18"/>
                <w:szCs w:val="18"/>
              </w:rPr>
            </w:pPr>
            <w:r>
              <w:rPr>
                <w:b/>
                <w:sz w:val="18"/>
                <w:szCs w:val="18"/>
              </w:rPr>
              <w:t>Critère prix</w:t>
            </w:r>
          </w:p>
          <w:p w14:paraId="3EA67F94" w14:textId="05FA917B" w:rsidR="000544E4" w:rsidRPr="004F26E7" w:rsidRDefault="000544E4" w:rsidP="004F26E7">
            <w:pPr>
              <w:pStyle w:val="Retraitnormal"/>
              <w:spacing w:before="40"/>
              <w:ind w:left="0"/>
              <w:jc w:val="center"/>
              <w:rPr>
                <w:bCs/>
                <w:i/>
                <w:iCs/>
                <w:sz w:val="18"/>
                <w:szCs w:val="18"/>
              </w:rPr>
            </w:pPr>
            <w:r w:rsidRPr="004F26E7">
              <w:rPr>
                <w:bCs/>
                <w:i/>
                <w:iCs/>
                <w:sz w:val="18"/>
                <w:szCs w:val="18"/>
              </w:rPr>
              <w:t xml:space="preserve">Note sur </w:t>
            </w:r>
            <w:r>
              <w:rPr>
                <w:bCs/>
                <w:i/>
                <w:iCs/>
                <w:sz w:val="18"/>
                <w:szCs w:val="18"/>
              </w:rPr>
              <w:t>2</w:t>
            </w:r>
            <w:r w:rsidRPr="004F26E7">
              <w:rPr>
                <w:bCs/>
                <w:i/>
                <w:iCs/>
                <w:sz w:val="18"/>
                <w:szCs w:val="18"/>
              </w:rPr>
              <w:t>0 points</w:t>
            </w:r>
          </w:p>
        </w:tc>
        <w:tc>
          <w:tcPr>
            <w:tcW w:w="6663" w:type="dxa"/>
            <w:shd w:val="clear" w:color="auto" w:fill="auto"/>
            <w:vAlign w:val="center"/>
          </w:tcPr>
          <w:p w14:paraId="2992BD8E" w14:textId="759B81A2" w:rsidR="000544E4" w:rsidRDefault="000544E4" w:rsidP="004F26E7">
            <w:pPr>
              <w:pStyle w:val="Retraitnormal"/>
              <w:spacing w:before="40"/>
              <w:ind w:left="360"/>
              <w:jc w:val="left"/>
              <w:rPr>
                <w:sz w:val="18"/>
                <w:szCs w:val="18"/>
              </w:rPr>
            </w:pPr>
          </w:p>
          <w:p w14:paraId="7773F13D" w14:textId="77777777" w:rsidR="00CD19B6" w:rsidRDefault="00CD19B6" w:rsidP="004F26E7">
            <w:pPr>
              <w:pStyle w:val="Retraitnormal"/>
              <w:spacing w:before="40"/>
              <w:ind w:left="360"/>
              <w:jc w:val="left"/>
              <w:rPr>
                <w:sz w:val="18"/>
                <w:szCs w:val="18"/>
              </w:rPr>
            </w:pPr>
          </w:p>
          <w:p w14:paraId="00EB5ED5" w14:textId="181D2C80" w:rsidR="00CD19B6" w:rsidRDefault="00CD19B6" w:rsidP="00DB1015">
            <w:pPr>
              <w:pStyle w:val="Retraitnormal"/>
              <w:numPr>
                <w:ilvl w:val="0"/>
                <w:numId w:val="46"/>
              </w:numPr>
              <w:spacing w:before="40"/>
              <w:jc w:val="left"/>
              <w:rPr>
                <w:sz w:val="18"/>
                <w:szCs w:val="18"/>
              </w:rPr>
            </w:pPr>
            <w:r w:rsidRPr="00DB1015">
              <w:rPr>
                <w:sz w:val="18"/>
                <w:szCs w:val="18"/>
              </w:rPr>
              <w:t>Prix des prestations apprécié au regard du montant du DQE</w:t>
            </w:r>
          </w:p>
          <w:p w14:paraId="39A790E7" w14:textId="77777777" w:rsidR="00CD19B6" w:rsidRDefault="00CD19B6" w:rsidP="004F26E7">
            <w:pPr>
              <w:pStyle w:val="Retraitnormal"/>
              <w:spacing w:before="40"/>
              <w:ind w:left="360"/>
              <w:jc w:val="left"/>
              <w:rPr>
                <w:sz w:val="18"/>
                <w:szCs w:val="18"/>
              </w:rPr>
            </w:pPr>
          </w:p>
          <w:p w14:paraId="14792A92" w14:textId="17668ABA" w:rsidR="00CD19B6" w:rsidRPr="000544E4" w:rsidRDefault="00CD19B6" w:rsidP="004F26E7">
            <w:pPr>
              <w:pStyle w:val="Retraitnormal"/>
              <w:spacing w:before="40"/>
              <w:ind w:left="360"/>
              <w:jc w:val="left"/>
              <w:rPr>
                <w:sz w:val="18"/>
                <w:szCs w:val="18"/>
              </w:rPr>
            </w:pPr>
          </w:p>
        </w:tc>
        <w:tc>
          <w:tcPr>
            <w:tcW w:w="2016" w:type="dxa"/>
            <w:shd w:val="clear" w:color="auto" w:fill="auto"/>
            <w:vAlign w:val="center"/>
          </w:tcPr>
          <w:p w14:paraId="0762DE16" w14:textId="340F4A58" w:rsidR="000544E4" w:rsidRPr="000544E4" w:rsidDel="000544E4" w:rsidRDefault="000544E4" w:rsidP="000544E4">
            <w:pPr>
              <w:pStyle w:val="Retraitnormal"/>
              <w:spacing w:before="40"/>
              <w:ind w:left="0"/>
              <w:jc w:val="center"/>
              <w:rPr>
                <w:i/>
                <w:sz w:val="18"/>
                <w:szCs w:val="18"/>
              </w:rPr>
            </w:pPr>
            <w:r w:rsidRPr="00A64DD1">
              <w:rPr>
                <w:i/>
                <w:sz w:val="18"/>
                <w:szCs w:val="18"/>
              </w:rPr>
              <w:t>2</w:t>
            </w:r>
            <w:r>
              <w:rPr>
                <w:i/>
                <w:sz w:val="18"/>
                <w:szCs w:val="18"/>
              </w:rPr>
              <w:t>0</w:t>
            </w:r>
            <w:r w:rsidRPr="00A64DD1">
              <w:rPr>
                <w:i/>
                <w:sz w:val="18"/>
                <w:szCs w:val="18"/>
              </w:rPr>
              <w:t xml:space="preserve"> points</w:t>
            </w:r>
          </w:p>
        </w:tc>
      </w:tr>
      <w:tr w:rsidR="00BB374B" w:rsidRPr="007B2503" w14:paraId="156F91F4" w14:textId="77777777" w:rsidTr="004F26E7">
        <w:tc>
          <w:tcPr>
            <w:tcW w:w="1134" w:type="dxa"/>
            <w:vMerge w:val="restart"/>
            <w:shd w:val="clear" w:color="auto" w:fill="auto"/>
            <w:vAlign w:val="center"/>
          </w:tcPr>
          <w:p w14:paraId="6168190D" w14:textId="12438C4B" w:rsidR="00BB374B" w:rsidRDefault="00BB374B" w:rsidP="000544E4">
            <w:pPr>
              <w:pStyle w:val="Retraitnormal"/>
              <w:spacing w:before="40"/>
              <w:ind w:left="0"/>
              <w:jc w:val="center"/>
              <w:rPr>
                <w:b/>
                <w:sz w:val="18"/>
                <w:szCs w:val="18"/>
              </w:rPr>
            </w:pPr>
            <w:r>
              <w:rPr>
                <w:b/>
                <w:sz w:val="18"/>
                <w:szCs w:val="18"/>
              </w:rPr>
              <w:t>Critère v</w:t>
            </w:r>
            <w:r w:rsidR="000544E4" w:rsidRPr="004F26E7">
              <w:rPr>
                <w:b/>
                <w:sz w:val="18"/>
                <w:szCs w:val="18"/>
              </w:rPr>
              <w:t xml:space="preserve">aleur </w:t>
            </w:r>
            <w:r>
              <w:rPr>
                <w:b/>
                <w:sz w:val="18"/>
                <w:szCs w:val="18"/>
              </w:rPr>
              <w:t>technique</w:t>
            </w:r>
          </w:p>
          <w:p w14:paraId="4524ECA0" w14:textId="3661CFA7" w:rsidR="000544E4" w:rsidRPr="004F26E7" w:rsidRDefault="000544E4" w:rsidP="004F26E7">
            <w:pPr>
              <w:pStyle w:val="Retraitnormal"/>
              <w:spacing w:before="40"/>
              <w:ind w:left="0"/>
              <w:jc w:val="center"/>
              <w:rPr>
                <w:b/>
                <w:sz w:val="18"/>
                <w:szCs w:val="18"/>
              </w:rPr>
            </w:pPr>
            <w:proofErr w:type="gramStart"/>
            <w:r w:rsidRPr="004F26E7">
              <w:rPr>
                <w:b/>
                <w:sz w:val="18"/>
                <w:szCs w:val="18"/>
              </w:rPr>
              <w:t>de</w:t>
            </w:r>
            <w:proofErr w:type="gramEnd"/>
            <w:r w:rsidRPr="004F26E7">
              <w:rPr>
                <w:b/>
                <w:sz w:val="18"/>
                <w:szCs w:val="18"/>
              </w:rPr>
              <w:t xml:space="preserve"> l’offre</w:t>
            </w:r>
          </w:p>
          <w:p w14:paraId="34967DAF" w14:textId="65032FCA" w:rsidR="000544E4" w:rsidRPr="004F26E7" w:rsidRDefault="000544E4" w:rsidP="004F26E7">
            <w:pPr>
              <w:pStyle w:val="Retraitnormal"/>
              <w:spacing w:before="40"/>
              <w:ind w:left="0"/>
              <w:jc w:val="center"/>
              <w:rPr>
                <w:i/>
                <w:sz w:val="18"/>
                <w:szCs w:val="18"/>
              </w:rPr>
            </w:pPr>
            <w:r w:rsidRPr="004F26E7">
              <w:rPr>
                <w:i/>
                <w:sz w:val="18"/>
                <w:szCs w:val="18"/>
              </w:rPr>
              <w:t xml:space="preserve">Note sur </w:t>
            </w:r>
            <w:r>
              <w:rPr>
                <w:i/>
                <w:sz w:val="18"/>
                <w:szCs w:val="18"/>
              </w:rPr>
              <w:t>8</w:t>
            </w:r>
            <w:r w:rsidRPr="004F26E7">
              <w:rPr>
                <w:i/>
                <w:sz w:val="18"/>
                <w:szCs w:val="18"/>
              </w:rPr>
              <w:t>0 points</w:t>
            </w:r>
          </w:p>
        </w:tc>
        <w:tc>
          <w:tcPr>
            <w:tcW w:w="6663" w:type="dxa"/>
            <w:shd w:val="clear" w:color="auto" w:fill="auto"/>
            <w:vAlign w:val="center"/>
          </w:tcPr>
          <w:p w14:paraId="47DCEFAB" w14:textId="77777777" w:rsidR="00CD19B6" w:rsidRDefault="00CD19B6" w:rsidP="00CD19B6">
            <w:pPr>
              <w:pStyle w:val="Retraitnormal"/>
              <w:spacing w:before="40"/>
              <w:jc w:val="left"/>
              <w:rPr>
                <w:b/>
                <w:sz w:val="18"/>
                <w:szCs w:val="18"/>
              </w:rPr>
            </w:pPr>
          </w:p>
          <w:p w14:paraId="5C8BE2B3" w14:textId="61712E00" w:rsidR="00CD19B6" w:rsidRPr="00C9308A" w:rsidRDefault="00CD19B6" w:rsidP="00C9308A">
            <w:pPr>
              <w:pStyle w:val="Retraitnormal"/>
              <w:numPr>
                <w:ilvl w:val="0"/>
                <w:numId w:val="46"/>
              </w:numPr>
              <w:spacing w:before="40"/>
              <w:jc w:val="left"/>
              <w:rPr>
                <w:sz w:val="18"/>
                <w:szCs w:val="18"/>
              </w:rPr>
            </w:pPr>
            <w:proofErr w:type="gramStart"/>
            <w:r w:rsidRPr="00C9308A">
              <w:rPr>
                <w:sz w:val="18"/>
                <w:szCs w:val="18"/>
              </w:rPr>
              <w:t>la</w:t>
            </w:r>
            <w:proofErr w:type="gramEnd"/>
            <w:r w:rsidRPr="00C9308A">
              <w:rPr>
                <w:sz w:val="18"/>
                <w:szCs w:val="18"/>
              </w:rPr>
              <w:t xml:space="preserve"> qualité et la </w:t>
            </w:r>
            <w:r w:rsidR="007E455F" w:rsidRPr="00C9308A">
              <w:rPr>
                <w:sz w:val="18"/>
                <w:szCs w:val="18"/>
              </w:rPr>
              <w:t>pertinence des</w:t>
            </w:r>
            <w:r w:rsidRPr="00C9308A">
              <w:rPr>
                <w:sz w:val="18"/>
                <w:szCs w:val="18"/>
              </w:rPr>
              <w:t xml:space="preserve"> moyens humains proposés, notamment l'expérience professionnelle des intervenants affectés à l’exécution du marché, ainsi que la répartition des tâches entre les différents intervenants</w:t>
            </w:r>
          </w:p>
          <w:p w14:paraId="0C6067F6" w14:textId="63140EA7" w:rsidR="00CD19B6" w:rsidRPr="004F26E7" w:rsidRDefault="00CD19B6" w:rsidP="00C9308A">
            <w:pPr>
              <w:pStyle w:val="Retraitnormal"/>
              <w:spacing w:before="40"/>
              <w:ind w:left="0"/>
              <w:jc w:val="left"/>
              <w:rPr>
                <w:b/>
                <w:sz w:val="18"/>
                <w:szCs w:val="18"/>
              </w:rPr>
            </w:pPr>
          </w:p>
        </w:tc>
        <w:tc>
          <w:tcPr>
            <w:tcW w:w="2016" w:type="dxa"/>
            <w:shd w:val="clear" w:color="auto" w:fill="auto"/>
            <w:vAlign w:val="center"/>
          </w:tcPr>
          <w:p w14:paraId="6981037C" w14:textId="1C0C10A1" w:rsidR="000544E4" w:rsidRPr="004F26E7" w:rsidRDefault="000D158F" w:rsidP="000544E4">
            <w:pPr>
              <w:pStyle w:val="Retraitnormal"/>
              <w:spacing w:before="40"/>
              <w:ind w:left="0"/>
              <w:jc w:val="center"/>
              <w:rPr>
                <w:sz w:val="18"/>
                <w:szCs w:val="18"/>
              </w:rPr>
            </w:pPr>
            <w:r>
              <w:rPr>
                <w:i/>
                <w:sz w:val="18"/>
                <w:szCs w:val="18"/>
              </w:rPr>
              <w:t>2</w:t>
            </w:r>
            <w:r w:rsidR="000544E4">
              <w:rPr>
                <w:i/>
                <w:sz w:val="18"/>
                <w:szCs w:val="18"/>
              </w:rPr>
              <w:t>0</w:t>
            </w:r>
            <w:r w:rsidR="000544E4" w:rsidRPr="004F26E7">
              <w:rPr>
                <w:i/>
                <w:sz w:val="18"/>
                <w:szCs w:val="18"/>
              </w:rPr>
              <w:t xml:space="preserve"> points</w:t>
            </w:r>
          </w:p>
        </w:tc>
      </w:tr>
      <w:tr w:rsidR="00BB374B" w:rsidRPr="007B2503" w14:paraId="5C551497" w14:textId="77777777" w:rsidTr="004F26E7">
        <w:tc>
          <w:tcPr>
            <w:tcW w:w="1134" w:type="dxa"/>
            <w:vMerge/>
            <w:shd w:val="clear" w:color="auto" w:fill="auto"/>
          </w:tcPr>
          <w:p w14:paraId="3DCEBB41" w14:textId="77777777" w:rsidR="000544E4" w:rsidRPr="004F26E7" w:rsidRDefault="000544E4" w:rsidP="000544E4">
            <w:pPr>
              <w:pStyle w:val="Retraitnormal"/>
              <w:spacing w:before="40"/>
              <w:ind w:left="0"/>
              <w:rPr>
                <w:sz w:val="18"/>
                <w:szCs w:val="18"/>
              </w:rPr>
            </w:pPr>
          </w:p>
        </w:tc>
        <w:tc>
          <w:tcPr>
            <w:tcW w:w="6663" w:type="dxa"/>
            <w:shd w:val="clear" w:color="auto" w:fill="auto"/>
            <w:vAlign w:val="center"/>
          </w:tcPr>
          <w:p w14:paraId="3EF28089" w14:textId="5BD4B282" w:rsidR="00BB374B" w:rsidRPr="004F26E7" w:rsidRDefault="000544E4" w:rsidP="004F26E7">
            <w:pPr>
              <w:pStyle w:val="Retraitnormal"/>
              <w:numPr>
                <w:ilvl w:val="0"/>
                <w:numId w:val="46"/>
              </w:numPr>
              <w:spacing w:before="40"/>
              <w:jc w:val="left"/>
              <w:rPr>
                <w:sz w:val="18"/>
                <w:szCs w:val="18"/>
              </w:rPr>
            </w:pPr>
            <w:r w:rsidRPr="004F26E7">
              <w:rPr>
                <w:sz w:val="18"/>
                <w:szCs w:val="18"/>
              </w:rPr>
              <w:t xml:space="preserve">Appréciation </w:t>
            </w:r>
            <w:r w:rsidR="00261085">
              <w:rPr>
                <w:sz w:val="18"/>
                <w:szCs w:val="18"/>
              </w:rPr>
              <w:t xml:space="preserve">des temps passés </w:t>
            </w:r>
            <w:r w:rsidR="00BB374B" w:rsidRPr="004F26E7">
              <w:rPr>
                <w:sz w:val="18"/>
                <w:szCs w:val="18"/>
              </w:rPr>
              <w:t>e</w:t>
            </w:r>
            <w:r w:rsidR="00BB374B" w:rsidRPr="00BB374B">
              <w:rPr>
                <w:sz w:val="18"/>
                <w:szCs w:val="18"/>
              </w:rPr>
              <w:t xml:space="preserve">n phase </w:t>
            </w:r>
            <w:r w:rsidR="00BB374B" w:rsidRPr="004F26E7">
              <w:rPr>
                <w:b/>
                <w:bCs/>
                <w:sz w:val="18"/>
                <w:szCs w:val="18"/>
              </w:rPr>
              <w:t>conception</w:t>
            </w:r>
          </w:p>
        </w:tc>
        <w:tc>
          <w:tcPr>
            <w:tcW w:w="2016" w:type="dxa"/>
            <w:shd w:val="clear" w:color="auto" w:fill="auto"/>
            <w:vAlign w:val="center"/>
          </w:tcPr>
          <w:p w14:paraId="7839CC07" w14:textId="369576CE" w:rsidR="000544E4" w:rsidRPr="004F26E7" w:rsidRDefault="00BB374B" w:rsidP="000544E4">
            <w:pPr>
              <w:pStyle w:val="Retraitnormal"/>
              <w:spacing w:before="40"/>
              <w:ind w:left="0"/>
              <w:jc w:val="center"/>
              <w:rPr>
                <w:sz w:val="18"/>
                <w:szCs w:val="18"/>
              </w:rPr>
            </w:pPr>
            <w:r>
              <w:rPr>
                <w:i/>
                <w:sz w:val="18"/>
                <w:szCs w:val="18"/>
              </w:rPr>
              <w:t>1</w:t>
            </w:r>
            <w:r w:rsidR="00C9308A">
              <w:rPr>
                <w:i/>
                <w:sz w:val="18"/>
                <w:szCs w:val="18"/>
              </w:rPr>
              <w:t>0</w:t>
            </w:r>
            <w:r w:rsidR="000544E4" w:rsidRPr="004F26E7">
              <w:rPr>
                <w:i/>
                <w:sz w:val="18"/>
                <w:szCs w:val="18"/>
              </w:rPr>
              <w:t xml:space="preserve"> points</w:t>
            </w:r>
          </w:p>
        </w:tc>
      </w:tr>
      <w:tr w:rsidR="00BB374B" w:rsidRPr="007B2503" w14:paraId="7FEECEC9" w14:textId="77777777" w:rsidTr="00BB374B">
        <w:tc>
          <w:tcPr>
            <w:tcW w:w="1134" w:type="dxa"/>
            <w:vMerge/>
            <w:shd w:val="clear" w:color="auto" w:fill="auto"/>
          </w:tcPr>
          <w:p w14:paraId="719188C4" w14:textId="77777777" w:rsidR="00BB374B" w:rsidRPr="00BB374B" w:rsidRDefault="00BB374B" w:rsidP="000544E4">
            <w:pPr>
              <w:pStyle w:val="Retraitnormal"/>
              <w:spacing w:before="40"/>
              <w:ind w:left="0"/>
              <w:rPr>
                <w:sz w:val="18"/>
                <w:szCs w:val="18"/>
              </w:rPr>
            </w:pPr>
          </w:p>
        </w:tc>
        <w:tc>
          <w:tcPr>
            <w:tcW w:w="6663" w:type="dxa"/>
            <w:shd w:val="clear" w:color="auto" w:fill="auto"/>
            <w:vAlign w:val="center"/>
          </w:tcPr>
          <w:p w14:paraId="7738C681" w14:textId="7749176A" w:rsidR="00BB374B" w:rsidRPr="00BB374B" w:rsidRDefault="00BB374B" w:rsidP="00BB374B">
            <w:pPr>
              <w:pStyle w:val="Retraitnormal"/>
              <w:numPr>
                <w:ilvl w:val="0"/>
                <w:numId w:val="46"/>
              </w:numPr>
              <w:spacing w:before="40"/>
              <w:jc w:val="left"/>
              <w:rPr>
                <w:sz w:val="18"/>
                <w:szCs w:val="18"/>
              </w:rPr>
            </w:pPr>
            <w:r w:rsidRPr="00AD1F3B">
              <w:rPr>
                <w:sz w:val="18"/>
                <w:szCs w:val="18"/>
              </w:rPr>
              <w:t xml:space="preserve">Appréciation </w:t>
            </w:r>
            <w:r>
              <w:rPr>
                <w:sz w:val="18"/>
                <w:szCs w:val="18"/>
              </w:rPr>
              <w:t xml:space="preserve">des </w:t>
            </w:r>
            <w:r w:rsidRPr="00AD1F3B">
              <w:rPr>
                <w:sz w:val="18"/>
                <w:szCs w:val="18"/>
              </w:rPr>
              <w:t xml:space="preserve">temps </w:t>
            </w:r>
            <w:r w:rsidR="00261085">
              <w:rPr>
                <w:sz w:val="18"/>
                <w:szCs w:val="18"/>
              </w:rPr>
              <w:t xml:space="preserve">passés </w:t>
            </w:r>
            <w:r>
              <w:rPr>
                <w:sz w:val="18"/>
                <w:szCs w:val="18"/>
              </w:rPr>
              <w:t xml:space="preserve">en phase </w:t>
            </w:r>
            <w:r w:rsidRPr="004F26E7">
              <w:rPr>
                <w:b/>
                <w:bCs/>
                <w:sz w:val="18"/>
                <w:szCs w:val="18"/>
              </w:rPr>
              <w:t>exécution</w:t>
            </w:r>
          </w:p>
        </w:tc>
        <w:tc>
          <w:tcPr>
            <w:tcW w:w="2016" w:type="dxa"/>
            <w:shd w:val="clear" w:color="auto" w:fill="auto"/>
            <w:vAlign w:val="center"/>
          </w:tcPr>
          <w:p w14:paraId="58243414" w14:textId="1EFBA058" w:rsidR="00BB374B" w:rsidRPr="00BB374B" w:rsidRDefault="00BB374B" w:rsidP="000544E4">
            <w:pPr>
              <w:pStyle w:val="Retraitnormal"/>
              <w:spacing w:before="40"/>
              <w:ind w:left="0"/>
              <w:jc w:val="center"/>
              <w:rPr>
                <w:i/>
                <w:sz w:val="18"/>
                <w:szCs w:val="18"/>
              </w:rPr>
            </w:pPr>
            <w:r>
              <w:rPr>
                <w:i/>
                <w:sz w:val="18"/>
                <w:szCs w:val="18"/>
              </w:rPr>
              <w:t>2</w:t>
            </w:r>
            <w:r w:rsidR="00C9308A">
              <w:rPr>
                <w:i/>
                <w:sz w:val="18"/>
                <w:szCs w:val="18"/>
              </w:rPr>
              <w:t>0</w:t>
            </w:r>
            <w:r w:rsidRPr="00AD1F3B">
              <w:rPr>
                <w:i/>
                <w:sz w:val="18"/>
                <w:szCs w:val="18"/>
              </w:rPr>
              <w:t xml:space="preserve"> points</w:t>
            </w:r>
          </w:p>
        </w:tc>
      </w:tr>
      <w:tr w:rsidR="00BB374B" w:rsidRPr="007B2503" w14:paraId="6ABF390D" w14:textId="77777777" w:rsidTr="00AA4064">
        <w:tc>
          <w:tcPr>
            <w:tcW w:w="1134" w:type="dxa"/>
            <w:vMerge/>
            <w:shd w:val="clear" w:color="auto" w:fill="auto"/>
            <w:vAlign w:val="center"/>
          </w:tcPr>
          <w:p w14:paraId="4703BBFF" w14:textId="77777777" w:rsidR="00BB374B" w:rsidRPr="004F26E7" w:rsidRDefault="00BB374B" w:rsidP="004F26E7">
            <w:pPr>
              <w:pStyle w:val="Retraitnormal"/>
              <w:spacing w:before="40"/>
              <w:ind w:left="0"/>
              <w:jc w:val="center"/>
              <w:rPr>
                <w:sz w:val="18"/>
                <w:szCs w:val="18"/>
              </w:rPr>
            </w:pPr>
          </w:p>
        </w:tc>
        <w:tc>
          <w:tcPr>
            <w:tcW w:w="6663" w:type="dxa"/>
            <w:shd w:val="clear" w:color="auto" w:fill="auto"/>
            <w:vAlign w:val="center"/>
          </w:tcPr>
          <w:p w14:paraId="34E6C9E6" w14:textId="4DFEA8F1" w:rsidR="00CD19B6" w:rsidRDefault="00CD19B6" w:rsidP="00C9308A">
            <w:pPr>
              <w:pStyle w:val="Retraitnormal"/>
              <w:numPr>
                <w:ilvl w:val="0"/>
                <w:numId w:val="46"/>
              </w:numPr>
              <w:spacing w:before="40"/>
              <w:jc w:val="left"/>
              <w:rPr>
                <w:sz w:val="18"/>
                <w:szCs w:val="18"/>
              </w:rPr>
            </w:pPr>
            <w:proofErr w:type="gramStart"/>
            <w:r w:rsidRPr="00C9308A">
              <w:rPr>
                <w:sz w:val="18"/>
                <w:szCs w:val="18"/>
              </w:rPr>
              <w:t>la</w:t>
            </w:r>
            <w:proofErr w:type="gramEnd"/>
            <w:r w:rsidRPr="00C9308A">
              <w:rPr>
                <w:sz w:val="18"/>
                <w:szCs w:val="18"/>
              </w:rPr>
              <w:t xml:space="preserve"> méthodologie et l’organisation opérationnelle proposées pour réaliser l’ensemble </w:t>
            </w:r>
            <w:r w:rsidR="007E455F" w:rsidRPr="00C9308A">
              <w:rPr>
                <w:sz w:val="18"/>
                <w:szCs w:val="18"/>
              </w:rPr>
              <w:t>des missions</w:t>
            </w:r>
            <w:r w:rsidRPr="00C9308A">
              <w:rPr>
                <w:sz w:val="18"/>
                <w:szCs w:val="18"/>
              </w:rPr>
              <w:t>, telle qu’elles résultent du contenu du mémoire technique, ainsi que la qualité des livrables</w:t>
            </w:r>
          </w:p>
          <w:p w14:paraId="3435BDDA" w14:textId="203735C4" w:rsidR="00CD19B6" w:rsidRPr="004F26E7" w:rsidRDefault="00CD19B6" w:rsidP="00C9308A">
            <w:pPr>
              <w:pStyle w:val="Retraitnormal"/>
              <w:spacing w:before="40"/>
              <w:ind w:left="0"/>
              <w:jc w:val="left"/>
              <w:rPr>
                <w:sz w:val="18"/>
                <w:szCs w:val="18"/>
              </w:rPr>
            </w:pPr>
          </w:p>
        </w:tc>
        <w:tc>
          <w:tcPr>
            <w:tcW w:w="2016" w:type="dxa"/>
            <w:shd w:val="clear" w:color="auto" w:fill="auto"/>
            <w:vAlign w:val="center"/>
          </w:tcPr>
          <w:p w14:paraId="0CC1329C" w14:textId="66790FAD" w:rsidR="00BB374B" w:rsidRPr="004F26E7" w:rsidRDefault="00C9308A" w:rsidP="00BB374B">
            <w:pPr>
              <w:pStyle w:val="Retraitnormal"/>
              <w:spacing w:before="40"/>
              <w:ind w:left="0"/>
              <w:jc w:val="center"/>
              <w:rPr>
                <w:sz w:val="18"/>
                <w:szCs w:val="18"/>
              </w:rPr>
            </w:pPr>
            <w:r>
              <w:rPr>
                <w:i/>
                <w:sz w:val="18"/>
                <w:szCs w:val="18"/>
              </w:rPr>
              <w:t>3</w:t>
            </w:r>
            <w:r w:rsidR="00BB374B" w:rsidRPr="00432C22">
              <w:rPr>
                <w:i/>
                <w:sz w:val="18"/>
                <w:szCs w:val="18"/>
              </w:rPr>
              <w:t>0 points</w:t>
            </w:r>
          </w:p>
        </w:tc>
      </w:tr>
    </w:tbl>
    <w:p w14:paraId="44FC9245" w14:textId="77777777" w:rsidR="00617D22" w:rsidRPr="00506026" w:rsidRDefault="00617D22" w:rsidP="004F26E7"/>
    <w:p w14:paraId="7A98619D" w14:textId="77777777" w:rsidR="000D4358" w:rsidRPr="00034041" w:rsidRDefault="000D4358" w:rsidP="000D4358">
      <w:r w:rsidRPr="00034041">
        <w:t>Les offres seront classées suivant les critères énoncés ci-dessus, en appliquant les pondérations.</w:t>
      </w:r>
    </w:p>
    <w:p w14:paraId="42E5C476" w14:textId="77777777" w:rsidR="000D4358" w:rsidRPr="00BE01A0" w:rsidRDefault="000D4358" w:rsidP="000D4358">
      <w:r w:rsidRPr="00BE01A0">
        <w:t xml:space="preserve">Dans le cas où des erreurs arithmétiques ou de report seraient constatées dans la décomposition du prix global forfaitaire, d’un prix forfaitaire ou dans le sous-détail d’un prix </w:t>
      </w:r>
      <w:r w:rsidRPr="00BE01A0">
        <w:lastRenderedPageBreak/>
        <w:t xml:space="preserve">unitaire figurant dans l’offre, le candidat sera invité à confirmer le montant de ce prix rectifié, ce dernier sera alors pris en compte pour le jugement des offres. </w:t>
      </w:r>
    </w:p>
    <w:p w14:paraId="03AEC999" w14:textId="77777777" w:rsidR="000D4358" w:rsidRDefault="000D4358" w:rsidP="000D4358">
      <w:r w:rsidRPr="00BE01A0">
        <w:t>Si le prestataire est sur le point d’être retenu, il sera invité à rectifier cette décomposition ou ce sous-détail pour les mettre en harmonie avec le prix forfaitaire ou le prix unitaire correspondant.</w:t>
      </w:r>
    </w:p>
    <w:p w14:paraId="69AC5D43" w14:textId="77777777" w:rsidR="000D4358" w:rsidRPr="000D4358" w:rsidRDefault="000D4358" w:rsidP="004F26E7">
      <w:pPr>
        <w:pStyle w:val="Titre3"/>
      </w:pPr>
      <w:bookmarkStart w:id="37" w:name="_Toc142491310"/>
      <w:bookmarkStart w:id="38" w:name="_Toc142491311"/>
      <w:bookmarkStart w:id="39" w:name="_Toc134620938"/>
      <w:bookmarkStart w:id="40" w:name="_Toc137490461"/>
      <w:bookmarkStart w:id="41" w:name="_Toc143763781"/>
      <w:bookmarkEnd w:id="37"/>
      <w:bookmarkEnd w:id="38"/>
      <w:r w:rsidRPr="000D4358">
        <w:t>Négociation</w:t>
      </w:r>
      <w:bookmarkEnd w:id="39"/>
      <w:bookmarkEnd w:id="40"/>
      <w:bookmarkEnd w:id="41"/>
    </w:p>
    <w:p w14:paraId="1B710A39" w14:textId="77777777" w:rsidR="000D4358" w:rsidRPr="002D4712" w:rsidRDefault="000D4358" w:rsidP="000D4358">
      <w:r w:rsidRPr="002D4712">
        <w:t>Les candidats sont invités à remettre d’emblée leur meilleure proposition notamment financière.</w:t>
      </w:r>
    </w:p>
    <w:p w14:paraId="5AA1ECB2" w14:textId="77777777" w:rsidR="000D4358" w:rsidRPr="002D4712" w:rsidRDefault="000D4358" w:rsidP="000D4358">
      <w:r w:rsidRPr="002D4712">
        <w:t>Toutefois, compte tenu des offres reçues et de leur analyse détaillée par le Pouvoir Adjudicateur, celui</w:t>
      </w:r>
      <w:r w:rsidRPr="002D4712">
        <w:rPr>
          <w:rFonts w:ascii="Cambria Math" w:hAnsi="Cambria Math" w:cs="Cambria Math"/>
        </w:rPr>
        <w:t>‐</w:t>
      </w:r>
      <w:r w:rsidRPr="002D4712">
        <w:t>ci se r</w:t>
      </w:r>
      <w:r w:rsidRPr="002D4712">
        <w:rPr>
          <w:rFonts w:cs="Verdana"/>
        </w:rPr>
        <w:t>é</w:t>
      </w:r>
      <w:r w:rsidRPr="002D4712">
        <w:t>serve la possibilit</w:t>
      </w:r>
      <w:r w:rsidRPr="002D4712">
        <w:rPr>
          <w:rFonts w:cs="Verdana"/>
        </w:rPr>
        <w:t>é</w:t>
      </w:r>
      <w:r w:rsidRPr="002D4712">
        <w:t xml:space="preserve"> d</w:t>
      </w:r>
      <w:r w:rsidRPr="002D4712">
        <w:rPr>
          <w:rFonts w:cs="Verdana"/>
        </w:rPr>
        <w:t>’</w:t>
      </w:r>
      <w:r w:rsidRPr="002D4712">
        <w:t>engager une phase de n</w:t>
      </w:r>
      <w:r w:rsidRPr="002D4712">
        <w:rPr>
          <w:rFonts w:cs="Verdana"/>
        </w:rPr>
        <w:t>é</w:t>
      </w:r>
      <w:r w:rsidRPr="002D4712">
        <w:t>gociation conform</w:t>
      </w:r>
      <w:r w:rsidRPr="002D4712">
        <w:rPr>
          <w:rFonts w:cs="Verdana"/>
        </w:rPr>
        <w:t>é</w:t>
      </w:r>
      <w:r w:rsidRPr="002D4712">
        <w:t>ment aux dispositions de l</w:t>
      </w:r>
      <w:r w:rsidRPr="002D4712">
        <w:rPr>
          <w:rFonts w:cs="Verdana"/>
        </w:rPr>
        <w:t>’</w:t>
      </w:r>
      <w:r w:rsidRPr="002D4712">
        <w:t>article R.2123</w:t>
      </w:r>
      <w:r w:rsidRPr="002D4712">
        <w:rPr>
          <w:rFonts w:ascii="Cambria Math" w:hAnsi="Cambria Math" w:cs="Cambria Math"/>
        </w:rPr>
        <w:t>‐</w:t>
      </w:r>
      <w:r w:rsidRPr="002D4712">
        <w:t>5 du Code de la commande publique.</w:t>
      </w:r>
    </w:p>
    <w:p w14:paraId="11024727" w14:textId="77777777" w:rsidR="000D4358" w:rsidRPr="002D4712" w:rsidRDefault="000D4358" w:rsidP="000D4358">
      <w:r w:rsidRPr="002D4712">
        <w:t>Conformément à la spécificité de la procédure adaptée, la négociation au titre du présent marché demeure facultative. Le pouvoir adjudicateur se réserve également le droit d’attribuer directement le marché, sans négociations, sur la base des offres initiales.</w:t>
      </w:r>
    </w:p>
    <w:p w14:paraId="1F705885" w14:textId="77777777" w:rsidR="000D4358" w:rsidRPr="002D4712" w:rsidRDefault="000D4358" w:rsidP="000D4358">
      <w:r w:rsidRPr="002D4712">
        <w:t>En cas de négociation, le pouvoir adjudicateur pourra engager librement toutes les discussions qui lui paraissent utiles avec tout ou partie des candidats, voire avec un seul, en vue d'optimiser la ou les propositions jugées les plus intéressantes. Il se réserve également la possibilité d’écarter de la négociation les candidats ayant remis une offre irrégulière ou inacceptable.</w:t>
      </w:r>
    </w:p>
    <w:p w14:paraId="3400A662" w14:textId="352F3A57" w:rsidR="000D4358" w:rsidRPr="002D4712" w:rsidRDefault="000D4358" w:rsidP="000D4358">
      <w:r w:rsidRPr="002D4712">
        <w:t xml:space="preserve">Cette négociation pourra, dans le cas le plus simple, se réduire à un échange de mails </w:t>
      </w:r>
      <w:r w:rsidR="00CD19B6">
        <w:t xml:space="preserve">via PLACE </w:t>
      </w:r>
      <w:r w:rsidRPr="002D4712">
        <w:t>ou, si nécessaire, donner lieu à une, voire plusieurs rencontres de chacun des candidats invités à négocier, ces rencontres donnant lieu à un relevé des conclusions garant de la traçabilité des échanges intervenus.</w:t>
      </w:r>
    </w:p>
    <w:p w14:paraId="17FBBCB2" w14:textId="77777777" w:rsidR="000D4358" w:rsidRPr="002D4712" w:rsidRDefault="000D4358" w:rsidP="000D4358">
      <w:r w:rsidRPr="002D4712">
        <w:t>Le champ de la négociation pour chacune des offres tiendra compte, le cas échéant et dans le respect du principe d’égalité de traitement des candidats, des particularités des offres restant en lice, pour aboutir à un classement définitif au regard des critères de jugement, le marché étant attribué au candidat dont l'offre sera classée première.</w:t>
      </w:r>
    </w:p>
    <w:p w14:paraId="2CF51AB5" w14:textId="5F0976BA" w:rsidR="00273A4A" w:rsidRPr="00034041" w:rsidRDefault="000D4358" w:rsidP="000D4358">
      <w:r w:rsidRPr="002D4712">
        <w:t>Un nouvel acte d'engagement prenant en compte les modifications éventuellement apportées à l'offre initiale devra alors être signé</w:t>
      </w:r>
      <w:r w:rsidR="00443019">
        <w:t>.</w:t>
      </w:r>
    </w:p>
    <w:p w14:paraId="5FF462CC" w14:textId="3039C215" w:rsidR="00A61AF0" w:rsidRDefault="00A61AF0">
      <w:pPr>
        <w:spacing w:before="0" w:line="240" w:lineRule="auto"/>
        <w:jc w:val="left"/>
        <w:rPr>
          <w:b/>
          <w:color w:val="1F3864" w:themeColor="accent1" w:themeShade="80"/>
          <w:sz w:val="24"/>
        </w:rPr>
      </w:pPr>
      <w:bookmarkStart w:id="42" w:name="_Toc30923335"/>
      <w:bookmarkStart w:id="43" w:name="_Toc114385086"/>
    </w:p>
    <w:p w14:paraId="4590CD32" w14:textId="77777777" w:rsidR="00B00627" w:rsidRPr="00484BBB" w:rsidRDefault="00B00627" w:rsidP="00B00627">
      <w:pPr>
        <w:pStyle w:val="Titre2"/>
      </w:pPr>
      <w:bookmarkStart w:id="44" w:name="_Toc143763782"/>
      <w:bookmarkEnd w:id="42"/>
      <w:bookmarkEnd w:id="43"/>
      <w:r w:rsidRPr="00484BBB">
        <w:t>CONDITIONS D’ENVOI OU DE REMISE DES OFFRES</w:t>
      </w:r>
      <w:bookmarkEnd w:id="44"/>
    </w:p>
    <w:p w14:paraId="0081536F" w14:textId="77777777" w:rsidR="00B00627" w:rsidRPr="00535BED" w:rsidRDefault="00B00627" w:rsidP="00B00627">
      <w:pPr>
        <w:pStyle w:val="Sous-titre"/>
      </w:pPr>
      <w:r w:rsidRPr="00B8013A">
        <w:t>Conformément à l’article L.2132-2 du code de la commande publique, les documents du marché sont obligatoirement transmis par voie électronique, sur le site PLACE (plateforme des achats de l’Etat) à l’adresse suivante :</w:t>
      </w:r>
    </w:p>
    <w:p w14:paraId="25066F9B" w14:textId="61E60181" w:rsidR="000809E6" w:rsidRDefault="000809E6" w:rsidP="000809E6">
      <w:pPr>
        <w:pStyle w:val="Sous-titre"/>
        <w:jc w:val="center"/>
        <w:rPr>
          <w:color w:val="0070C0"/>
          <w:u w:val="single"/>
        </w:rPr>
      </w:pPr>
      <w:hyperlink r:id="rId10" w:history="1">
        <w:r w:rsidRPr="00722292">
          <w:rPr>
            <w:rStyle w:val="Lienhypertexte"/>
          </w:rPr>
          <w:t>https://www.marches-publics.gouv.fr/?page=Entreprise.EntrepriseAdvancedSearch&amp;AllCons&amp;id=2742659&amp;orgAcronyme=d3f</w:t>
        </w:r>
      </w:hyperlink>
    </w:p>
    <w:p w14:paraId="1E7E9C6A" w14:textId="13364BCB" w:rsidR="00B00627" w:rsidRPr="00535BED" w:rsidRDefault="00B00627" w:rsidP="00B00627">
      <w:pPr>
        <w:pStyle w:val="Sous-titre"/>
      </w:pPr>
      <w:r w:rsidRPr="00535BED">
        <w:t>Elles devront, dans tous les cas, parvenir avant l</w:t>
      </w:r>
      <w:r>
        <w:t xml:space="preserve">es </w:t>
      </w:r>
      <w:r w:rsidRPr="00535BED">
        <w:t>date et heure limites indiquées sur la page de garde du présent règlement de consultation.</w:t>
      </w:r>
    </w:p>
    <w:p w14:paraId="7A433EAF" w14:textId="77777777" w:rsidR="00B00627" w:rsidRPr="00535BED" w:rsidRDefault="00B00627" w:rsidP="00B00627">
      <w:pPr>
        <w:pStyle w:val="Sous-titre"/>
      </w:pPr>
      <w:r w:rsidRPr="00535BED">
        <w:t>Les dossiers dont l'avis de réception serait délivré après la date et l'heure limites fixées ci-dessus ne seront pas retenus et seront détruits.</w:t>
      </w:r>
    </w:p>
    <w:p w14:paraId="00C8B7EA" w14:textId="77777777" w:rsidR="00B00627" w:rsidRDefault="00B00627" w:rsidP="00B00627">
      <w:pPr>
        <w:pStyle w:val="Sous-titre"/>
        <w:rPr>
          <w:rFonts w:cs="Arial"/>
          <w:szCs w:val="18"/>
        </w:rPr>
      </w:pPr>
      <w:r>
        <w:t xml:space="preserve">Les candidats sont invités </w:t>
      </w:r>
      <w:r w:rsidRPr="00535BED">
        <w:t xml:space="preserve">à prendre en compte les délais de téléchargement et les prérequis de la plateforme </w:t>
      </w:r>
      <w:r>
        <w:t>PLACE</w:t>
      </w:r>
      <w:r w:rsidRPr="00535BED">
        <w:t>.</w:t>
      </w:r>
    </w:p>
    <w:p w14:paraId="782539EC" w14:textId="77777777" w:rsidR="00ED6E74" w:rsidRPr="00ED6E74" w:rsidRDefault="00ED6E74"/>
    <w:p w14:paraId="3577713E" w14:textId="77777777" w:rsidR="00ED6E74" w:rsidRPr="00AA4064" w:rsidRDefault="00ED6E74" w:rsidP="00AA4064">
      <w:pPr>
        <w:pStyle w:val="Titre2"/>
        <w:rPr>
          <w:b w:val="0"/>
        </w:rPr>
      </w:pPr>
      <w:bookmarkStart w:id="45" w:name="_Toc143763783"/>
      <w:r w:rsidRPr="00AA4064">
        <w:t>RENSEIGNEMENTS COMPLEMENTAIRES</w:t>
      </w:r>
      <w:bookmarkEnd w:id="45"/>
    </w:p>
    <w:p w14:paraId="4568D75A" w14:textId="77777777" w:rsidR="00AA4064" w:rsidRDefault="00AA4064" w:rsidP="00AA4064">
      <w:pPr>
        <w:pStyle w:val="Sous-titre"/>
      </w:pPr>
      <w:r w:rsidRPr="00E41D3F">
        <w:t>Pour obtenir tous renseignements complémentaires qui leur seraient nécessaires, les c</w:t>
      </w:r>
      <w:r>
        <w:t>andidats</w:t>
      </w:r>
      <w:r w:rsidRPr="00E41D3F">
        <w:t xml:space="preserve"> devront faire parvenir</w:t>
      </w:r>
      <w:r>
        <w:t>,</w:t>
      </w:r>
      <w:r w:rsidRPr="00E41D3F">
        <w:t xml:space="preserve"> au plus tard </w:t>
      </w:r>
      <w:r>
        <w:t xml:space="preserve">7 </w:t>
      </w:r>
      <w:r w:rsidRPr="00E41D3F">
        <w:t xml:space="preserve">jours avant la date limite de remise des offres, </w:t>
      </w:r>
      <w:r>
        <w:t xml:space="preserve">leurs </w:t>
      </w:r>
      <w:r w:rsidRPr="00E41D3F">
        <w:t>demande</w:t>
      </w:r>
      <w:r>
        <w:t>s</w:t>
      </w:r>
      <w:r w:rsidRPr="00E41D3F">
        <w:t xml:space="preserve"> </w:t>
      </w:r>
      <w:r>
        <w:t xml:space="preserve">via PLACE </w:t>
      </w:r>
      <w:r w:rsidRPr="00B8013A">
        <w:t xml:space="preserve">à l’adresse suivante : </w:t>
      </w:r>
    </w:p>
    <w:p w14:paraId="621A64A5" w14:textId="77777777" w:rsidR="00AA4064" w:rsidRPr="00B8013A" w:rsidRDefault="00AA4064" w:rsidP="00AA4064">
      <w:pPr>
        <w:spacing w:before="200"/>
      </w:pPr>
    </w:p>
    <w:p w14:paraId="50EA7F04" w14:textId="0D91916F" w:rsidR="00210877" w:rsidRDefault="000809E6" w:rsidP="000809E6">
      <w:pPr>
        <w:pStyle w:val="Sous-titre"/>
        <w:jc w:val="center"/>
      </w:pPr>
      <w:hyperlink r:id="rId11" w:history="1">
        <w:r w:rsidRPr="00722292">
          <w:rPr>
            <w:rStyle w:val="Lienhypertexte"/>
          </w:rPr>
          <w:t>https://www.marches-publics.gouv.fr/?page=Entreprise.EntrepriseAdvancedSearch&amp;AllCons&amp;id=2742659&amp;orgAcronyme=d3f</w:t>
        </w:r>
      </w:hyperlink>
    </w:p>
    <w:p w14:paraId="2D51B13F" w14:textId="4A12DE64" w:rsidR="00AA4064" w:rsidRPr="00F621E7" w:rsidRDefault="00AA4064" w:rsidP="00AA4064">
      <w:pPr>
        <w:pStyle w:val="Sous-titre"/>
      </w:pPr>
      <w:r w:rsidRPr="00F621E7">
        <w:t xml:space="preserve">Une réponse sera alors adressée à tous les concurrents via la plateforme. </w:t>
      </w:r>
    </w:p>
    <w:p w14:paraId="32099867" w14:textId="77777777" w:rsidR="00AA4064" w:rsidRPr="00F621E7" w:rsidRDefault="00AA4064" w:rsidP="00AA4064">
      <w:pPr>
        <w:pStyle w:val="Sous-titre"/>
      </w:pPr>
      <w:r w:rsidRPr="00F621E7">
        <w:t>Si, pendant l’étude du dossier par les candidats, la date limite fixée pour la remise des offres est reportée, la disposition précédente est applicable en fonction de cette nouvelle date.</w:t>
      </w:r>
    </w:p>
    <w:p w14:paraId="340E8A52" w14:textId="77777777" w:rsidR="00ED6E74" w:rsidRPr="00AA4064" w:rsidRDefault="00ED6E74" w:rsidP="00AA4064"/>
    <w:p w14:paraId="3D2FE0E8" w14:textId="2E4C1C34" w:rsidR="00ED6E74" w:rsidRPr="00AA4064" w:rsidRDefault="00ED6E74" w:rsidP="00AA4064">
      <w:pPr>
        <w:pStyle w:val="Titre2"/>
        <w:rPr>
          <w:b w:val="0"/>
        </w:rPr>
      </w:pPr>
      <w:bookmarkStart w:id="46" w:name="_Toc142491316"/>
      <w:bookmarkStart w:id="47" w:name="_Toc97733133"/>
      <w:bookmarkStart w:id="48" w:name="_Toc143763784"/>
      <w:bookmarkStart w:id="49" w:name="_Toc367887174"/>
      <w:bookmarkEnd w:id="46"/>
      <w:r w:rsidRPr="00AA4064">
        <w:t>Modalités de transmission des candidatures et des offres par voie électronique</w:t>
      </w:r>
      <w:bookmarkEnd w:id="47"/>
      <w:bookmarkEnd w:id="48"/>
    </w:p>
    <w:p w14:paraId="70D3F26E" w14:textId="77777777" w:rsidR="00ED6E74" w:rsidRPr="00AA4064" w:rsidRDefault="00ED6E74" w:rsidP="00ED6E74">
      <w:r w:rsidRPr="00AA4064">
        <w:t xml:space="preserve">Conformément à l’article L.2132-2 du Code de la commande publique, lorsque les documents du marché sont transmis par voie électronique, ils doivent être présentés selon les modalités fixées par l’arrêté du 22 mars 2019 relatif à la signature électronique dans les marchés publics. </w:t>
      </w:r>
    </w:p>
    <w:p w14:paraId="0E08511D" w14:textId="77777777" w:rsidR="00ED6E74" w:rsidRPr="00AA4064" w:rsidRDefault="00ED6E74" w:rsidP="00ED6E74">
      <w:r w:rsidRPr="00AA4064">
        <w:t xml:space="preserve">Les documents qui peuvent être signés au moyen d’un certificat électronique sont : </w:t>
      </w:r>
    </w:p>
    <w:p w14:paraId="701C6F6B" w14:textId="77777777" w:rsidR="00ED6E74" w:rsidRPr="00AA4064" w:rsidRDefault="00ED6E74" w:rsidP="00ED6E74">
      <w:pPr>
        <w:numPr>
          <w:ilvl w:val="0"/>
          <w:numId w:val="58"/>
        </w:numPr>
      </w:pPr>
      <w:r w:rsidRPr="00AA4064">
        <w:t xml:space="preserve">L’acte d’engagement </w:t>
      </w:r>
    </w:p>
    <w:p w14:paraId="0DEB4A52" w14:textId="77777777" w:rsidR="00ED6E74" w:rsidRPr="00AA4064" w:rsidRDefault="00ED6E74" w:rsidP="00ED6E74">
      <w:r w:rsidRPr="00AA4064">
        <w:t xml:space="preserve">A l’issue de la procédure, et dans l’hypothèse où le candidat n’a pas signé son offre via une signature électronique lors de la remise de son offre, il sera demandé à l’attributaire de signer électroniquement son offre. Dans l’hypothèse où l’attributaire ne dispose pas de signature électronique, il lui sera alors demandé une signature manuscrite. </w:t>
      </w:r>
    </w:p>
    <w:p w14:paraId="168ED561" w14:textId="77777777" w:rsidR="00ED6E74" w:rsidRPr="00AA4064" w:rsidRDefault="00ED6E74" w:rsidP="00ED6E74">
      <w:r w:rsidRPr="00AA4064">
        <w:t xml:space="preserve">Dans le cas où le candidat opte pour la signature électronique, chaque document doit être signé Électroniquement (et non seulement le dossier .zip). </w:t>
      </w:r>
    </w:p>
    <w:p w14:paraId="009C9673" w14:textId="77777777" w:rsidR="00ED6E74" w:rsidRPr="00AA4064" w:rsidRDefault="00ED6E74" w:rsidP="00ED6E74">
      <w:r w:rsidRPr="00AA4064">
        <w:t xml:space="preserve">Le candidat doit respecter les conditions relatives : </w:t>
      </w:r>
    </w:p>
    <w:p w14:paraId="124473B3" w14:textId="77777777" w:rsidR="00ED6E74" w:rsidRPr="00AA4064" w:rsidRDefault="00ED6E74" w:rsidP="00ED6E74">
      <w:pPr>
        <w:numPr>
          <w:ilvl w:val="0"/>
          <w:numId w:val="58"/>
        </w:numPr>
      </w:pPr>
      <w:r w:rsidRPr="00AA4064">
        <w:t xml:space="preserve">Au certificat de signature du destinataire </w:t>
      </w:r>
    </w:p>
    <w:p w14:paraId="67175D2A" w14:textId="77777777" w:rsidR="00ED6E74" w:rsidRPr="00AA4064" w:rsidRDefault="00ED6E74" w:rsidP="00ED6E74">
      <w:pPr>
        <w:numPr>
          <w:ilvl w:val="0"/>
          <w:numId w:val="58"/>
        </w:numPr>
      </w:pPr>
      <w:r w:rsidRPr="00AA4064">
        <w:t xml:space="preserve">A l’outil de signature utilisé. </w:t>
      </w:r>
    </w:p>
    <w:p w14:paraId="065DF003" w14:textId="77777777" w:rsidR="00ED6E74" w:rsidRPr="00AA4064" w:rsidRDefault="00ED6E74" w:rsidP="00ED6E74">
      <w:r w:rsidRPr="00AA4064">
        <w:t xml:space="preserve">Il est rappelé que ces documents doivent être signés par une personne habilitée à engager l’entreprise. Le certificat doit donc être établi au nom de la personne physique signataire des documents et habilitée à engager l’entreprise. </w:t>
      </w:r>
    </w:p>
    <w:p w14:paraId="5CCD537E" w14:textId="77777777" w:rsidR="00ED6E74" w:rsidRPr="00AA4064" w:rsidRDefault="00ED6E74" w:rsidP="00ED6E74">
      <w:r w:rsidRPr="00AA4064">
        <w:t xml:space="preserve">Les catégories de certificats de signature électronique conformes au RGS sont disponibles sur les listes de confiance à l’adresse suivante : </w:t>
      </w:r>
    </w:p>
    <w:p w14:paraId="4C08EFA6" w14:textId="2DBE6F9D" w:rsidR="00ED6E74" w:rsidRPr="00AA4064" w:rsidRDefault="00ED6E74" w:rsidP="00ED6E74">
      <w:hyperlink r:id="rId12" w:history="1">
        <w:r w:rsidRPr="00AA4064">
          <w:rPr>
            <w:rStyle w:val="Lienhypertexte"/>
          </w:rPr>
          <w:t>http://www.ssi.gouv.fr/fr/certification-qualification/qualification-d-un-prestataire-de-service-de-confiance/organismes-de-qualification-habilites.html</w:t>
        </w:r>
      </w:hyperlink>
      <w:r>
        <w:t xml:space="preserve"> </w:t>
      </w:r>
    </w:p>
    <w:p w14:paraId="0DDE9C35" w14:textId="77777777" w:rsidR="00ED6E74" w:rsidRPr="00AA4064" w:rsidRDefault="00ED6E74" w:rsidP="00ED6E74">
      <w:r w:rsidRPr="00AA4064">
        <w:t xml:space="preserve">Si le candidat utilise un certificat non référencé sur une liste de confiance, il doit fournir tous les éléments nécessaires à sa vérification. </w:t>
      </w:r>
    </w:p>
    <w:p w14:paraId="301B5C1F" w14:textId="77777777" w:rsidR="00ED6E74" w:rsidRPr="00AA4064" w:rsidRDefault="00ED6E74" w:rsidP="00ED6E74">
      <w:r w:rsidRPr="00AA4064">
        <w:t xml:space="preserve">Les certificats de signature PRIS V1 ne sont plus acceptés. Les formats de signatures acceptés sont </w:t>
      </w:r>
      <w:proofErr w:type="spellStart"/>
      <w:r w:rsidRPr="00AA4064">
        <w:t>XAdES</w:t>
      </w:r>
      <w:proofErr w:type="spellEnd"/>
      <w:r w:rsidRPr="00AA4064">
        <w:t xml:space="preserve">, </w:t>
      </w:r>
      <w:proofErr w:type="spellStart"/>
      <w:r w:rsidRPr="00AA4064">
        <w:t>PAdES</w:t>
      </w:r>
      <w:proofErr w:type="spellEnd"/>
      <w:r w:rsidRPr="00AA4064">
        <w:t xml:space="preserve"> et </w:t>
      </w:r>
      <w:proofErr w:type="spellStart"/>
      <w:r w:rsidRPr="00AA4064">
        <w:t>CAdES</w:t>
      </w:r>
      <w:proofErr w:type="spellEnd"/>
      <w:r w:rsidRPr="00AA4064">
        <w:t xml:space="preserve">. </w:t>
      </w:r>
    </w:p>
    <w:p w14:paraId="24A9D3F3" w14:textId="77777777" w:rsidR="00ED6E74" w:rsidRPr="00AA4064" w:rsidRDefault="00ED6E74" w:rsidP="00ED6E74">
      <w:r w:rsidRPr="00AA4064">
        <w:t xml:space="preserve">Il est rappelé aux candidats que la signature électronique du fichier .zip ne vaut pas signature des documents qu’il contient (chaque document doit être signé individuellement) et que la signature manuscrite scannée ne peut remplacer la signature électronique. </w:t>
      </w:r>
    </w:p>
    <w:p w14:paraId="2234DE15" w14:textId="77777777" w:rsidR="00ED6E74" w:rsidRPr="00AA4064" w:rsidRDefault="00ED6E74" w:rsidP="00ED6E74">
      <w:r w:rsidRPr="00AA4064">
        <w:t>La liste exhaustive des formats autorisés pour la transmission électronique des plis est la suivante : .zip, .</w:t>
      </w:r>
      <w:proofErr w:type="spellStart"/>
      <w:r w:rsidRPr="00AA4064">
        <w:t>pdf</w:t>
      </w:r>
      <w:proofErr w:type="spellEnd"/>
      <w:r w:rsidRPr="00AA4064">
        <w:t>, .doc, .docx, .</w:t>
      </w:r>
      <w:proofErr w:type="spellStart"/>
      <w:r w:rsidRPr="00AA4064">
        <w:t>xls</w:t>
      </w:r>
      <w:proofErr w:type="spellEnd"/>
      <w:r w:rsidRPr="00AA4064">
        <w:t>, et .xlsx.</w:t>
      </w:r>
    </w:p>
    <w:p w14:paraId="61388612" w14:textId="77777777" w:rsidR="00ED6E74" w:rsidRPr="00AA4064" w:rsidRDefault="00ED6E74" w:rsidP="00ED6E74">
      <w:r w:rsidRPr="00AA4064">
        <w:t xml:space="preserve">Le candidat est invité à ne pas utiliser de macro-instructions dans les documents transmis et à faire en sorte que sa candidature et/ou son offre ne soient pas trop volumineuses. </w:t>
      </w:r>
    </w:p>
    <w:p w14:paraId="507C5474" w14:textId="77777777" w:rsidR="00ED6E74" w:rsidRPr="00AA4064" w:rsidRDefault="00ED6E74" w:rsidP="00ED6E74"/>
    <w:p w14:paraId="4CC0BFE7" w14:textId="77777777" w:rsidR="00ED6E74" w:rsidRPr="00AA4064" w:rsidRDefault="00ED6E74" w:rsidP="00ED6E74">
      <w:pPr>
        <w:rPr>
          <w:b/>
        </w:rPr>
      </w:pPr>
      <w:r w:rsidRPr="00AA4064">
        <w:rPr>
          <w:b/>
        </w:rPr>
        <w:t>Copie de sauvegarde</w:t>
      </w:r>
    </w:p>
    <w:p w14:paraId="198EF1FD" w14:textId="77777777" w:rsidR="00ED6E74" w:rsidRPr="00AA4064" w:rsidRDefault="00ED6E74" w:rsidP="00ED6E74">
      <w:r w:rsidRPr="00AA4064">
        <w:t xml:space="preserve">Le candidat qui effectue une transmission électronique de sa candidature et de son offre peut effectuer, à titre de copie de sauvegarde de ces documents, une transmission sur un support physique électronique ou sur </w:t>
      </w:r>
      <w:proofErr w:type="gramStart"/>
      <w:r w:rsidRPr="00AA4064">
        <w:t>un support papier</w:t>
      </w:r>
      <w:proofErr w:type="gramEnd"/>
      <w:r w:rsidRPr="00AA4064">
        <w:t>. En cas de transmission sur support physique électronique, l’acte d’engagement doit être signé au moyen d’un certificat électronique conforme au RGS (voir ci-dessus).</w:t>
      </w:r>
    </w:p>
    <w:p w14:paraId="1BE62E0F" w14:textId="77777777" w:rsidR="00ED6E74" w:rsidRPr="00AA4064" w:rsidRDefault="00ED6E74" w:rsidP="00ED6E74"/>
    <w:p w14:paraId="6881C34C" w14:textId="77777777" w:rsidR="00ED6E74" w:rsidRPr="00AA4064" w:rsidRDefault="00ED6E74" w:rsidP="00ED6E74">
      <w:r w:rsidRPr="00AA4064">
        <w:t xml:space="preserve">Cette copie de sauvegarde doit être placée dans un pli scellé comportant la mention lisible : </w:t>
      </w:r>
    </w:p>
    <w:p w14:paraId="552E303F" w14:textId="77777777" w:rsidR="00ED6E74" w:rsidRPr="00AA4064" w:rsidRDefault="00ED6E74" w:rsidP="00ED6E74"/>
    <w:p w14:paraId="67FDC178" w14:textId="77777777" w:rsidR="00ED6E74" w:rsidRPr="00AA4064" w:rsidRDefault="00ED6E74" w:rsidP="00ED6E74">
      <w:r w:rsidRPr="00AA4064">
        <w:t>« Copie de sauvegarde ». L’enveloppe contenant l’offre du candidat devra ainsi porter la mention :</w:t>
      </w:r>
    </w:p>
    <w:p w14:paraId="066EB514" w14:textId="2ABD10F7" w:rsidR="00ED6E74" w:rsidRPr="00AA4064" w:rsidRDefault="00ED6E74" w:rsidP="00ED6E74">
      <w:r w:rsidRPr="00151C00">
        <w:rPr>
          <w:b/>
          <w:bCs/>
        </w:rPr>
        <w:lastRenderedPageBreak/>
        <w:t xml:space="preserve">« APIJ </w:t>
      </w:r>
      <w:proofErr w:type="gramStart"/>
      <w:r w:rsidRPr="00151C00">
        <w:rPr>
          <w:b/>
          <w:bCs/>
        </w:rPr>
        <w:t>–  ACCORD</w:t>
      </w:r>
      <w:proofErr w:type="gramEnd"/>
      <w:r w:rsidRPr="00151C00">
        <w:rPr>
          <w:b/>
          <w:bCs/>
        </w:rPr>
        <w:t xml:space="preserve"> CADRE MISSIONS CSPS </w:t>
      </w:r>
      <w:r w:rsidR="00FB2FFE" w:rsidRPr="00151C00">
        <w:rPr>
          <w:b/>
          <w:bCs/>
        </w:rPr>
        <w:t xml:space="preserve">MARTINIQUE </w:t>
      </w:r>
      <w:r w:rsidRPr="00151C00">
        <w:rPr>
          <w:b/>
          <w:bCs/>
        </w:rPr>
        <w:t>- COPIE DE SAUVEGARDE - NE PAS OUVRIR</w:t>
      </w:r>
      <w:r w:rsidRPr="00AA4064">
        <w:t xml:space="preserve"> »</w:t>
      </w:r>
    </w:p>
    <w:p w14:paraId="6025637B" w14:textId="77777777" w:rsidR="00ED6E74" w:rsidRPr="00AA4064" w:rsidRDefault="00ED6E74" w:rsidP="00ED6E74"/>
    <w:p w14:paraId="15664DC3" w14:textId="77777777" w:rsidR="00ED6E74" w:rsidRPr="00AA4064" w:rsidRDefault="00ED6E74" w:rsidP="00ED6E74">
      <w:r w:rsidRPr="00AA4064">
        <w:t>Elle devra ensuite :</w:t>
      </w:r>
    </w:p>
    <w:p w14:paraId="10C1F0C8" w14:textId="0D92C8EE" w:rsidR="00ED6E74" w:rsidRPr="00AA4064" w:rsidRDefault="00ED6E74" w:rsidP="00ED6E74">
      <w:pPr>
        <w:numPr>
          <w:ilvl w:val="0"/>
          <w:numId w:val="58"/>
        </w:numPr>
      </w:pPr>
      <w:proofErr w:type="gramStart"/>
      <w:r w:rsidRPr="00AA4064">
        <w:t>soit</w:t>
      </w:r>
      <w:proofErr w:type="gramEnd"/>
      <w:r w:rsidRPr="00AA4064">
        <w:t xml:space="preserve"> être déposée - du lundi au vendredi, sauf jour férié, entre 9h30 et 12h00 - 14h00 et 17h00) contre récépissé à</w:t>
      </w:r>
      <w:r w:rsidR="00412216">
        <w:t xml:space="preserve"> la Direction juridique et des marchés de</w:t>
      </w:r>
      <w:r w:rsidRPr="00AA4064">
        <w:t xml:space="preserve"> l’Agence Publique pour l’Immobilier de la Justice à l’une des adresses suivantes</w:t>
      </w:r>
      <w:r w:rsidRPr="00AA4064">
        <w:rPr>
          <w:rFonts w:ascii="Calibri" w:hAnsi="Calibri" w:cs="Calibri"/>
        </w:rPr>
        <w:t> </w:t>
      </w:r>
      <w:r w:rsidRPr="00AA4064">
        <w:t>:</w:t>
      </w:r>
    </w:p>
    <w:p w14:paraId="7B3EF24F" w14:textId="12FA5AB2" w:rsidR="00ED6E74" w:rsidRPr="00AA4064" w:rsidRDefault="00ED6E74" w:rsidP="00ED6E74">
      <w:pPr>
        <w:numPr>
          <w:ilvl w:val="1"/>
          <w:numId w:val="58"/>
        </w:numPr>
      </w:pPr>
      <w:r w:rsidRPr="00AA4064">
        <w:t xml:space="preserve"> 57-77 Immeuble OKABE, 67 Avenue de Fontainebleau – 94270 Le Kremlin-Bicêtre </w:t>
      </w:r>
    </w:p>
    <w:p w14:paraId="38E2AFBE" w14:textId="37E027EE" w:rsidR="00ED6E74" w:rsidRPr="00AA4064" w:rsidRDefault="00ED6E74" w:rsidP="00AA4064">
      <w:pPr>
        <w:numPr>
          <w:ilvl w:val="1"/>
          <w:numId w:val="58"/>
        </w:numPr>
      </w:pPr>
      <w:r w:rsidRPr="00AA4064">
        <w:t>Parc d’Activités JABRUN – Lot n°11 – 1</w:t>
      </w:r>
      <w:r w:rsidRPr="00AA4064">
        <w:rPr>
          <w:vertAlign w:val="superscript"/>
        </w:rPr>
        <w:t>er</w:t>
      </w:r>
      <w:r w:rsidRPr="00AA4064">
        <w:t xml:space="preserve"> </w:t>
      </w:r>
      <w:r w:rsidR="008768D6">
        <w:t>étage – 97122 BAIE-MAHAULT</w:t>
      </w:r>
    </w:p>
    <w:p w14:paraId="6B7CED5A" w14:textId="4478066B" w:rsidR="00ED6E74" w:rsidRPr="00AA4064" w:rsidRDefault="00ED6E74" w:rsidP="00ED6E74">
      <w:pPr>
        <w:numPr>
          <w:ilvl w:val="0"/>
          <w:numId w:val="58"/>
        </w:numPr>
      </w:pPr>
      <w:proofErr w:type="gramStart"/>
      <w:r w:rsidRPr="00AA4064">
        <w:t>soit</w:t>
      </w:r>
      <w:proofErr w:type="gramEnd"/>
      <w:r w:rsidRPr="00AA4064">
        <w:t xml:space="preserve"> être adressées par voie postale sous pli recommandé avec A.R. à l’Agence Publique pour l’Immobilier de la Justice – </w:t>
      </w:r>
      <w:r w:rsidR="00406012">
        <w:t>Direction</w:t>
      </w:r>
      <w:r w:rsidRPr="00AA4064">
        <w:t xml:space="preserve"> juridique et des marchés – 57-77 Immeuble OKABE, 67 Avenue de Fontainebleau – 94270 Le Kremlin-Bicêtre.</w:t>
      </w:r>
    </w:p>
    <w:p w14:paraId="32AA9407" w14:textId="77777777" w:rsidR="00ED6E74" w:rsidRPr="00AA4064" w:rsidRDefault="00ED6E74" w:rsidP="00ED6E74"/>
    <w:p w14:paraId="54FD8D9C" w14:textId="3B3DDF90" w:rsidR="00ED6E74" w:rsidRPr="00AA4064" w:rsidRDefault="00ED6E74" w:rsidP="00ED6E74">
      <w:r w:rsidRPr="00AA4064">
        <w:t>La copie de sauvegarde est ouverte :</w:t>
      </w:r>
    </w:p>
    <w:p w14:paraId="1CCC74F8" w14:textId="5ABDD775" w:rsidR="00B029B5" w:rsidRDefault="00B029B5" w:rsidP="00B029B5"/>
    <w:p w14:paraId="19DC7BE6" w14:textId="77777777" w:rsidR="005F6E07" w:rsidRDefault="005F6E07" w:rsidP="00B029B5"/>
    <w:p w14:paraId="4280304C" w14:textId="77777777" w:rsidR="005F6E07" w:rsidRDefault="005F6E07" w:rsidP="005F6E07">
      <w:r>
        <w:t>•</w:t>
      </w:r>
      <w:r>
        <w:tab/>
        <w:t xml:space="preserve">lorsqu’un programme informatique malveillant est détecté dans les candidatures ou les offres transmises par voie électronique. La trace de la malveillance du programme est conservée par le pouvoir adjudicateur. </w:t>
      </w:r>
    </w:p>
    <w:p w14:paraId="17B1EE29" w14:textId="4AC9AE46" w:rsidR="005F6E07" w:rsidRDefault="005F6E07" w:rsidP="005F6E07">
      <w:r>
        <w:t>•</w:t>
      </w:r>
      <w:r>
        <w:tab/>
        <w:t>lorsqu’une candidature ou une offre a été transmise par voie électronique et n’est pas parvenue dans les délais ou bien n’a pas pu être ouverte, sous réserve que celle-ci soit parvenue dans les délais.</w:t>
      </w:r>
    </w:p>
    <w:p w14:paraId="7C7B5263" w14:textId="77777777" w:rsidR="005F6E07" w:rsidRDefault="005F6E07" w:rsidP="00B029B5"/>
    <w:p w14:paraId="555474AF" w14:textId="77777777" w:rsidR="00B029B5" w:rsidRDefault="00B029B5" w:rsidP="00B029B5">
      <w:pPr>
        <w:spacing w:before="0" w:line="240" w:lineRule="atLeast"/>
        <w:rPr>
          <w:rFonts w:ascii="Verdana" w:eastAsia="Calibri" w:hAnsi="Verdana" w:cs="Verdana"/>
          <w:color w:val="000000"/>
          <w:sz w:val="18"/>
          <w:szCs w:val="18"/>
        </w:rPr>
      </w:pPr>
      <w:r>
        <w:rPr>
          <w:rFonts w:ascii="Verdana" w:eastAsia="Calibri" w:hAnsi="Verdana" w:cs="Verdana"/>
          <w:color w:val="000000"/>
          <w:sz w:val="18"/>
          <w:szCs w:val="18"/>
        </w:rPr>
        <w:t xml:space="preserve">La transmission électronique des copies de sauvegarde est également possible. En cas de transmission par voie électronique, la remise s’effectue selon les modalités suivantes : </w:t>
      </w:r>
    </w:p>
    <w:p w14:paraId="240D3B3D" w14:textId="77777777" w:rsidR="00B029B5" w:rsidRDefault="00B029B5" w:rsidP="00B029B5">
      <w:pPr>
        <w:pStyle w:val="Paragraphedeliste"/>
        <w:numPr>
          <w:ilvl w:val="0"/>
          <w:numId w:val="63"/>
        </w:numPr>
        <w:spacing w:before="0" w:line="240" w:lineRule="atLeast"/>
        <w:rPr>
          <w:rFonts w:ascii="Verdana" w:eastAsia="Calibri" w:hAnsi="Verdana" w:cs="Verdana"/>
          <w:color w:val="000000"/>
          <w:sz w:val="18"/>
          <w:szCs w:val="18"/>
        </w:rPr>
      </w:pPr>
      <w:proofErr w:type="gramStart"/>
      <w:r>
        <w:rPr>
          <w:rFonts w:ascii="Verdana" w:eastAsia="Calibri" w:hAnsi="Verdana" w:cs="Verdana"/>
          <w:color w:val="000000"/>
          <w:sz w:val="18"/>
          <w:szCs w:val="18"/>
        </w:rPr>
        <w:t>la</w:t>
      </w:r>
      <w:proofErr w:type="gramEnd"/>
      <w:r>
        <w:rPr>
          <w:rFonts w:ascii="Verdana" w:eastAsia="Calibri" w:hAnsi="Verdana" w:cs="Verdana"/>
          <w:color w:val="000000"/>
          <w:sz w:val="18"/>
          <w:szCs w:val="18"/>
        </w:rPr>
        <w:t xml:space="preserve"> lettre recommandée électronique, </w:t>
      </w:r>
    </w:p>
    <w:p w14:paraId="2AA64896" w14:textId="77777777" w:rsidR="00B029B5" w:rsidRDefault="00B029B5" w:rsidP="00B029B5">
      <w:pPr>
        <w:pStyle w:val="Paragraphedeliste"/>
        <w:numPr>
          <w:ilvl w:val="1"/>
          <w:numId w:val="64"/>
        </w:numPr>
        <w:spacing w:before="0" w:line="240" w:lineRule="atLeast"/>
        <w:rPr>
          <w:rFonts w:ascii="Verdana" w:eastAsia="Calibri" w:hAnsi="Verdana" w:cs="Verdana"/>
          <w:color w:val="000000"/>
          <w:sz w:val="18"/>
          <w:szCs w:val="18"/>
        </w:rPr>
      </w:pPr>
      <w:proofErr w:type="gramStart"/>
      <w:r>
        <w:rPr>
          <w:rFonts w:ascii="Verdana" w:eastAsia="Calibri" w:hAnsi="Verdana" w:cs="Verdana"/>
          <w:color w:val="000000"/>
          <w:sz w:val="18"/>
          <w:szCs w:val="18"/>
        </w:rPr>
        <w:t>liste</w:t>
      </w:r>
      <w:proofErr w:type="gramEnd"/>
      <w:r>
        <w:rPr>
          <w:rFonts w:ascii="Verdana" w:eastAsia="Calibri" w:hAnsi="Verdana" w:cs="Verdana"/>
          <w:color w:val="000000"/>
          <w:sz w:val="18"/>
          <w:szCs w:val="18"/>
        </w:rPr>
        <w:t xml:space="preserve"> des produits et services qualifiés par l’ANSSI pour la France (en pages 20-21) : liste-produits-et-services-qualifiés.pdf (ssi.gouv.fr)</w:t>
      </w:r>
    </w:p>
    <w:p w14:paraId="483B6986" w14:textId="77777777" w:rsidR="00B029B5" w:rsidRDefault="00B029B5" w:rsidP="00B029B5">
      <w:pPr>
        <w:pStyle w:val="Paragraphedeliste"/>
        <w:numPr>
          <w:ilvl w:val="1"/>
          <w:numId w:val="64"/>
        </w:numPr>
        <w:spacing w:before="0" w:line="240" w:lineRule="atLeast"/>
        <w:rPr>
          <w:rFonts w:ascii="Verdana" w:eastAsia="Calibri" w:hAnsi="Verdana" w:cs="Verdana"/>
          <w:color w:val="000000"/>
          <w:sz w:val="18"/>
          <w:szCs w:val="18"/>
        </w:rPr>
      </w:pPr>
      <w:proofErr w:type="gramStart"/>
      <w:r>
        <w:rPr>
          <w:rFonts w:ascii="Verdana" w:eastAsia="Calibri" w:hAnsi="Verdana" w:cs="Verdana"/>
          <w:color w:val="000000"/>
          <w:sz w:val="18"/>
          <w:szCs w:val="18"/>
        </w:rPr>
        <w:t>liste</w:t>
      </w:r>
      <w:proofErr w:type="gramEnd"/>
      <w:r>
        <w:rPr>
          <w:rFonts w:ascii="Verdana" w:eastAsia="Calibri" w:hAnsi="Verdana" w:cs="Verdana"/>
          <w:color w:val="000000"/>
          <w:sz w:val="18"/>
          <w:szCs w:val="18"/>
        </w:rPr>
        <w:t xml:space="preserve"> des produits et services qualifiés pour l’Europe : </w:t>
      </w:r>
      <w:proofErr w:type="spellStart"/>
      <w:r>
        <w:rPr>
          <w:rFonts w:ascii="Verdana" w:eastAsia="Calibri" w:hAnsi="Verdana" w:cs="Verdana"/>
          <w:color w:val="000000"/>
          <w:sz w:val="18"/>
          <w:szCs w:val="18"/>
        </w:rPr>
        <w:t>eIDAS</w:t>
      </w:r>
      <w:proofErr w:type="spellEnd"/>
      <w:r>
        <w:rPr>
          <w:rFonts w:ascii="Verdana" w:eastAsia="Calibri" w:hAnsi="Verdana" w:cs="Verdana"/>
          <w:color w:val="000000"/>
          <w:sz w:val="18"/>
          <w:szCs w:val="18"/>
        </w:rPr>
        <w:t xml:space="preserve"> Dashboard (europa.eu)</w:t>
      </w:r>
    </w:p>
    <w:p w14:paraId="2A4C1B03" w14:textId="77777777" w:rsidR="00B029B5" w:rsidRPr="00B844A8" w:rsidRDefault="00B029B5" w:rsidP="00B029B5">
      <w:pPr>
        <w:pStyle w:val="Paragraphedeliste"/>
        <w:numPr>
          <w:ilvl w:val="0"/>
          <w:numId w:val="63"/>
        </w:numPr>
        <w:spacing w:before="0" w:line="240" w:lineRule="atLeast"/>
        <w:rPr>
          <w:rFonts w:ascii="Verdana" w:eastAsia="Calibri" w:hAnsi="Verdana" w:cs="Verdana"/>
          <w:color w:val="000000"/>
          <w:sz w:val="18"/>
          <w:szCs w:val="18"/>
        </w:rPr>
      </w:pPr>
      <w:proofErr w:type="gramStart"/>
      <w:r>
        <w:rPr>
          <w:rFonts w:ascii="Verdana" w:eastAsia="Calibri" w:hAnsi="Verdana" w:cs="Verdana"/>
          <w:color w:val="000000"/>
          <w:sz w:val="18"/>
          <w:szCs w:val="18"/>
        </w:rPr>
        <w:t>tous</w:t>
      </w:r>
      <w:proofErr w:type="gramEnd"/>
      <w:r>
        <w:rPr>
          <w:rFonts w:ascii="Verdana" w:eastAsia="Calibri" w:hAnsi="Verdana" w:cs="Verdana"/>
          <w:color w:val="000000"/>
          <w:sz w:val="18"/>
          <w:szCs w:val="18"/>
        </w:rPr>
        <w:t xml:space="preserve"> les autres services qui permettent l’envoi et la réception de fichier en respectant les exigences de l’annexe 8 du code de la commande publique. </w:t>
      </w:r>
    </w:p>
    <w:p w14:paraId="36B9A209" w14:textId="77777777" w:rsidR="00B029B5" w:rsidRPr="00AA4064" w:rsidRDefault="00B029B5" w:rsidP="00B029B5"/>
    <w:p w14:paraId="4EF6C903" w14:textId="77777777" w:rsidR="00ED6E74" w:rsidRPr="00AA4064" w:rsidRDefault="00ED6E74" w:rsidP="00ED6E74">
      <w:pPr>
        <w:rPr>
          <w:b/>
        </w:rPr>
      </w:pPr>
      <w:r w:rsidRPr="00AA4064">
        <w:rPr>
          <w:b/>
        </w:rPr>
        <w:t>Assurance et frais de transport</w:t>
      </w:r>
      <w:r w:rsidRPr="00AA4064">
        <w:rPr>
          <w:rFonts w:ascii="Calibri" w:hAnsi="Calibri" w:cs="Calibri"/>
          <w:b/>
        </w:rPr>
        <w:t> </w:t>
      </w:r>
      <w:r w:rsidRPr="00AA4064">
        <w:rPr>
          <w:b/>
        </w:rPr>
        <w:t>:</w:t>
      </w:r>
    </w:p>
    <w:p w14:paraId="6C8A4DA8" w14:textId="77777777" w:rsidR="00ED6E74" w:rsidRPr="00AA4064" w:rsidRDefault="00ED6E74" w:rsidP="00ED6E74">
      <w:r w:rsidRPr="00AA4064">
        <w:t>Les candidats sont responsables de l’assurance des prestations demandées pendant leur envoi à l’organisateur de la consultation. Les envois sont acheminés sous la seule responsabilité des candidats. Les frais de transport des prestations des candidats sont pris en charge par eux –mêmes.</w:t>
      </w:r>
    </w:p>
    <w:bookmarkEnd w:id="49"/>
    <w:p w14:paraId="10D21082" w14:textId="77777777" w:rsidR="00ED6E74" w:rsidRDefault="00ED6E74" w:rsidP="00ED6E74"/>
    <w:p w14:paraId="575DC547" w14:textId="77777777" w:rsidR="005F6E07" w:rsidRDefault="005F6E07" w:rsidP="00ED6E74"/>
    <w:p w14:paraId="11FF0BEF" w14:textId="77777777" w:rsidR="005F6E07" w:rsidRDefault="005F6E07" w:rsidP="00ED6E74"/>
    <w:p w14:paraId="76259E90" w14:textId="77777777" w:rsidR="005F6E07" w:rsidRDefault="005F6E07" w:rsidP="00ED6E74"/>
    <w:p w14:paraId="4F75B6BD" w14:textId="77777777" w:rsidR="005F6E07" w:rsidRDefault="005F6E07" w:rsidP="00ED6E74"/>
    <w:p w14:paraId="64E8AEDF" w14:textId="77777777" w:rsidR="005F6E07" w:rsidRDefault="005F6E07" w:rsidP="00ED6E74"/>
    <w:p w14:paraId="7AD42FAF" w14:textId="77777777" w:rsidR="005F6E07" w:rsidRDefault="005F6E07" w:rsidP="00ED6E74"/>
    <w:p w14:paraId="65D0030C" w14:textId="77777777" w:rsidR="00ED6E74" w:rsidRPr="00AA4064" w:rsidRDefault="00ED6E74" w:rsidP="00AA4064">
      <w:pPr>
        <w:pStyle w:val="Titre2"/>
        <w:rPr>
          <w:b w:val="0"/>
        </w:rPr>
      </w:pPr>
      <w:bookmarkStart w:id="50" w:name="_Toc97733134"/>
      <w:bookmarkStart w:id="51" w:name="_Toc143763785"/>
      <w:r w:rsidRPr="00AA4064">
        <w:t>Documents à remettre par le candidat auquel il est envisagé d’attribuer le marché</w:t>
      </w:r>
      <w:bookmarkEnd w:id="50"/>
      <w:bookmarkEnd w:id="51"/>
    </w:p>
    <w:p w14:paraId="7811C98F" w14:textId="77777777" w:rsidR="00ED6E74" w:rsidRPr="00AA4064" w:rsidRDefault="00ED6E74" w:rsidP="00ED6E74">
      <w:r w:rsidRPr="00AA4064">
        <w:t>En application des articles R.2143-6 à R.2143-10 et R.2143-16 du Code de la commande publique fixant la liste des impôts, taxes, contributions ou cotisations sociales donnant lieu à la délivrance de certificats pour l'attribution de marchés publics et de contrats de concession, la production de documents suivants sera exigée du candidat auquel il est envisagé d’attribuer le marché :</w:t>
      </w:r>
    </w:p>
    <w:p w14:paraId="5D6E69DC" w14:textId="2E32907B" w:rsidR="00ED6E74" w:rsidRPr="00AA4064" w:rsidRDefault="0092591D" w:rsidP="00ED6E74">
      <w:r>
        <w:lastRenderedPageBreak/>
        <w:t xml:space="preserve">- </w:t>
      </w:r>
      <w:r w:rsidR="00ED6E74" w:rsidRPr="00AA4064">
        <w:t>Le certificat attestant la souscription des déclarations et les paiements correspondants de l’impôt sur le revenu, l’impôt sur les sociétés et la taxe sur la valeur ajoutée délivré par l’administration fiscale dont relève le demandeur.</w:t>
      </w:r>
    </w:p>
    <w:p w14:paraId="6FE000F3" w14:textId="23DF70B9" w:rsidR="00ED6E74" w:rsidRPr="00AA4064" w:rsidRDefault="0092591D" w:rsidP="00ED6E74">
      <w:r>
        <w:t xml:space="preserve">- </w:t>
      </w:r>
      <w:r w:rsidR="00ED6E74" w:rsidRPr="00AA4064">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6 mois.</w:t>
      </w:r>
    </w:p>
    <w:p w14:paraId="7F9156EB" w14:textId="67A3DCF2" w:rsidR="00ED6E74" w:rsidRPr="00AA4064" w:rsidRDefault="0092591D" w:rsidP="00ED6E74">
      <w:r>
        <w:t xml:space="preserve">- </w:t>
      </w:r>
      <w:r w:rsidR="00ED6E74" w:rsidRPr="00AA4064">
        <w:t>La liste nominative des salariés étrangers employés par ce dernier et soumis à l'autorisation de travail prévue à l'article L.5221-2. Cette liste, établie à partir du registre unique du personnel, précise pour chaque salarié</w:t>
      </w:r>
      <w:r w:rsidR="00ED6E74" w:rsidRPr="00AA4064">
        <w:rPr>
          <w:rFonts w:ascii="Calibri" w:hAnsi="Calibri" w:cs="Calibri"/>
        </w:rPr>
        <w:t> </w:t>
      </w:r>
      <w:r w:rsidR="00ED6E74" w:rsidRPr="00AA4064">
        <w:t>:</w:t>
      </w:r>
    </w:p>
    <w:p w14:paraId="05C08443" w14:textId="77777777" w:rsidR="00ED6E74" w:rsidRPr="00AA4064" w:rsidRDefault="00ED6E74" w:rsidP="00ED6E74">
      <w:pPr>
        <w:numPr>
          <w:ilvl w:val="0"/>
          <w:numId w:val="59"/>
        </w:numPr>
      </w:pPr>
      <w:r w:rsidRPr="00AA4064">
        <w:t>Sa date d'embauche ;</w:t>
      </w:r>
    </w:p>
    <w:p w14:paraId="459EC0CD" w14:textId="77777777" w:rsidR="00ED6E74" w:rsidRPr="00AA4064" w:rsidRDefault="00ED6E74" w:rsidP="00ED6E74">
      <w:pPr>
        <w:numPr>
          <w:ilvl w:val="0"/>
          <w:numId w:val="59"/>
        </w:numPr>
      </w:pPr>
      <w:r w:rsidRPr="00AA4064">
        <w:t>Sa nationalité ;</w:t>
      </w:r>
    </w:p>
    <w:p w14:paraId="765756BB" w14:textId="77777777" w:rsidR="00ED6E74" w:rsidRPr="00AA4064" w:rsidRDefault="00ED6E74" w:rsidP="00ED6E74">
      <w:pPr>
        <w:numPr>
          <w:ilvl w:val="0"/>
          <w:numId w:val="59"/>
        </w:numPr>
      </w:pPr>
      <w:r w:rsidRPr="00AA4064">
        <w:t>Le type et le numéro d'ordre du titre valant autorisation de travail.</w:t>
      </w:r>
    </w:p>
    <w:p w14:paraId="0FA7311B" w14:textId="77777777" w:rsidR="00ED6E74" w:rsidRPr="00AA4064" w:rsidRDefault="00ED6E74" w:rsidP="00ED6E74"/>
    <w:p w14:paraId="1C13A550" w14:textId="77777777" w:rsidR="00ED6E74" w:rsidRPr="00AA4064" w:rsidRDefault="00ED6E74" w:rsidP="00ED6E74">
      <w:r w:rsidRPr="00AA4064">
        <w:t>Le marché ne pourra être notifié que lorsque l’attributaire aura produit les documents administratifs mentionnés ci-avant.</w:t>
      </w:r>
    </w:p>
    <w:p w14:paraId="38B9B2FF" w14:textId="77777777" w:rsidR="00ED6E74" w:rsidRPr="00AA4064" w:rsidRDefault="00ED6E74" w:rsidP="00ED6E74">
      <w:r w:rsidRPr="00AA4064">
        <w:t>Le délai imparti par le pouvoir adjudicateur à l’attributaire pour remettre ces documents sera indiqué dans le courriel l’informant qu’il est pressenti pour réaliser les prestations du marché. Ce délai ne pourra être supérieur à 10 jours calendaires.</w:t>
      </w:r>
    </w:p>
    <w:p w14:paraId="4714BEAC" w14:textId="77777777" w:rsidR="00ED6E74" w:rsidRPr="00AA4064" w:rsidRDefault="00ED6E74" w:rsidP="00ED6E74">
      <w:r w:rsidRPr="00AA4064">
        <w:t>A défaut de réponse dans le délai imparti, ou en cas de fourniture de documents non valables, l’offre du candidat provisoirement retenu est écartée au profit du candidat arrivant à sa suite selon le classement établi dans le rapport d’analyse des offres. Ce dernier se verra attribuer le marché de façon provisoire sous réserve de produire ces mêmes documents dans les mêmes conditions de forme et de délai.</w:t>
      </w:r>
    </w:p>
    <w:p w14:paraId="01E3A4C1" w14:textId="77777777" w:rsidR="00ED6E74" w:rsidRPr="00AA4064" w:rsidRDefault="00ED6E74" w:rsidP="00ED6E74"/>
    <w:p w14:paraId="1534328B" w14:textId="77777777" w:rsidR="00ED6E74" w:rsidRPr="00AA4064" w:rsidRDefault="00ED6E74" w:rsidP="00AA4064">
      <w:pPr>
        <w:pStyle w:val="Titre2"/>
        <w:rPr>
          <w:b w:val="0"/>
        </w:rPr>
      </w:pPr>
      <w:bookmarkStart w:id="52" w:name="_Toc143763786"/>
      <w:bookmarkStart w:id="53" w:name="_Toc97733135"/>
      <w:r w:rsidRPr="00AA4064">
        <w:t>VOIES DE RECOURS</w:t>
      </w:r>
      <w:bookmarkEnd w:id="52"/>
      <w:r w:rsidRPr="00AA4064">
        <w:t xml:space="preserve"> </w:t>
      </w:r>
      <w:bookmarkEnd w:id="53"/>
    </w:p>
    <w:p w14:paraId="6EB6D5F7" w14:textId="77777777" w:rsidR="00ED6E74" w:rsidRPr="008768D6" w:rsidRDefault="00ED6E74" w:rsidP="00ED6E74">
      <w:r w:rsidRPr="008768D6">
        <w:t>La présente procédure est susceptible de recours contentieux devant le tribunal administratif de Melun :</w:t>
      </w:r>
    </w:p>
    <w:p w14:paraId="773B4B01" w14:textId="666BF3DD" w:rsidR="00ED6E74" w:rsidRPr="008768D6" w:rsidRDefault="00ED6E74" w:rsidP="00ED6E74"/>
    <w:p w14:paraId="3B24014E" w14:textId="5AE02091" w:rsidR="00ED6E74" w:rsidRPr="008768D6" w:rsidRDefault="00ED6E74" w:rsidP="00ED6E74">
      <w:r w:rsidRPr="008768D6">
        <w:t>- Recours prévu à l'article L.551-1 du code de justice administrative avant la signature</w:t>
      </w:r>
      <w:r w:rsidR="008768D6">
        <w:t xml:space="preserve"> </w:t>
      </w:r>
      <w:r w:rsidRPr="008768D6">
        <w:t>du marché</w:t>
      </w:r>
    </w:p>
    <w:p w14:paraId="56FD833D" w14:textId="05BC59BF" w:rsidR="00ED6E74" w:rsidRPr="008768D6" w:rsidRDefault="00ED6E74" w:rsidP="00ED6E74">
      <w:r w:rsidRPr="008768D6">
        <w:t>- Recours prévu à l'article L. 551-13 du code de justice administrative, au plus tard 31</w:t>
      </w:r>
      <w:r w:rsidR="008768D6">
        <w:t xml:space="preserve"> </w:t>
      </w:r>
      <w:r w:rsidRPr="008768D6">
        <w:t>jours après la publication de l'avis d'attribution du marché</w:t>
      </w:r>
    </w:p>
    <w:p w14:paraId="549619DF" w14:textId="75E1AA57" w:rsidR="00A61AF0" w:rsidRDefault="00ED6E74" w:rsidP="00AA4064">
      <w:pPr>
        <w:spacing w:before="0" w:line="240" w:lineRule="auto"/>
        <w:jc w:val="left"/>
      </w:pPr>
      <w:r w:rsidRPr="008768D6">
        <w:t>- Recours de pleine juridiction dans un délai de deux mois à compter de la date de</w:t>
      </w:r>
      <w:r w:rsidR="008768D6">
        <w:t xml:space="preserve"> </w:t>
      </w:r>
      <w:r w:rsidRPr="008768D6">
        <w:t>publication d'un avis d'attribution ou de la date de notification au candidat du rejet</w:t>
      </w:r>
      <w:r w:rsidR="008768D6">
        <w:t xml:space="preserve"> </w:t>
      </w:r>
      <w:r w:rsidRPr="008768D6">
        <w:t xml:space="preserve">de son offre </w:t>
      </w:r>
    </w:p>
    <w:p w14:paraId="0CBE206E" w14:textId="77777777" w:rsidR="00A61AF0" w:rsidRPr="00AA4064" w:rsidRDefault="00A61AF0" w:rsidP="00A61AF0"/>
    <w:sectPr w:rsidR="00A61AF0" w:rsidRPr="00AA4064" w:rsidSect="00933113">
      <w:footerReference w:type="default" r:id="rId13"/>
      <w:pgSz w:w="11906" w:h="16838"/>
      <w:pgMar w:top="1276" w:right="1418" w:bottom="992" w:left="1418" w:header="720" w:footer="5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9B05C" w14:textId="77777777" w:rsidR="00355707" w:rsidRDefault="00355707">
      <w:r>
        <w:separator/>
      </w:r>
    </w:p>
  </w:endnote>
  <w:endnote w:type="continuationSeparator" w:id="0">
    <w:p w14:paraId="7AEB21D8" w14:textId="77777777" w:rsidR="00355707" w:rsidRDefault="00355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1)">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8E684" w14:textId="14B6E68B" w:rsidR="00FC6DB1" w:rsidRPr="00AA4064" w:rsidRDefault="0004596C" w:rsidP="00AA4064">
    <w:pPr>
      <w:spacing w:before="0"/>
      <w:jc w:val="center"/>
      <w:rPr>
        <w:b/>
      </w:rPr>
    </w:pPr>
    <w:r w:rsidRPr="00AA4064">
      <w:rPr>
        <w:b/>
        <w:sz w:val="14"/>
        <w:szCs w:val="14"/>
      </w:rPr>
      <w:t xml:space="preserve">APIJ </w:t>
    </w:r>
    <w:r w:rsidR="00596C0A" w:rsidRPr="00AA4064">
      <w:rPr>
        <w:b/>
        <w:sz w:val="14"/>
        <w:szCs w:val="14"/>
      </w:rPr>
      <w:t>–</w:t>
    </w:r>
    <w:r w:rsidRPr="00AA4064">
      <w:rPr>
        <w:b/>
        <w:sz w:val="14"/>
        <w:szCs w:val="14"/>
      </w:rPr>
      <w:t xml:space="preserve"> </w:t>
    </w:r>
    <w:r w:rsidR="00596C0A" w:rsidRPr="00AA4064">
      <w:rPr>
        <w:b/>
        <w:sz w:val="14"/>
        <w:szCs w:val="14"/>
      </w:rPr>
      <w:t xml:space="preserve">ACCORD-CADRE DE </w:t>
    </w:r>
    <w:r w:rsidRPr="00AA4064">
      <w:rPr>
        <w:b/>
        <w:sz w:val="14"/>
        <w:szCs w:val="14"/>
      </w:rPr>
      <w:t>MISSIONS DE C</w:t>
    </w:r>
    <w:r w:rsidR="00596C0A" w:rsidRPr="00AA4064">
      <w:rPr>
        <w:b/>
        <w:sz w:val="14"/>
        <w:szCs w:val="14"/>
      </w:rPr>
      <w:t xml:space="preserve">SPS </w:t>
    </w:r>
    <w:r w:rsidRPr="00AA4064">
      <w:rPr>
        <w:b/>
        <w:sz w:val="14"/>
        <w:szCs w:val="14"/>
      </w:rPr>
      <w:t xml:space="preserve">en </w:t>
    </w:r>
    <w:r w:rsidR="00F46C22">
      <w:rPr>
        <w:b/>
        <w:sz w:val="14"/>
        <w:szCs w:val="14"/>
      </w:rPr>
      <w:t>MARTINIQUE</w:t>
    </w:r>
    <w:r w:rsidRPr="00FA24AC">
      <w:rPr>
        <w:rFonts w:cs="Arial"/>
        <w:b/>
        <w:caps/>
        <w:sz w:val="32"/>
      </w:rPr>
      <w:t xml:space="preserve"> </w:t>
    </w:r>
    <w:r w:rsidRPr="00AA4064">
      <w:rPr>
        <w:b/>
        <w:sz w:val="14"/>
        <w:szCs w:val="14"/>
      </w:rPr>
      <w:t>– RC –</w:t>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596C0A" w:rsidRPr="00AA4064">
      <w:rPr>
        <w:b/>
        <w:sz w:val="14"/>
        <w:szCs w:val="14"/>
      </w:rPr>
      <w:tab/>
    </w:r>
    <w:r w:rsidR="00FC6DB1" w:rsidRPr="00AA4064">
      <w:rPr>
        <w:b/>
        <w:sz w:val="16"/>
        <w:szCs w:val="16"/>
      </w:rPr>
      <w:t xml:space="preserve">Page </w:t>
    </w:r>
    <w:r w:rsidR="00FC6DB1" w:rsidRPr="00AA4064">
      <w:rPr>
        <w:b/>
        <w:sz w:val="16"/>
        <w:szCs w:val="16"/>
      </w:rPr>
      <w:fldChar w:fldCharType="begin"/>
    </w:r>
    <w:r w:rsidR="00FC6DB1" w:rsidRPr="00AA4064">
      <w:rPr>
        <w:b/>
        <w:sz w:val="16"/>
        <w:szCs w:val="16"/>
      </w:rPr>
      <w:instrText>PAGE  \* Arabic  \* MERGEFORMAT</w:instrText>
    </w:r>
    <w:r w:rsidR="00FC6DB1" w:rsidRPr="00AA4064">
      <w:rPr>
        <w:b/>
        <w:sz w:val="16"/>
        <w:szCs w:val="16"/>
      </w:rPr>
      <w:fldChar w:fldCharType="separate"/>
    </w:r>
    <w:r w:rsidR="008E5F80" w:rsidRPr="00AA4064">
      <w:rPr>
        <w:b/>
        <w:noProof/>
        <w:sz w:val="16"/>
        <w:szCs w:val="16"/>
      </w:rPr>
      <w:t>6</w:t>
    </w:r>
    <w:r w:rsidR="00FC6DB1" w:rsidRPr="00AA4064">
      <w:rPr>
        <w:b/>
        <w:sz w:val="16"/>
        <w:szCs w:val="16"/>
      </w:rPr>
      <w:fldChar w:fldCharType="end"/>
    </w:r>
    <w:r w:rsidR="00FC6DB1" w:rsidRPr="00AA4064">
      <w:rPr>
        <w:b/>
        <w:sz w:val="16"/>
        <w:szCs w:val="16"/>
      </w:rPr>
      <w:t xml:space="preserve"> sur </w:t>
    </w:r>
    <w:r w:rsidR="00FC6DB1" w:rsidRPr="00AA4064">
      <w:rPr>
        <w:b/>
        <w:sz w:val="16"/>
        <w:szCs w:val="16"/>
      </w:rPr>
      <w:fldChar w:fldCharType="begin"/>
    </w:r>
    <w:r w:rsidR="00FC6DB1" w:rsidRPr="00AA4064">
      <w:rPr>
        <w:b/>
        <w:sz w:val="16"/>
        <w:szCs w:val="16"/>
      </w:rPr>
      <w:instrText>NUMPAGES  \* Arabic  \* MERGEFORMAT</w:instrText>
    </w:r>
    <w:r w:rsidR="00FC6DB1" w:rsidRPr="00AA4064">
      <w:rPr>
        <w:b/>
        <w:sz w:val="16"/>
        <w:szCs w:val="16"/>
      </w:rPr>
      <w:fldChar w:fldCharType="separate"/>
    </w:r>
    <w:r w:rsidR="008E5F80" w:rsidRPr="00AA4064">
      <w:rPr>
        <w:b/>
        <w:noProof/>
        <w:sz w:val="16"/>
        <w:szCs w:val="16"/>
      </w:rPr>
      <w:t>6</w:t>
    </w:r>
    <w:r w:rsidR="00FC6DB1" w:rsidRPr="00AA4064">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78A3E" w14:textId="77777777" w:rsidR="00355707" w:rsidRDefault="00355707">
      <w:r>
        <w:separator/>
      </w:r>
    </w:p>
  </w:footnote>
  <w:footnote w:type="continuationSeparator" w:id="0">
    <w:p w14:paraId="4182B55B" w14:textId="77777777" w:rsidR="00355707" w:rsidRDefault="003557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4F90"/>
    <w:multiLevelType w:val="hybridMultilevel"/>
    <w:tmpl w:val="FB6287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910E40"/>
    <w:multiLevelType w:val="hybridMultilevel"/>
    <w:tmpl w:val="6ED8D298"/>
    <w:lvl w:ilvl="0" w:tplc="0C00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2E1CEF"/>
    <w:multiLevelType w:val="singleLevel"/>
    <w:tmpl w:val="66BCCA34"/>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B7D60E2"/>
    <w:multiLevelType w:val="hybridMultilevel"/>
    <w:tmpl w:val="C742CF8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 w15:restartNumberingAfterBreak="0">
    <w:nsid w:val="0D966991"/>
    <w:multiLevelType w:val="hybridMultilevel"/>
    <w:tmpl w:val="DC66EC6E"/>
    <w:lvl w:ilvl="0" w:tplc="771018E8">
      <w:numFmt w:val="bullet"/>
      <w:lvlText w:val="-"/>
      <w:lvlJc w:val="left"/>
      <w:pPr>
        <w:ind w:left="360" w:hanging="360"/>
      </w:pPr>
      <w:rPr>
        <w:rFonts w:ascii="Verdana" w:eastAsia="Times New Roman" w:hAnsi="Verdana"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E5C0DB5"/>
    <w:multiLevelType w:val="hybridMultilevel"/>
    <w:tmpl w:val="E7540FBA"/>
    <w:lvl w:ilvl="0" w:tplc="56A45C36">
      <w:start w:val="1"/>
      <w:numFmt w:val="decimal"/>
      <w:lvlText w:val="%1-"/>
      <w:lvlJc w:val="left"/>
      <w:pPr>
        <w:tabs>
          <w:tab w:val="num" w:pos="360"/>
        </w:tabs>
        <w:ind w:left="360" w:hanging="360"/>
      </w:pPr>
      <w:rPr>
        <w:rFonts w:hint="default"/>
      </w:rPr>
    </w:lvl>
    <w:lvl w:ilvl="1" w:tplc="AD6CA8A6">
      <w:start w:val="1"/>
      <w:numFmt w:val="decimal"/>
      <w:lvlText w:val="%2."/>
      <w:lvlJc w:val="left"/>
      <w:pPr>
        <w:tabs>
          <w:tab w:val="num" w:pos="786"/>
        </w:tabs>
        <w:ind w:left="786" w:hanging="360"/>
      </w:pPr>
      <w:rPr>
        <w:rFonts w:hint="default"/>
        <w:b/>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F1D030A"/>
    <w:multiLevelType w:val="hybridMultilevel"/>
    <w:tmpl w:val="8528E920"/>
    <w:lvl w:ilvl="0" w:tplc="4A1EDBBE">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567573"/>
    <w:multiLevelType w:val="multilevel"/>
    <w:tmpl w:val="08F60CD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1495581"/>
    <w:multiLevelType w:val="hybridMultilevel"/>
    <w:tmpl w:val="567AFEA4"/>
    <w:lvl w:ilvl="0" w:tplc="1F067CD4">
      <w:start w:val="1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C5331E"/>
    <w:multiLevelType w:val="hybridMultilevel"/>
    <w:tmpl w:val="9642104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7526749"/>
    <w:multiLevelType w:val="hybridMultilevel"/>
    <w:tmpl w:val="4BAA30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D606A4"/>
    <w:multiLevelType w:val="hybridMultilevel"/>
    <w:tmpl w:val="E51E6C62"/>
    <w:lvl w:ilvl="0" w:tplc="4A1EDBBE">
      <w:start w:val="1"/>
      <w:numFmt w:val="bullet"/>
      <w:lvlText w:val=""/>
      <w:lvlJc w:val="left"/>
      <w:pPr>
        <w:tabs>
          <w:tab w:val="num" w:pos="720"/>
        </w:tabs>
        <w:ind w:left="720" w:hanging="360"/>
      </w:pPr>
      <w:rPr>
        <w:rFonts w:ascii="Symbol" w:hAnsi="Symbol" w:hint="default"/>
      </w:rPr>
    </w:lvl>
    <w:lvl w:ilvl="1" w:tplc="D38C304E" w:tentative="1">
      <w:start w:val="1"/>
      <w:numFmt w:val="lowerLetter"/>
      <w:lvlText w:val="%2."/>
      <w:lvlJc w:val="left"/>
      <w:pPr>
        <w:tabs>
          <w:tab w:val="num" w:pos="1440"/>
        </w:tabs>
        <w:ind w:left="1440" w:hanging="360"/>
      </w:pPr>
    </w:lvl>
    <w:lvl w:ilvl="2" w:tplc="D38C304E"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2" w15:restartNumberingAfterBreak="0">
    <w:nsid w:val="19B56C83"/>
    <w:multiLevelType w:val="hybridMultilevel"/>
    <w:tmpl w:val="4A94972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C214D0E"/>
    <w:multiLevelType w:val="hybridMultilevel"/>
    <w:tmpl w:val="31D4E822"/>
    <w:lvl w:ilvl="0" w:tplc="C3006250">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EA60DDD"/>
    <w:multiLevelType w:val="hybridMultilevel"/>
    <w:tmpl w:val="493AB64C"/>
    <w:lvl w:ilvl="0" w:tplc="CA549CDC">
      <w:start w:val="5"/>
      <w:numFmt w:val="bullet"/>
      <w:lvlText w:val="-"/>
      <w:lvlJc w:val="left"/>
      <w:pPr>
        <w:ind w:left="2148" w:hanging="360"/>
      </w:pPr>
      <w:rPr>
        <w:rFonts w:ascii="Verdana" w:eastAsia="Times New Roman" w:hAnsi="Verdana" w:cs="Times New Roman" w:hint="default"/>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15" w15:restartNumberingAfterBreak="0">
    <w:nsid w:val="1F776292"/>
    <w:multiLevelType w:val="hybridMultilevel"/>
    <w:tmpl w:val="6F581EF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5F2578"/>
    <w:multiLevelType w:val="hybridMultilevel"/>
    <w:tmpl w:val="33886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4882BF2"/>
    <w:multiLevelType w:val="hybridMultilevel"/>
    <w:tmpl w:val="1DE2B1EA"/>
    <w:lvl w:ilvl="0" w:tplc="040C0015">
      <w:start w:val="1"/>
      <w:numFmt w:val="upperLetter"/>
      <w:lvlText w:val="%1."/>
      <w:lvlJc w:val="left"/>
      <w:pPr>
        <w:tabs>
          <w:tab w:val="num" w:pos="720"/>
        </w:tabs>
        <w:ind w:left="720" w:hanging="360"/>
      </w:pPr>
      <w:rPr>
        <w:rFonts w:hint="default"/>
        <w:color w:val="auto"/>
      </w:rPr>
    </w:lvl>
    <w:lvl w:ilvl="1" w:tplc="9816EBFC">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B57AE6"/>
    <w:multiLevelType w:val="hybridMultilevel"/>
    <w:tmpl w:val="4314C2E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9" w15:restartNumberingAfterBreak="0">
    <w:nsid w:val="25126816"/>
    <w:multiLevelType w:val="hybridMultilevel"/>
    <w:tmpl w:val="183E5198"/>
    <w:lvl w:ilvl="0" w:tplc="3440CEAA">
      <w:numFmt w:val="bullet"/>
      <w:lvlText w:val="•"/>
      <w:lvlJc w:val="left"/>
      <w:pPr>
        <w:ind w:left="1065" w:hanging="705"/>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651D2F"/>
    <w:multiLevelType w:val="hybridMultilevel"/>
    <w:tmpl w:val="4888DC7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1" w15:restartNumberingAfterBreak="0">
    <w:nsid w:val="27B054C7"/>
    <w:multiLevelType w:val="hybridMultilevel"/>
    <w:tmpl w:val="B182742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B16157F"/>
    <w:multiLevelType w:val="hybridMultilevel"/>
    <w:tmpl w:val="CE285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CC53056"/>
    <w:multiLevelType w:val="hybridMultilevel"/>
    <w:tmpl w:val="80C4436A"/>
    <w:lvl w:ilvl="0" w:tplc="C5F0081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2445B4"/>
    <w:multiLevelType w:val="hybridMultilevel"/>
    <w:tmpl w:val="71D45492"/>
    <w:lvl w:ilvl="0" w:tplc="571E8180">
      <w:start w:val="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797AF5"/>
    <w:multiLevelType w:val="hybridMultilevel"/>
    <w:tmpl w:val="CDB2A1E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6" w15:restartNumberingAfterBreak="0">
    <w:nsid w:val="31891334"/>
    <w:multiLevelType w:val="hybridMultilevel"/>
    <w:tmpl w:val="EFA66F1C"/>
    <w:lvl w:ilvl="0" w:tplc="4A1EDBBE">
      <w:start w:val="1"/>
      <w:numFmt w:val="bullet"/>
      <w:lvlText w:val=""/>
      <w:lvlJc w:val="left"/>
      <w:pPr>
        <w:tabs>
          <w:tab w:val="num" w:pos="720"/>
        </w:tabs>
        <w:ind w:left="720" w:hanging="360"/>
      </w:pPr>
      <w:rPr>
        <w:rFonts w:ascii="Symbol" w:hAnsi="Symbol" w:hint="default"/>
      </w:rPr>
    </w:lvl>
    <w:lvl w:ilvl="1" w:tplc="040C0003">
      <w:start w:val="1"/>
      <w:numFmt w:val="lowerLetter"/>
      <w:lvlText w:val="%2."/>
      <w:lvlJc w:val="left"/>
      <w:pPr>
        <w:tabs>
          <w:tab w:val="num" w:pos="1495"/>
        </w:tabs>
        <w:ind w:left="1495" w:hanging="360"/>
      </w:pPr>
    </w:lvl>
    <w:lvl w:ilvl="2" w:tplc="040C0005">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7" w15:restartNumberingAfterBreak="0">
    <w:nsid w:val="32A479B3"/>
    <w:multiLevelType w:val="hybridMultilevel"/>
    <w:tmpl w:val="759681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52512DB"/>
    <w:multiLevelType w:val="singleLevel"/>
    <w:tmpl w:val="3D185158"/>
    <w:lvl w:ilvl="0">
      <w:start w:val="1"/>
      <w:numFmt w:val="decimal"/>
      <w:lvlText w:val="%1."/>
      <w:lvlJc w:val="left"/>
      <w:pPr>
        <w:tabs>
          <w:tab w:val="num" w:pos="705"/>
        </w:tabs>
        <w:ind w:left="705" w:hanging="705"/>
      </w:pPr>
      <w:rPr>
        <w:rFonts w:hint="default"/>
      </w:rPr>
    </w:lvl>
  </w:abstractNum>
  <w:abstractNum w:abstractNumId="29" w15:restartNumberingAfterBreak="0">
    <w:nsid w:val="374647C9"/>
    <w:multiLevelType w:val="hybridMultilevel"/>
    <w:tmpl w:val="81BEB9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04D050D"/>
    <w:multiLevelType w:val="hybridMultilevel"/>
    <w:tmpl w:val="C026154E"/>
    <w:lvl w:ilvl="0" w:tplc="184C9A96">
      <w:start w:val="1"/>
      <w:numFmt w:val="decimal"/>
      <w:lvlText w:val="%1."/>
      <w:lvlJc w:val="left"/>
      <w:pPr>
        <w:tabs>
          <w:tab w:val="num" w:pos="720"/>
        </w:tabs>
        <w:ind w:left="720" w:hanging="360"/>
      </w:pPr>
      <w:rPr>
        <w:rFonts w:hint="default"/>
        <w:b/>
        <w:i w:val="0"/>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417574D5"/>
    <w:multiLevelType w:val="multilevel"/>
    <w:tmpl w:val="A9327E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E64AB3"/>
    <w:multiLevelType w:val="hybridMultilevel"/>
    <w:tmpl w:val="ECCE44C8"/>
    <w:lvl w:ilvl="0" w:tplc="040C0001">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427E2249"/>
    <w:multiLevelType w:val="hybridMultilevel"/>
    <w:tmpl w:val="07C6A2BA"/>
    <w:lvl w:ilvl="0" w:tplc="0C000001">
      <w:start w:val="1"/>
      <w:numFmt w:val="bullet"/>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4" w15:restartNumberingAfterBreak="0">
    <w:nsid w:val="42EB6168"/>
    <w:multiLevelType w:val="hybridMultilevel"/>
    <w:tmpl w:val="A3D2484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43B00456"/>
    <w:multiLevelType w:val="hybridMultilevel"/>
    <w:tmpl w:val="DDE4FB24"/>
    <w:lvl w:ilvl="0" w:tplc="EF02D046">
      <w:start w:val="1"/>
      <w:numFmt w:val="bullet"/>
      <w:lvlText w:val=""/>
      <w:lvlJc w:val="left"/>
      <w:pPr>
        <w:tabs>
          <w:tab w:val="num" w:pos="643"/>
        </w:tabs>
        <w:ind w:left="643" w:hanging="360"/>
      </w:pPr>
      <w:rPr>
        <w:rFonts w:ascii="Symbol" w:hAnsi="Symbol" w:hint="default"/>
      </w:rPr>
    </w:lvl>
    <w:lvl w:ilvl="1" w:tplc="B508816E">
      <w:start w:val="1"/>
      <w:numFmt w:val="upperLetter"/>
      <w:lvlText w:val="%2"/>
      <w:lvlJc w:val="left"/>
      <w:pPr>
        <w:tabs>
          <w:tab w:val="num" w:pos="1363"/>
        </w:tabs>
        <w:ind w:left="1363" w:hanging="360"/>
      </w:pPr>
      <w:rPr>
        <w:rFonts w:hint="default"/>
      </w:rPr>
    </w:lvl>
    <w:lvl w:ilvl="2" w:tplc="63345A10">
      <w:start w:val="1"/>
      <w:numFmt w:val="upperLetter"/>
      <w:lvlText w:val="%3"/>
      <w:lvlJc w:val="left"/>
      <w:pPr>
        <w:tabs>
          <w:tab w:val="num" w:pos="2083"/>
        </w:tabs>
        <w:ind w:left="2083" w:hanging="360"/>
      </w:pPr>
      <w:rPr>
        <w:rFonts w:hint="default"/>
      </w:rPr>
    </w:lvl>
    <w:lvl w:ilvl="3" w:tplc="040C0001">
      <w:start w:val="1"/>
      <w:numFmt w:val="bullet"/>
      <w:lvlText w:val=""/>
      <w:lvlJc w:val="left"/>
      <w:pPr>
        <w:tabs>
          <w:tab w:val="num" w:pos="2803"/>
        </w:tabs>
        <w:ind w:left="2803" w:hanging="360"/>
      </w:pPr>
      <w:rPr>
        <w:rFonts w:ascii="Symbol" w:hAnsi="Symbol" w:hint="default"/>
      </w:rPr>
    </w:lvl>
    <w:lvl w:ilvl="4" w:tplc="040C0003" w:tentative="1">
      <w:start w:val="1"/>
      <w:numFmt w:val="bullet"/>
      <w:lvlText w:val="o"/>
      <w:lvlJc w:val="left"/>
      <w:pPr>
        <w:tabs>
          <w:tab w:val="num" w:pos="3523"/>
        </w:tabs>
        <w:ind w:left="3523" w:hanging="360"/>
      </w:pPr>
      <w:rPr>
        <w:rFonts w:ascii="Courier New" w:hAnsi="Courier New" w:hint="default"/>
      </w:rPr>
    </w:lvl>
    <w:lvl w:ilvl="5" w:tplc="040C0005" w:tentative="1">
      <w:start w:val="1"/>
      <w:numFmt w:val="bullet"/>
      <w:lvlText w:val=""/>
      <w:lvlJc w:val="left"/>
      <w:pPr>
        <w:tabs>
          <w:tab w:val="num" w:pos="4243"/>
        </w:tabs>
        <w:ind w:left="4243" w:hanging="360"/>
      </w:pPr>
      <w:rPr>
        <w:rFonts w:ascii="Wingdings" w:hAnsi="Wingdings" w:hint="default"/>
      </w:rPr>
    </w:lvl>
    <w:lvl w:ilvl="6" w:tplc="040C0001" w:tentative="1">
      <w:start w:val="1"/>
      <w:numFmt w:val="bullet"/>
      <w:lvlText w:val=""/>
      <w:lvlJc w:val="left"/>
      <w:pPr>
        <w:tabs>
          <w:tab w:val="num" w:pos="4963"/>
        </w:tabs>
        <w:ind w:left="4963" w:hanging="360"/>
      </w:pPr>
      <w:rPr>
        <w:rFonts w:ascii="Symbol" w:hAnsi="Symbol" w:hint="default"/>
      </w:rPr>
    </w:lvl>
    <w:lvl w:ilvl="7" w:tplc="040C0003" w:tentative="1">
      <w:start w:val="1"/>
      <w:numFmt w:val="bullet"/>
      <w:lvlText w:val="o"/>
      <w:lvlJc w:val="left"/>
      <w:pPr>
        <w:tabs>
          <w:tab w:val="num" w:pos="5683"/>
        </w:tabs>
        <w:ind w:left="5683" w:hanging="360"/>
      </w:pPr>
      <w:rPr>
        <w:rFonts w:ascii="Courier New" w:hAnsi="Courier New" w:hint="default"/>
      </w:rPr>
    </w:lvl>
    <w:lvl w:ilvl="8" w:tplc="040C0005" w:tentative="1">
      <w:start w:val="1"/>
      <w:numFmt w:val="bullet"/>
      <w:lvlText w:val=""/>
      <w:lvlJc w:val="left"/>
      <w:pPr>
        <w:tabs>
          <w:tab w:val="num" w:pos="6403"/>
        </w:tabs>
        <w:ind w:left="6403" w:hanging="360"/>
      </w:pPr>
      <w:rPr>
        <w:rFonts w:ascii="Wingdings" w:hAnsi="Wingdings" w:hint="default"/>
      </w:rPr>
    </w:lvl>
  </w:abstractNum>
  <w:abstractNum w:abstractNumId="36" w15:restartNumberingAfterBreak="0">
    <w:nsid w:val="43F436DC"/>
    <w:multiLevelType w:val="hybridMultilevel"/>
    <w:tmpl w:val="2F7C1F1E"/>
    <w:lvl w:ilvl="0" w:tplc="0C000001">
      <w:start w:val="1"/>
      <w:numFmt w:val="bullet"/>
      <w:lvlText w:val=""/>
      <w:lvlJc w:val="left"/>
      <w:pPr>
        <w:ind w:left="1854" w:hanging="360"/>
      </w:pPr>
      <w:rPr>
        <w:rFonts w:ascii="Symbol" w:hAnsi="Symbol" w:hint="default"/>
      </w:rPr>
    </w:lvl>
    <w:lvl w:ilvl="1" w:tplc="0C000003">
      <w:start w:val="1"/>
      <w:numFmt w:val="bullet"/>
      <w:lvlText w:val="o"/>
      <w:lvlJc w:val="left"/>
      <w:pPr>
        <w:ind w:left="2574" w:hanging="360"/>
      </w:pPr>
      <w:rPr>
        <w:rFonts w:ascii="Courier New" w:hAnsi="Courier New" w:cs="Courier New" w:hint="default"/>
      </w:rPr>
    </w:lvl>
    <w:lvl w:ilvl="2" w:tplc="0C000005" w:tentative="1">
      <w:start w:val="1"/>
      <w:numFmt w:val="bullet"/>
      <w:lvlText w:val=""/>
      <w:lvlJc w:val="left"/>
      <w:pPr>
        <w:ind w:left="3294" w:hanging="360"/>
      </w:pPr>
      <w:rPr>
        <w:rFonts w:ascii="Wingdings" w:hAnsi="Wingdings" w:hint="default"/>
      </w:rPr>
    </w:lvl>
    <w:lvl w:ilvl="3" w:tplc="0C000001" w:tentative="1">
      <w:start w:val="1"/>
      <w:numFmt w:val="bullet"/>
      <w:lvlText w:val=""/>
      <w:lvlJc w:val="left"/>
      <w:pPr>
        <w:ind w:left="4014" w:hanging="360"/>
      </w:pPr>
      <w:rPr>
        <w:rFonts w:ascii="Symbol" w:hAnsi="Symbol" w:hint="default"/>
      </w:rPr>
    </w:lvl>
    <w:lvl w:ilvl="4" w:tplc="0C000003" w:tentative="1">
      <w:start w:val="1"/>
      <w:numFmt w:val="bullet"/>
      <w:lvlText w:val="o"/>
      <w:lvlJc w:val="left"/>
      <w:pPr>
        <w:ind w:left="4734" w:hanging="360"/>
      </w:pPr>
      <w:rPr>
        <w:rFonts w:ascii="Courier New" w:hAnsi="Courier New" w:cs="Courier New" w:hint="default"/>
      </w:rPr>
    </w:lvl>
    <w:lvl w:ilvl="5" w:tplc="0C000005" w:tentative="1">
      <w:start w:val="1"/>
      <w:numFmt w:val="bullet"/>
      <w:lvlText w:val=""/>
      <w:lvlJc w:val="left"/>
      <w:pPr>
        <w:ind w:left="5454" w:hanging="360"/>
      </w:pPr>
      <w:rPr>
        <w:rFonts w:ascii="Wingdings" w:hAnsi="Wingdings" w:hint="default"/>
      </w:rPr>
    </w:lvl>
    <w:lvl w:ilvl="6" w:tplc="0C000001" w:tentative="1">
      <w:start w:val="1"/>
      <w:numFmt w:val="bullet"/>
      <w:lvlText w:val=""/>
      <w:lvlJc w:val="left"/>
      <w:pPr>
        <w:ind w:left="6174" w:hanging="360"/>
      </w:pPr>
      <w:rPr>
        <w:rFonts w:ascii="Symbol" w:hAnsi="Symbol" w:hint="default"/>
      </w:rPr>
    </w:lvl>
    <w:lvl w:ilvl="7" w:tplc="0C000003" w:tentative="1">
      <w:start w:val="1"/>
      <w:numFmt w:val="bullet"/>
      <w:lvlText w:val="o"/>
      <w:lvlJc w:val="left"/>
      <w:pPr>
        <w:ind w:left="6894" w:hanging="360"/>
      </w:pPr>
      <w:rPr>
        <w:rFonts w:ascii="Courier New" w:hAnsi="Courier New" w:cs="Courier New" w:hint="default"/>
      </w:rPr>
    </w:lvl>
    <w:lvl w:ilvl="8" w:tplc="0C000005" w:tentative="1">
      <w:start w:val="1"/>
      <w:numFmt w:val="bullet"/>
      <w:lvlText w:val=""/>
      <w:lvlJc w:val="left"/>
      <w:pPr>
        <w:ind w:left="7614" w:hanging="360"/>
      </w:pPr>
      <w:rPr>
        <w:rFonts w:ascii="Wingdings" w:hAnsi="Wingdings" w:hint="default"/>
      </w:rPr>
    </w:lvl>
  </w:abstractNum>
  <w:abstractNum w:abstractNumId="37" w15:restartNumberingAfterBreak="0">
    <w:nsid w:val="44287273"/>
    <w:multiLevelType w:val="hybridMultilevel"/>
    <w:tmpl w:val="21DC4A60"/>
    <w:lvl w:ilvl="0" w:tplc="6736EF30">
      <w:numFmt w:val="bullet"/>
      <w:lvlText w:val="-"/>
      <w:lvlJc w:val="left"/>
      <w:pPr>
        <w:tabs>
          <w:tab w:val="num" w:pos="363"/>
        </w:tabs>
        <w:ind w:left="363" w:hanging="375"/>
      </w:pPr>
      <w:rPr>
        <w:rFonts w:ascii="Times New Roman" w:eastAsia="Times New Roman" w:hAnsi="Times New Roman" w:cs="Times New Roman" w:hint="default"/>
      </w:rPr>
    </w:lvl>
    <w:lvl w:ilvl="1" w:tplc="D38C304E" w:tentative="1">
      <w:start w:val="1"/>
      <w:numFmt w:val="bullet"/>
      <w:lvlText w:val="o"/>
      <w:lvlJc w:val="left"/>
      <w:pPr>
        <w:tabs>
          <w:tab w:val="num" w:pos="1068"/>
        </w:tabs>
        <w:ind w:left="1068" w:hanging="360"/>
      </w:pPr>
      <w:rPr>
        <w:rFonts w:ascii="Courier New" w:hAnsi="Courier New" w:hint="default"/>
      </w:rPr>
    </w:lvl>
    <w:lvl w:ilvl="2" w:tplc="D38C304E" w:tentative="1">
      <w:start w:val="1"/>
      <w:numFmt w:val="bullet"/>
      <w:lvlText w:val=""/>
      <w:lvlJc w:val="left"/>
      <w:pPr>
        <w:tabs>
          <w:tab w:val="num" w:pos="1788"/>
        </w:tabs>
        <w:ind w:left="1788" w:hanging="360"/>
      </w:pPr>
      <w:rPr>
        <w:rFonts w:ascii="Wingdings" w:hAnsi="Wingdings" w:hint="default"/>
      </w:rPr>
    </w:lvl>
    <w:lvl w:ilvl="3" w:tplc="040C0001" w:tentative="1">
      <w:start w:val="1"/>
      <w:numFmt w:val="bullet"/>
      <w:lvlText w:val=""/>
      <w:lvlJc w:val="left"/>
      <w:pPr>
        <w:tabs>
          <w:tab w:val="num" w:pos="2508"/>
        </w:tabs>
        <w:ind w:left="2508" w:hanging="360"/>
      </w:pPr>
      <w:rPr>
        <w:rFonts w:ascii="Symbol" w:hAnsi="Symbol" w:hint="default"/>
      </w:rPr>
    </w:lvl>
    <w:lvl w:ilvl="4" w:tplc="040C0003" w:tentative="1">
      <w:start w:val="1"/>
      <w:numFmt w:val="bullet"/>
      <w:lvlText w:val="o"/>
      <w:lvlJc w:val="left"/>
      <w:pPr>
        <w:tabs>
          <w:tab w:val="num" w:pos="3228"/>
        </w:tabs>
        <w:ind w:left="3228" w:hanging="360"/>
      </w:pPr>
      <w:rPr>
        <w:rFonts w:ascii="Courier New" w:hAnsi="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38" w15:restartNumberingAfterBreak="0">
    <w:nsid w:val="46EE605A"/>
    <w:multiLevelType w:val="hybridMultilevel"/>
    <w:tmpl w:val="6F8CC466"/>
    <w:lvl w:ilvl="0" w:tplc="152A2D5E">
      <w:start w:val="1"/>
      <w:numFmt w:val="upperLetter"/>
      <w:lvlText w:val="%1-"/>
      <w:lvlJc w:val="left"/>
      <w:pPr>
        <w:tabs>
          <w:tab w:val="num" w:pos="720"/>
        </w:tabs>
        <w:ind w:left="720" w:hanging="360"/>
      </w:pPr>
      <w:rPr>
        <w:rFonts w:hint="default"/>
      </w:rPr>
    </w:lvl>
    <w:lvl w:ilvl="1" w:tplc="D38C304E" w:tentative="1">
      <w:start w:val="1"/>
      <w:numFmt w:val="lowerLetter"/>
      <w:lvlText w:val="%2."/>
      <w:lvlJc w:val="left"/>
      <w:pPr>
        <w:tabs>
          <w:tab w:val="num" w:pos="1440"/>
        </w:tabs>
        <w:ind w:left="1440" w:hanging="360"/>
      </w:pPr>
    </w:lvl>
    <w:lvl w:ilvl="2" w:tplc="D38C304E"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9" w15:restartNumberingAfterBreak="0">
    <w:nsid w:val="48343B21"/>
    <w:multiLevelType w:val="hybridMultilevel"/>
    <w:tmpl w:val="40AC7944"/>
    <w:lvl w:ilvl="0" w:tplc="152A2D5E">
      <w:start w:val="1"/>
      <w:numFmt w:val="decimal"/>
      <w:lvlText w:val="%1-"/>
      <w:lvlJc w:val="left"/>
      <w:pPr>
        <w:tabs>
          <w:tab w:val="num" w:pos="720"/>
        </w:tabs>
        <w:ind w:left="720" w:hanging="360"/>
      </w:pPr>
      <w:rPr>
        <w:rFonts w:hint="default"/>
        <w:b/>
        <w:i w:val="0"/>
      </w:rPr>
    </w:lvl>
    <w:lvl w:ilvl="1" w:tplc="D38C304E" w:tentative="1">
      <w:start w:val="1"/>
      <w:numFmt w:val="lowerLetter"/>
      <w:lvlText w:val="%2."/>
      <w:lvlJc w:val="left"/>
      <w:pPr>
        <w:tabs>
          <w:tab w:val="num" w:pos="1440"/>
        </w:tabs>
        <w:ind w:left="1440" w:hanging="360"/>
      </w:pPr>
    </w:lvl>
    <w:lvl w:ilvl="2" w:tplc="D38C304E"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40" w15:restartNumberingAfterBreak="0">
    <w:nsid w:val="4AA67785"/>
    <w:multiLevelType w:val="hybridMultilevel"/>
    <w:tmpl w:val="77AA1090"/>
    <w:lvl w:ilvl="0" w:tplc="95822A9A">
      <w:start w:val="2"/>
      <w:numFmt w:val="bullet"/>
      <w:lvlText w:val="-"/>
      <w:lvlJc w:val="left"/>
      <w:pPr>
        <w:tabs>
          <w:tab w:val="num" w:pos="720"/>
        </w:tabs>
        <w:ind w:left="720" w:hanging="360"/>
      </w:pPr>
      <w:rPr>
        <w:rFonts w:ascii="Arial" w:eastAsia="Times New Roman" w:hAnsi="Arial" w:cs="Arial" w:hint="default"/>
      </w:rPr>
    </w:lvl>
    <w:lvl w:ilvl="1" w:tplc="040C0019" w:tentative="1">
      <w:start w:val="1"/>
      <w:numFmt w:val="bullet"/>
      <w:lvlText w:val="o"/>
      <w:lvlJc w:val="left"/>
      <w:pPr>
        <w:tabs>
          <w:tab w:val="num" w:pos="1440"/>
        </w:tabs>
        <w:ind w:left="1440" w:hanging="360"/>
      </w:pPr>
      <w:rPr>
        <w:rFonts w:ascii="Courier New" w:hAnsi="Courier New" w:cs="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C117AAF"/>
    <w:multiLevelType w:val="hybridMultilevel"/>
    <w:tmpl w:val="8F7615D2"/>
    <w:lvl w:ilvl="0" w:tplc="3690B11C">
      <w:numFmt w:val="bullet"/>
      <w:lvlText w:val=""/>
      <w:lvlJc w:val="left"/>
      <w:pPr>
        <w:tabs>
          <w:tab w:val="num" w:pos="720"/>
        </w:tabs>
        <w:ind w:left="720" w:hanging="360"/>
      </w:pPr>
      <w:rPr>
        <w:rFonts w:ascii="Symbol" w:eastAsia="Times New Roman" w:hAnsi="Symbol" w:cs="Arial"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CAB778D"/>
    <w:multiLevelType w:val="hybridMultilevel"/>
    <w:tmpl w:val="4746DBDE"/>
    <w:lvl w:ilvl="0" w:tplc="98A80E4A">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0C42D0C"/>
    <w:multiLevelType w:val="hybridMultilevel"/>
    <w:tmpl w:val="B8226DAA"/>
    <w:lvl w:ilvl="0" w:tplc="4A1EDBB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1810AFD"/>
    <w:multiLevelType w:val="hybridMultilevel"/>
    <w:tmpl w:val="9E246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86907A8"/>
    <w:multiLevelType w:val="hybridMultilevel"/>
    <w:tmpl w:val="CB08A472"/>
    <w:lvl w:ilvl="0" w:tplc="040C0001">
      <w:start w:val="1"/>
      <w:numFmt w:val="decimal"/>
      <w:lvlText w:val="%1."/>
      <w:lvlJc w:val="left"/>
      <w:pPr>
        <w:tabs>
          <w:tab w:val="num" w:pos="720"/>
        </w:tabs>
        <w:ind w:left="720" w:hanging="360"/>
      </w:p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46" w15:restartNumberingAfterBreak="0">
    <w:nsid w:val="5B133551"/>
    <w:multiLevelType w:val="multilevel"/>
    <w:tmpl w:val="5C04892A"/>
    <w:lvl w:ilvl="0">
      <w:start w:val="6"/>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5BCC6A8B"/>
    <w:multiLevelType w:val="hybridMultilevel"/>
    <w:tmpl w:val="CED415B6"/>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8" w15:restartNumberingAfterBreak="0">
    <w:nsid w:val="5BDA16C1"/>
    <w:multiLevelType w:val="hybridMultilevel"/>
    <w:tmpl w:val="34F277EC"/>
    <w:lvl w:ilvl="0" w:tplc="A3FEBE6C">
      <w:start w:val="1"/>
      <w:numFmt w:val="bullet"/>
      <w:lvlText w:val=""/>
      <w:lvlJc w:val="left"/>
      <w:pPr>
        <w:tabs>
          <w:tab w:val="num" w:pos="720"/>
        </w:tabs>
        <w:ind w:left="720" w:hanging="360"/>
      </w:pPr>
      <w:rPr>
        <w:rFonts w:ascii="Symbol" w:hAnsi="Symbol" w:hint="default"/>
      </w:rPr>
    </w:lvl>
    <w:lvl w:ilvl="1" w:tplc="AD8EBF1A" w:tentative="1">
      <w:start w:val="1"/>
      <w:numFmt w:val="bullet"/>
      <w:lvlText w:val="o"/>
      <w:lvlJc w:val="left"/>
      <w:pPr>
        <w:tabs>
          <w:tab w:val="num" w:pos="1440"/>
        </w:tabs>
        <w:ind w:left="1440" w:hanging="360"/>
      </w:pPr>
      <w:rPr>
        <w:rFonts w:ascii="Courier New" w:hAnsi="Courier New" w:cs="Courier New" w:hint="default"/>
      </w:rPr>
    </w:lvl>
    <w:lvl w:ilvl="2" w:tplc="0316B252" w:tentative="1">
      <w:start w:val="1"/>
      <w:numFmt w:val="bullet"/>
      <w:lvlText w:val=""/>
      <w:lvlJc w:val="left"/>
      <w:pPr>
        <w:tabs>
          <w:tab w:val="num" w:pos="2160"/>
        </w:tabs>
        <w:ind w:left="2160" w:hanging="360"/>
      </w:pPr>
      <w:rPr>
        <w:rFonts w:ascii="Wingdings" w:hAnsi="Wingdings" w:hint="default"/>
      </w:rPr>
    </w:lvl>
    <w:lvl w:ilvl="3" w:tplc="8C729D08" w:tentative="1">
      <w:start w:val="1"/>
      <w:numFmt w:val="bullet"/>
      <w:lvlText w:val=""/>
      <w:lvlJc w:val="left"/>
      <w:pPr>
        <w:tabs>
          <w:tab w:val="num" w:pos="2880"/>
        </w:tabs>
        <w:ind w:left="2880" w:hanging="360"/>
      </w:pPr>
      <w:rPr>
        <w:rFonts w:ascii="Symbol" w:hAnsi="Symbol" w:hint="default"/>
      </w:rPr>
    </w:lvl>
    <w:lvl w:ilvl="4" w:tplc="C518C540" w:tentative="1">
      <w:start w:val="1"/>
      <w:numFmt w:val="bullet"/>
      <w:lvlText w:val="o"/>
      <w:lvlJc w:val="left"/>
      <w:pPr>
        <w:tabs>
          <w:tab w:val="num" w:pos="3600"/>
        </w:tabs>
        <w:ind w:left="3600" w:hanging="360"/>
      </w:pPr>
      <w:rPr>
        <w:rFonts w:ascii="Courier New" w:hAnsi="Courier New" w:cs="Courier New" w:hint="default"/>
      </w:rPr>
    </w:lvl>
    <w:lvl w:ilvl="5" w:tplc="AAC00E2C" w:tentative="1">
      <w:start w:val="1"/>
      <w:numFmt w:val="bullet"/>
      <w:lvlText w:val=""/>
      <w:lvlJc w:val="left"/>
      <w:pPr>
        <w:tabs>
          <w:tab w:val="num" w:pos="4320"/>
        </w:tabs>
        <w:ind w:left="4320" w:hanging="360"/>
      </w:pPr>
      <w:rPr>
        <w:rFonts w:ascii="Wingdings" w:hAnsi="Wingdings" w:hint="default"/>
      </w:rPr>
    </w:lvl>
    <w:lvl w:ilvl="6" w:tplc="17B28A04" w:tentative="1">
      <w:start w:val="1"/>
      <w:numFmt w:val="bullet"/>
      <w:lvlText w:val=""/>
      <w:lvlJc w:val="left"/>
      <w:pPr>
        <w:tabs>
          <w:tab w:val="num" w:pos="5040"/>
        </w:tabs>
        <w:ind w:left="5040" w:hanging="360"/>
      </w:pPr>
      <w:rPr>
        <w:rFonts w:ascii="Symbol" w:hAnsi="Symbol" w:hint="default"/>
      </w:rPr>
    </w:lvl>
    <w:lvl w:ilvl="7" w:tplc="45BE2060" w:tentative="1">
      <w:start w:val="1"/>
      <w:numFmt w:val="bullet"/>
      <w:lvlText w:val="o"/>
      <w:lvlJc w:val="left"/>
      <w:pPr>
        <w:tabs>
          <w:tab w:val="num" w:pos="5760"/>
        </w:tabs>
        <w:ind w:left="5760" w:hanging="360"/>
      </w:pPr>
      <w:rPr>
        <w:rFonts w:ascii="Courier New" w:hAnsi="Courier New" w:cs="Courier New" w:hint="default"/>
      </w:rPr>
    </w:lvl>
    <w:lvl w:ilvl="8" w:tplc="8578B302"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3057303"/>
    <w:multiLevelType w:val="hybridMultilevel"/>
    <w:tmpl w:val="1E0AC5BE"/>
    <w:lvl w:ilvl="0" w:tplc="040C0019">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0" w15:restartNumberingAfterBreak="0">
    <w:nsid w:val="645A2C00"/>
    <w:multiLevelType w:val="multilevel"/>
    <w:tmpl w:val="E2206434"/>
    <w:lvl w:ilvl="0">
      <w:start w:val="1"/>
      <w:numFmt w:val="decimal"/>
      <w:pStyle w:val="Titre2"/>
      <w:lvlText w:val="ARTICLE %1 - "/>
      <w:lvlJc w:val="left"/>
      <w:pPr>
        <w:ind w:left="360" w:hanging="360"/>
      </w:pPr>
      <w:rPr>
        <w:rFonts w:hint="default"/>
      </w:rPr>
    </w:lvl>
    <w:lvl w:ilvl="1">
      <w:start w:val="1"/>
      <w:numFmt w:val="decimal"/>
      <w:pStyle w:val="Titre3"/>
      <w:lvlText w:val="Article %1.%2 -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D936549"/>
    <w:multiLevelType w:val="hybridMultilevel"/>
    <w:tmpl w:val="F1B0AB56"/>
    <w:lvl w:ilvl="0" w:tplc="D4764EA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08F66EF"/>
    <w:multiLevelType w:val="multilevel"/>
    <w:tmpl w:val="442A8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0BA4EE7"/>
    <w:multiLevelType w:val="hybridMultilevel"/>
    <w:tmpl w:val="013CBBA6"/>
    <w:lvl w:ilvl="0" w:tplc="81DAFFA6">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0DB625C"/>
    <w:multiLevelType w:val="hybridMultilevel"/>
    <w:tmpl w:val="D46CD128"/>
    <w:lvl w:ilvl="0" w:tplc="025828BA">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11C1AF1"/>
    <w:multiLevelType w:val="hybridMultilevel"/>
    <w:tmpl w:val="6F56CB12"/>
    <w:lvl w:ilvl="0" w:tplc="C8AAAB4E">
      <w:start w:val="1"/>
      <w:numFmt w:val="bullet"/>
      <w:lvlText w:val="-"/>
      <w:lvlJc w:val="left"/>
      <w:pPr>
        <w:ind w:left="1004" w:hanging="360"/>
      </w:pPr>
      <w:rPr>
        <w:rFonts w:ascii="Verdana" w:eastAsia="Times New Roman" w:hAnsi="Verdana"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6" w15:restartNumberingAfterBreak="0">
    <w:nsid w:val="733455E1"/>
    <w:multiLevelType w:val="hybridMultilevel"/>
    <w:tmpl w:val="E200DA68"/>
    <w:lvl w:ilvl="0" w:tplc="040C0001">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3670523"/>
    <w:multiLevelType w:val="hybridMultilevel"/>
    <w:tmpl w:val="8A9046F2"/>
    <w:lvl w:ilvl="0" w:tplc="CA549CDC">
      <w:start w:val="5"/>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39E557A"/>
    <w:multiLevelType w:val="hybridMultilevel"/>
    <w:tmpl w:val="B762BD86"/>
    <w:lvl w:ilvl="0" w:tplc="040C0001">
      <w:start w:val="1"/>
      <w:numFmt w:val="bullet"/>
      <w:pStyle w:val="alinea"/>
      <w:lvlText w:val=""/>
      <w:lvlJc w:val="left"/>
      <w:pPr>
        <w:ind w:left="720" w:hanging="360"/>
      </w:pPr>
      <w:rPr>
        <w:rFonts w:ascii="Symbol" w:hAnsi="Symbol"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9" w15:restartNumberingAfterBreak="0">
    <w:nsid w:val="75301077"/>
    <w:multiLevelType w:val="hybridMultilevel"/>
    <w:tmpl w:val="9106047E"/>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0" w15:restartNumberingAfterBreak="0">
    <w:nsid w:val="7D9170E0"/>
    <w:multiLevelType w:val="hybridMultilevel"/>
    <w:tmpl w:val="5F2EC340"/>
    <w:lvl w:ilvl="0" w:tplc="C8AAAB4E">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8C24CA"/>
    <w:multiLevelType w:val="hybridMultilevel"/>
    <w:tmpl w:val="49722B0A"/>
    <w:lvl w:ilvl="0" w:tplc="E1E0FCD2">
      <w:start w:val="1"/>
      <w:numFmt w:val="bullet"/>
      <w:lvlText w:val=""/>
      <w:lvlJc w:val="left"/>
      <w:pPr>
        <w:tabs>
          <w:tab w:val="num" w:pos="340"/>
        </w:tabs>
        <w:ind w:left="360" w:hanging="360"/>
      </w:pPr>
      <w:rPr>
        <w:rFonts w:ascii="Symbol" w:hAnsi="Symbol" w:hint="default"/>
      </w:rPr>
    </w:lvl>
    <w:lvl w:ilvl="1" w:tplc="8EE69F7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EB11A8A"/>
    <w:multiLevelType w:val="hybridMultilevel"/>
    <w:tmpl w:val="A35214BE"/>
    <w:lvl w:ilvl="0" w:tplc="28A6E39A">
      <w:start w:val="1"/>
      <w:numFmt w:val="decimal"/>
      <w:lvlText w:val="%1)"/>
      <w:lvlJc w:val="left"/>
      <w:pPr>
        <w:ind w:left="360" w:hanging="360"/>
      </w:pPr>
      <w:rPr>
        <w:rFonts w:hint="default"/>
        <w:b w:val="0"/>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7F552C55"/>
    <w:multiLevelType w:val="hybridMultilevel"/>
    <w:tmpl w:val="F1145650"/>
    <w:lvl w:ilvl="0" w:tplc="4A1EDBB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144618796">
    <w:abstractNumId w:val="28"/>
  </w:num>
  <w:num w:numId="2" w16cid:durableId="1399204483">
    <w:abstractNumId w:val="2"/>
  </w:num>
  <w:num w:numId="3" w16cid:durableId="365057541">
    <w:abstractNumId w:val="23"/>
  </w:num>
  <w:num w:numId="4" w16cid:durableId="1437478316">
    <w:abstractNumId w:val="37"/>
  </w:num>
  <w:num w:numId="5" w16cid:durableId="1271354904">
    <w:abstractNumId w:val="40"/>
  </w:num>
  <w:num w:numId="6" w16cid:durableId="688677376">
    <w:abstractNumId w:val="41"/>
  </w:num>
  <w:num w:numId="7" w16cid:durableId="1586181130">
    <w:abstractNumId w:val="13"/>
  </w:num>
  <w:num w:numId="8" w16cid:durableId="279537430">
    <w:abstractNumId w:val="56"/>
  </w:num>
  <w:num w:numId="9" w16cid:durableId="35931737">
    <w:abstractNumId w:val="45"/>
  </w:num>
  <w:num w:numId="10" w16cid:durableId="181747762">
    <w:abstractNumId w:val="5"/>
  </w:num>
  <w:num w:numId="11" w16cid:durableId="242224488">
    <w:abstractNumId w:val="46"/>
  </w:num>
  <w:num w:numId="12" w16cid:durableId="218056295">
    <w:abstractNumId w:val="17"/>
  </w:num>
  <w:num w:numId="13" w16cid:durableId="33445883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93291934">
    <w:abstractNumId w:val="48"/>
  </w:num>
  <w:num w:numId="15" w16cid:durableId="1906795056">
    <w:abstractNumId w:val="43"/>
  </w:num>
  <w:num w:numId="16" w16cid:durableId="586306304">
    <w:abstractNumId w:val="38"/>
  </w:num>
  <w:num w:numId="17" w16cid:durableId="1888028684">
    <w:abstractNumId w:val="11"/>
  </w:num>
  <w:num w:numId="18" w16cid:durableId="1733698252">
    <w:abstractNumId w:val="26"/>
  </w:num>
  <w:num w:numId="19" w16cid:durableId="637731188">
    <w:abstractNumId w:val="63"/>
  </w:num>
  <w:num w:numId="20" w16cid:durableId="1688869640">
    <w:abstractNumId w:val="6"/>
  </w:num>
  <w:num w:numId="21" w16cid:durableId="1103460179">
    <w:abstractNumId w:val="27"/>
  </w:num>
  <w:num w:numId="22" w16cid:durableId="228350950">
    <w:abstractNumId w:val="7"/>
  </w:num>
  <w:num w:numId="23" w16cid:durableId="1227185763">
    <w:abstractNumId w:val="31"/>
  </w:num>
  <w:num w:numId="24" w16cid:durableId="980353109">
    <w:abstractNumId w:val="24"/>
  </w:num>
  <w:num w:numId="25" w16cid:durableId="1916432594">
    <w:abstractNumId w:val="14"/>
  </w:num>
  <w:num w:numId="26" w16cid:durableId="1899634446">
    <w:abstractNumId w:val="57"/>
  </w:num>
  <w:num w:numId="27" w16cid:durableId="140772079">
    <w:abstractNumId w:val="49"/>
  </w:num>
  <w:num w:numId="28" w16cid:durableId="1267079780">
    <w:abstractNumId w:val="60"/>
  </w:num>
  <w:num w:numId="29" w16cid:durableId="482744716">
    <w:abstractNumId w:val="10"/>
  </w:num>
  <w:num w:numId="30" w16cid:durableId="1161313678">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0868811">
    <w:abstractNumId w:val="61"/>
  </w:num>
  <w:num w:numId="32" w16cid:durableId="1265531695">
    <w:abstractNumId w:val="30"/>
  </w:num>
  <w:num w:numId="33" w16cid:durableId="508101822">
    <w:abstractNumId w:val="12"/>
  </w:num>
  <w:num w:numId="34" w16cid:durableId="752556400">
    <w:abstractNumId w:val="35"/>
  </w:num>
  <w:num w:numId="35" w16cid:durableId="244387777">
    <w:abstractNumId w:val="53"/>
  </w:num>
  <w:num w:numId="36" w16cid:durableId="548884171">
    <w:abstractNumId w:val="39"/>
  </w:num>
  <w:num w:numId="37" w16cid:durableId="1958174129">
    <w:abstractNumId w:val="0"/>
  </w:num>
  <w:num w:numId="38" w16cid:durableId="577447816">
    <w:abstractNumId w:val="19"/>
  </w:num>
  <w:num w:numId="39" w16cid:durableId="1003049020">
    <w:abstractNumId w:val="16"/>
  </w:num>
  <w:num w:numId="40" w16cid:durableId="1664165039">
    <w:abstractNumId w:val="44"/>
  </w:num>
  <w:num w:numId="41" w16cid:durableId="251283056">
    <w:abstractNumId w:val="22"/>
  </w:num>
  <w:num w:numId="42" w16cid:durableId="1799643507">
    <w:abstractNumId w:val="29"/>
  </w:num>
  <w:num w:numId="43" w16cid:durableId="829903148">
    <w:abstractNumId w:val="52"/>
  </w:num>
  <w:num w:numId="44" w16cid:durableId="1239826756">
    <w:abstractNumId w:val="4"/>
  </w:num>
  <w:num w:numId="45" w16cid:durableId="573130401">
    <w:abstractNumId w:val="8"/>
  </w:num>
  <w:num w:numId="46" w16cid:durableId="1581909535">
    <w:abstractNumId w:val="62"/>
  </w:num>
  <w:num w:numId="47" w16cid:durableId="1471748910">
    <w:abstractNumId w:val="50"/>
  </w:num>
  <w:num w:numId="48" w16cid:durableId="1809472159">
    <w:abstractNumId w:val="47"/>
  </w:num>
  <w:num w:numId="49" w16cid:durableId="1028146265">
    <w:abstractNumId w:val="33"/>
  </w:num>
  <w:num w:numId="50" w16cid:durableId="226496061">
    <w:abstractNumId w:val="59"/>
  </w:num>
  <w:num w:numId="51" w16cid:durableId="3284200">
    <w:abstractNumId w:val="20"/>
  </w:num>
  <w:num w:numId="52" w16cid:durableId="852307914">
    <w:abstractNumId w:val="3"/>
  </w:num>
  <w:num w:numId="53" w16cid:durableId="1355182786">
    <w:abstractNumId w:val="1"/>
  </w:num>
  <w:num w:numId="54" w16cid:durableId="1834639638">
    <w:abstractNumId w:val="36"/>
  </w:num>
  <w:num w:numId="55" w16cid:durableId="530723450">
    <w:abstractNumId w:val="25"/>
  </w:num>
  <w:num w:numId="56" w16cid:durableId="1683780267">
    <w:abstractNumId w:val="21"/>
  </w:num>
  <w:num w:numId="57" w16cid:durableId="151870540">
    <w:abstractNumId w:val="18"/>
  </w:num>
  <w:num w:numId="58" w16cid:durableId="1658917323">
    <w:abstractNumId w:val="55"/>
  </w:num>
  <w:num w:numId="59" w16cid:durableId="1132214551">
    <w:abstractNumId w:val="9"/>
  </w:num>
  <w:num w:numId="60" w16cid:durableId="1616863757">
    <w:abstractNumId w:val="58"/>
  </w:num>
  <w:num w:numId="61" w16cid:durableId="1075392215">
    <w:abstractNumId w:val="15"/>
  </w:num>
  <w:num w:numId="62" w16cid:durableId="1485320366">
    <w:abstractNumId w:val="42"/>
  </w:num>
  <w:num w:numId="63" w16cid:durableId="329601950">
    <w:abstractNumId w:val="54"/>
  </w:num>
  <w:num w:numId="64" w16cid:durableId="1773233890">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F48"/>
    <w:rsid w:val="00004D7B"/>
    <w:rsid w:val="0000502B"/>
    <w:rsid w:val="00010EB4"/>
    <w:rsid w:val="000143D1"/>
    <w:rsid w:val="00020963"/>
    <w:rsid w:val="00020B33"/>
    <w:rsid w:val="00021F7C"/>
    <w:rsid w:val="000234ED"/>
    <w:rsid w:val="00033C6B"/>
    <w:rsid w:val="00034041"/>
    <w:rsid w:val="00034E01"/>
    <w:rsid w:val="000375A2"/>
    <w:rsid w:val="00042D00"/>
    <w:rsid w:val="0004596C"/>
    <w:rsid w:val="00046509"/>
    <w:rsid w:val="00046E1B"/>
    <w:rsid w:val="00047D72"/>
    <w:rsid w:val="0005057C"/>
    <w:rsid w:val="000544E4"/>
    <w:rsid w:val="00055A92"/>
    <w:rsid w:val="000611D0"/>
    <w:rsid w:val="0006589A"/>
    <w:rsid w:val="0007595C"/>
    <w:rsid w:val="000808E4"/>
    <w:rsid w:val="000809E6"/>
    <w:rsid w:val="00083C80"/>
    <w:rsid w:val="000911C8"/>
    <w:rsid w:val="0009361C"/>
    <w:rsid w:val="00094160"/>
    <w:rsid w:val="000946AB"/>
    <w:rsid w:val="00094DB9"/>
    <w:rsid w:val="00095511"/>
    <w:rsid w:val="00097EE0"/>
    <w:rsid w:val="000A081C"/>
    <w:rsid w:val="000A359E"/>
    <w:rsid w:val="000A3E52"/>
    <w:rsid w:val="000A4451"/>
    <w:rsid w:val="000A5402"/>
    <w:rsid w:val="000B2D39"/>
    <w:rsid w:val="000B5AAA"/>
    <w:rsid w:val="000B703B"/>
    <w:rsid w:val="000C0BC3"/>
    <w:rsid w:val="000C3EF6"/>
    <w:rsid w:val="000D158F"/>
    <w:rsid w:val="000D4358"/>
    <w:rsid w:val="000D6EA3"/>
    <w:rsid w:val="000D734E"/>
    <w:rsid w:val="000E4A6F"/>
    <w:rsid w:val="000E5794"/>
    <w:rsid w:val="000F0483"/>
    <w:rsid w:val="000F2050"/>
    <w:rsid w:val="001040B0"/>
    <w:rsid w:val="001056BE"/>
    <w:rsid w:val="00107189"/>
    <w:rsid w:val="00111B22"/>
    <w:rsid w:val="00112CF9"/>
    <w:rsid w:val="00113439"/>
    <w:rsid w:val="0011426B"/>
    <w:rsid w:val="00117803"/>
    <w:rsid w:val="00121B1D"/>
    <w:rsid w:val="0012411E"/>
    <w:rsid w:val="001314E5"/>
    <w:rsid w:val="00133D04"/>
    <w:rsid w:val="00150047"/>
    <w:rsid w:val="00151C00"/>
    <w:rsid w:val="001525E3"/>
    <w:rsid w:val="00154C92"/>
    <w:rsid w:val="0016364D"/>
    <w:rsid w:val="00164C40"/>
    <w:rsid w:val="001672EE"/>
    <w:rsid w:val="00170837"/>
    <w:rsid w:val="001718C6"/>
    <w:rsid w:val="00175512"/>
    <w:rsid w:val="001827FD"/>
    <w:rsid w:val="0018452A"/>
    <w:rsid w:val="00184979"/>
    <w:rsid w:val="001909B9"/>
    <w:rsid w:val="0019399F"/>
    <w:rsid w:val="001A1D03"/>
    <w:rsid w:val="001A2F26"/>
    <w:rsid w:val="001A3D95"/>
    <w:rsid w:val="001A4967"/>
    <w:rsid w:val="001B0D8E"/>
    <w:rsid w:val="001B6688"/>
    <w:rsid w:val="001B6E43"/>
    <w:rsid w:val="001C7640"/>
    <w:rsid w:val="001D1BA4"/>
    <w:rsid w:val="001E1069"/>
    <w:rsid w:val="001F2A61"/>
    <w:rsid w:val="00201979"/>
    <w:rsid w:val="002063B1"/>
    <w:rsid w:val="00206917"/>
    <w:rsid w:val="00210877"/>
    <w:rsid w:val="002171B2"/>
    <w:rsid w:val="00231941"/>
    <w:rsid w:val="002403AA"/>
    <w:rsid w:val="00241237"/>
    <w:rsid w:val="00242DD3"/>
    <w:rsid w:val="00247CC9"/>
    <w:rsid w:val="00252EF6"/>
    <w:rsid w:val="00261085"/>
    <w:rsid w:val="0026126B"/>
    <w:rsid w:val="00264F6C"/>
    <w:rsid w:val="002650DF"/>
    <w:rsid w:val="00265D41"/>
    <w:rsid w:val="00266032"/>
    <w:rsid w:val="00273A4A"/>
    <w:rsid w:val="002838A0"/>
    <w:rsid w:val="002862BB"/>
    <w:rsid w:val="00286513"/>
    <w:rsid w:val="00293D2E"/>
    <w:rsid w:val="00294F73"/>
    <w:rsid w:val="002A2580"/>
    <w:rsid w:val="002A4EE6"/>
    <w:rsid w:val="002A6427"/>
    <w:rsid w:val="002A68BC"/>
    <w:rsid w:val="002B13A6"/>
    <w:rsid w:val="002B5576"/>
    <w:rsid w:val="002C25A3"/>
    <w:rsid w:val="002C36D6"/>
    <w:rsid w:val="002C7636"/>
    <w:rsid w:val="002D238D"/>
    <w:rsid w:val="002E58EB"/>
    <w:rsid w:val="002F1834"/>
    <w:rsid w:val="002F2FE0"/>
    <w:rsid w:val="002F47C4"/>
    <w:rsid w:val="002F6428"/>
    <w:rsid w:val="003003B1"/>
    <w:rsid w:val="00304F13"/>
    <w:rsid w:val="00305AC0"/>
    <w:rsid w:val="003060C3"/>
    <w:rsid w:val="0030759E"/>
    <w:rsid w:val="00312102"/>
    <w:rsid w:val="00314415"/>
    <w:rsid w:val="00315821"/>
    <w:rsid w:val="00320353"/>
    <w:rsid w:val="00320423"/>
    <w:rsid w:val="003275AF"/>
    <w:rsid w:val="00331AAE"/>
    <w:rsid w:val="003344EB"/>
    <w:rsid w:val="003345A9"/>
    <w:rsid w:val="0034052F"/>
    <w:rsid w:val="003430DB"/>
    <w:rsid w:val="00344FA1"/>
    <w:rsid w:val="00346E42"/>
    <w:rsid w:val="003527C3"/>
    <w:rsid w:val="00353D49"/>
    <w:rsid w:val="00355707"/>
    <w:rsid w:val="00355CE4"/>
    <w:rsid w:val="0036249A"/>
    <w:rsid w:val="00367985"/>
    <w:rsid w:val="00370050"/>
    <w:rsid w:val="00373F48"/>
    <w:rsid w:val="0037553B"/>
    <w:rsid w:val="00380117"/>
    <w:rsid w:val="00380917"/>
    <w:rsid w:val="0038145B"/>
    <w:rsid w:val="003827C1"/>
    <w:rsid w:val="003838F9"/>
    <w:rsid w:val="00384B15"/>
    <w:rsid w:val="003862EC"/>
    <w:rsid w:val="0039377E"/>
    <w:rsid w:val="00395F79"/>
    <w:rsid w:val="003A3D7E"/>
    <w:rsid w:val="003A6834"/>
    <w:rsid w:val="003A79FE"/>
    <w:rsid w:val="003B467A"/>
    <w:rsid w:val="003B49FB"/>
    <w:rsid w:val="003B7F08"/>
    <w:rsid w:val="003C0DA9"/>
    <w:rsid w:val="003C2D7C"/>
    <w:rsid w:val="003C6557"/>
    <w:rsid w:val="003C7142"/>
    <w:rsid w:val="003C7304"/>
    <w:rsid w:val="003D1258"/>
    <w:rsid w:val="003D1377"/>
    <w:rsid w:val="003D1403"/>
    <w:rsid w:val="003D34D6"/>
    <w:rsid w:val="003D43D9"/>
    <w:rsid w:val="003D524D"/>
    <w:rsid w:val="003D6B92"/>
    <w:rsid w:val="003E09D9"/>
    <w:rsid w:val="003E3F46"/>
    <w:rsid w:val="003E4292"/>
    <w:rsid w:val="003E5706"/>
    <w:rsid w:val="003E5ECD"/>
    <w:rsid w:val="003E78E2"/>
    <w:rsid w:val="003F0601"/>
    <w:rsid w:val="004029C8"/>
    <w:rsid w:val="00403FB2"/>
    <w:rsid w:val="00404B39"/>
    <w:rsid w:val="00406012"/>
    <w:rsid w:val="0040748F"/>
    <w:rsid w:val="004109C5"/>
    <w:rsid w:val="00412216"/>
    <w:rsid w:val="004139CC"/>
    <w:rsid w:val="0041658C"/>
    <w:rsid w:val="00423337"/>
    <w:rsid w:val="0042666B"/>
    <w:rsid w:val="0043123A"/>
    <w:rsid w:val="00431848"/>
    <w:rsid w:val="00433666"/>
    <w:rsid w:val="00436053"/>
    <w:rsid w:val="00440734"/>
    <w:rsid w:val="0044218B"/>
    <w:rsid w:val="00442904"/>
    <w:rsid w:val="00442BF8"/>
    <w:rsid w:val="00443019"/>
    <w:rsid w:val="004450B4"/>
    <w:rsid w:val="0045277E"/>
    <w:rsid w:val="00452A07"/>
    <w:rsid w:val="004539DE"/>
    <w:rsid w:val="00453FC0"/>
    <w:rsid w:val="00456AC9"/>
    <w:rsid w:val="00465548"/>
    <w:rsid w:val="004709E6"/>
    <w:rsid w:val="00474018"/>
    <w:rsid w:val="00477DC8"/>
    <w:rsid w:val="00481A4E"/>
    <w:rsid w:val="00481C0D"/>
    <w:rsid w:val="0048654B"/>
    <w:rsid w:val="004868EA"/>
    <w:rsid w:val="00490194"/>
    <w:rsid w:val="0049079F"/>
    <w:rsid w:val="004A170F"/>
    <w:rsid w:val="004A2881"/>
    <w:rsid w:val="004A3280"/>
    <w:rsid w:val="004A7A65"/>
    <w:rsid w:val="004B2125"/>
    <w:rsid w:val="004B22E6"/>
    <w:rsid w:val="004B426E"/>
    <w:rsid w:val="004B5AFD"/>
    <w:rsid w:val="004C30A3"/>
    <w:rsid w:val="004C54D0"/>
    <w:rsid w:val="004C669D"/>
    <w:rsid w:val="004D5295"/>
    <w:rsid w:val="004D6973"/>
    <w:rsid w:val="004E12DA"/>
    <w:rsid w:val="004E1DBB"/>
    <w:rsid w:val="004F26E7"/>
    <w:rsid w:val="004F4950"/>
    <w:rsid w:val="004F5810"/>
    <w:rsid w:val="004F5A6E"/>
    <w:rsid w:val="00500C72"/>
    <w:rsid w:val="00506026"/>
    <w:rsid w:val="00506A87"/>
    <w:rsid w:val="00513437"/>
    <w:rsid w:val="00515462"/>
    <w:rsid w:val="00521A7B"/>
    <w:rsid w:val="0052259D"/>
    <w:rsid w:val="005225E6"/>
    <w:rsid w:val="00525109"/>
    <w:rsid w:val="00531442"/>
    <w:rsid w:val="005376E4"/>
    <w:rsid w:val="00540C59"/>
    <w:rsid w:val="005412B7"/>
    <w:rsid w:val="0054558D"/>
    <w:rsid w:val="00545A5B"/>
    <w:rsid w:val="0055075F"/>
    <w:rsid w:val="00551CF2"/>
    <w:rsid w:val="005530F0"/>
    <w:rsid w:val="0055490C"/>
    <w:rsid w:val="005563F5"/>
    <w:rsid w:val="005642CE"/>
    <w:rsid w:val="00564DF0"/>
    <w:rsid w:val="00565BED"/>
    <w:rsid w:val="00566F20"/>
    <w:rsid w:val="005672EB"/>
    <w:rsid w:val="00581668"/>
    <w:rsid w:val="00584C79"/>
    <w:rsid w:val="005914E3"/>
    <w:rsid w:val="00594543"/>
    <w:rsid w:val="00596C0A"/>
    <w:rsid w:val="005A0915"/>
    <w:rsid w:val="005A2198"/>
    <w:rsid w:val="005A6C8E"/>
    <w:rsid w:val="005A6E93"/>
    <w:rsid w:val="005B0741"/>
    <w:rsid w:val="005B1582"/>
    <w:rsid w:val="005B26AB"/>
    <w:rsid w:val="005B30B0"/>
    <w:rsid w:val="005B3287"/>
    <w:rsid w:val="005B3997"/>
    <w:rsid w:val="005B7B0A"/>
    <w:rsid w:val="005C0026"/>
    <w:rsid w:val="005C06DA"/>
    <w:rsid w:val="005C7A24"/>
    <w:rsid w:val="005D50B5"/>
    <w:rsid w:val="005E1922"/>
    <w:rsid w:val="005E492D"/>
    <w:rsid w:val="005E57E3"/>
    <w:rsid w:val="005E6A61"/>
    <w:rsid w:val="005F1C0A"/>
    <w:rsid w:val="005F1C72"/>
    <w:rsid w:val="005F2355"/>
    <w:rsid w:val="005F2753"/>
    <w:rsid w:val="005F27F4"/>
    <w:rsid w:val="005F2F7B"/>
    <w:rsid w:val="005F3073"/>
    <w:rsid w:val="005F39C2"/>
    <w:rsid w:val="005F5882"/>
    <w:rsid w:val="005F65D7"/>
    <w:rsid w:val="005F6E07"/>
    <w:rsid w:val="005F739B"/>
    <w:rsid w:val="005F783C"/>
    <w:rsid w:val="00604D09"/>
    <w:rsid w:val="006063A1"/>
    <w:rsid w:val="00617D22"/>
    <w:rsid w:val="006212F5"/>
    <w:rsid w:val="006304A7"/>
    <w:rsid w:val="00633766"/>
    <w:rsid w:val="00642772"/>
    <w:rsid w:val="00651881"/>
    <w:rsid w:val="0065524D"/>
    <w:rsid w:val="006560D1"/>
    <w:rsid w:val="006609BA"/>
    <w:rsid w:val="00661C4E"/>
    <w:rsid w:val="00666DC9"/>
    <w:rsid w:val="00667176"/>
    <w:rsid w:val="0067395D"/>
    <w:rsid w:val="006747E7"/>
    <w:rsid w:val="00675717"/>
    <w:rsid w:val="00676328"/>
    <w:rsid w:val="00676C90"/>
    <w:rsid w:val="00684441"/>
    <w:rsid w:val="00684B7C"/>
    <w:rsid w:val="00691BB4"/>
    <w:rsid w:val="00691D54"/>
    <w:rsid w:val="006962D2"/>
    <w:rsid w:val="006963CA"/>
    <w:rsid w:val="00696EA8"/>
    <w:rsid w:val="006A0236"/>
    <w:rsid w:val="006A2896"/>
    <w:rsid w:val="006A718A"/>
    <w:rsid w:val="006A7A13"/>
    <w:rsid w:val="006B040C"/>
    <w:rsid w:val="006B3739"/>
    <w:rsid w:val="006B3762"/>
    <w:rsid w:val="006C0EF7"/>
    <w:rsid w:val="006C78A3"/>
    <w:rsid w:val="006D0363"/>
    <w:rsid w:val="006D5922"/>
    <w:rsid w:val="006D703C"/>
    <w:rsid w:val="006E312B"/>
    <w:rsid w:val="006E3749"/>
    <w:rsid w:val="006E4099"/>
    <w:rsid w:val="006E5C94"/>
    <w:rsid w:val="006F1905"/>
    <w:rsid w:val="006F2521"/>
    <w:rsid w:val="006F404E"/>
    <w:rsid w:val="006F70CA"/>
    <w:rsid w:val="006F72B4"/>
    <w:rsid w:val="0070165D"/>
    <w:rsid w:val="007036B0"/>
    <w:rsid w:val="0070406E"/>
    <w:rsid w:val="00704C50"/>
    <w:rsid w:val="007058FE"/>
    <w:rsid w:val="00707957"/>
    <w:rsid w:val="00711D42"/>
    <w:rsid w:val="00712419"/>
    <w:rsid w:val="00714154"/>
    <w:rsid w:val="0071443C"/>
    <w:rsid w:val="0071737B"/>
    <w:rsid w:val="00722292"/>
    <w:rsid w:val="0072235F"/>
    <w:rsid w:val="00724950"/>
    <w:rsid w:val="00724EB4"/>
    <w:rsid w:val="007316DE"/>
    <w:rsid w:val="00736C8D"/>
    <w:rsid w:val="007378A3"/>
    <w:rsid w:val="00741559"/>
    <w:rsid w:val="00742624"/>
    <w:rsid w:val="00751729"/>
    <w:rsid w:val="00753410"/>
    <w:rsid w:val="0075597C"/>
    <w:rsid w:val="007567DB"/>
    <w:rsid w:val="00760539"/>
    <w:rsid w:val="007672A7"/>
    <w:rsid w:val="0077103C"/>
    <w:rsid w:val="0077289B"/>
    <w:rsid w:val="00776A7C"/>
    <w:rsid w:val="00781758"/>
    <w:rsid w:val="00792335"/>
    <w:rsid w:val="00793A05"/>
    <w:rsid w:val="00795ABD"/>
    <w:rsid w:val="00795C23"/>
    <w:rsid w:val="007A269B"/>
    <w:rsid w:val="007A5B29"/>
    <w:rsid w:val="007A73E3"/>
    <w:rsid w:val="007B0830"/>
    <w:rsid w:val="007B2503"/>
    <w:rsid w:val="007B66C1"/>
    <w:rsid w:val="007B70AF"/>
    <w:rsid w:val="007B7F25"/>
    <w:rsid w:val="007C0164"/>
    <w:rsid w:val="007C0D93"/>
    <w:rsid w:val="007C36E0"/>
    <w:rsid w:val="007C4349"/>
    <w:rsid w:val="007C6217"/>
    <w:rsid w:val="007C7B6E"/>
    <w:rsid w:val="007D4025"/>
    <w:rsid w:val="007D4ECD"/>
    <w:rsid w:val="007D6690"/>
    <w:rsid w:val="007E1F69"/>
    <w:rsid w:val="007E455F"/>
    <w:rsid w:val="007E49CE"/>
    <w:rsid w:val="007F3D0B"/>
    <w:rsid w:val="007F46EF"/>
    <w:rsid w:val="007F4871"/>
    <w:rsid w:val="007F4DB8"/>
    <w:rsid w:val="007F5862"/>
    <w:rsid w:val="007F626B"/>
    <w:rsid w:val="007F7BD5"/>
    <w:rsid w:val="00805947"/>
    <w:rsid w:val="00814DF9"/>
    <w:rsid w:val="0082554C"/>
    <w:rsid w:val="0082684C"/>
    <w:rsid w:val="0083097C"/>
    <w:rsid w:val="00831063"/>
    <w:rsid w:val="0083221E"/>
    <w:rsid w:val="00841F1D"/>
    <w:rsid w:val="008420FE"/>
    <w:rsid w:val="00843F49"/>
    <w:rsid w:val="00854E79"/>
    <w:rsid w:val="00856991"/>
    <w:rsid w:val="00862023"/>
    <w:rsid w:val="0086721C"/>
    <w:rsid w:val="00867E61"/>
    <w:rsid w:val="008709D5"/>
    <w:rsid w:val="0087522E"/>
    <w:rsid w:val="008768D6"/>
    <w:rsid w:val="00877681"/>
    <w:rsid w:val="008814AD"/>
    <w:rsid w:val="00881C93"/>
    <w:rsid w:val="008826B5"/>
    <w:rsid w:val="008839D2"/>
    <w:rsid w:val="00886887"/>
    <w:rsid w:val="00895D65"/>
    <w:rsid w:val="008A0115"/>
    <w:rsid w:val="008A1BCB"/>
    <w:rsid w:val="008B2E78"/>
    <w:rsid w:val="008B3ADA"/>
    <w:rsid w:val="008B3F07"/>
    <w:rsid w:val="008B4496"/>
    <w:rsid w:val="008C1AB8"/>
    <w:rsid w:val="008C3D78"/>
    <w:rsid w:val="008C4D9C"/>
    <w:rsid w:val="008C6E36"/>
    <w:rsid w:val="008D2154"/>
    <w:rsid w:val="008D223A"/>
    <w:rsid w:val="008D352D"/>
    <w:rsid w:val="008E1D97"/>
    <w:rsid w:val="008E4D7E"/>
    <w:rsid w:val="008E4D80"/>
    <w:rsid w:val="008E5F80"/>
    <w:rsid w:val="0090095A"/>
    <w:rsid w:val="009028E2"/>
    <w:rsid w:val="00904895"/>
    <w:rsid w:val="009054B6"/>
    <w:rsid w:val="0091011D"/>
    <w:rsid w:val="00910853"/>
    <w:rsid w:val="00910E2C"/>
    <w:rsid w:val="00912006"/>
    <w:rsid w:val="00913D21"/>
    <w:rsid w:val="00913F7A"/>
    <w:rsid w:val="009144A9"/>
    <w:rsid w:val="009168A7"/>
    <w:rsid w:val="00916D61"/>
    <w:rsid w:val="00922AB8"/>
    <w:rsid w:val="0092591D"/>
    <w:rsid w:val="00931149"/>
    <w:rsid w:val="00931A4F"/>
    <w:rsid w:val="00933113"/>
    <w:rsid w:val="00933909"/>
    <w:rsid w:val="00933C70"/>
    <w:rsid w:val="0093452E"/>
    <w:rsid w:val="00940F01"/>
    <w:rsid w:val="00941D6B"/>
    <w:rsid w:val="00945730"/>
    <w:rsid w:val="00945F74"/>
    <w:rsid w:val="0094617F"/>
    <w:rsid w:val="00946CAC"/>
    <w:rsid w:val="00947A84"/>
    <w:rsid w:val="00950BA8"/>
    <w:rsid w:val="00951A10"/>
    <w:rsid w:val="009524F1"/>
    <w:rsid w:val="0095266E"/>
    <w:rsid w:val="0095414C"/>
    <w:rsid w:val="009603C6"/>
    <w:rsid w:val="009614B5"/>
    <w:rsid w:val="009632B7"/>
    <w:rsid w:val="00964C46"/>
    <w:rsid w:val="009678D5"/>
    <w:rsid w:val="009678F7"/>
    <w:rsid w:val="009700AB"/>
    <w:rsid w:val="00970A24"/>
    <w:rsid w:val="00971D5B"/>
    <w:rsid w:val="009744BD"/>
    <w:rsid w:val="0097654D"/>
    <w:rsid w:val="009865C1"/>
    <w:rsid w:val="0099007C"/>
    <w:rsid w:val="009A7E5D"/>
    <w:rsid w:val="009B237E"/>
    <w:rsid w:val="009B3DA4"/>
    <w:rsid w:val="009B5FAA"/>
    <w:rsid w:val="009C126F"/>
    <w:rsid w:val="009C1325"/>
    <w:rsid w:val="009C4E75"/>
    <w:rsid w:val="009D29A7"/>
    <w:rsid w:val="009D7EBE"/>
    <w:rsid w:val="009E126D"/>
    <w:rsid w:val="009E15C5"/>
    <w:rsid w:val="009E404A"/>
    <w:rsid w:val="009F2438"/>
    <w:rsid w:val="009F712A"/>
    <w:rsid w:val="009F79D9"/>
    <w:rsid w:val="00A003E4"/>
    <w:rsid w:val="00A01C7E"/>
    <w:rsid w:val="00A03244"/>
    <w:rsid w:val="00A10D6C"/>
    <w:rsid w:val="00A12E63"/>
    <w:rsid w:val="00A130E4"/>
    <w:rsid w:val="00A15CE0"/>
    <w:rsid w:val="00A23980"/>
    <w:rsid w:val="00A25052"/>
    <w:rsid w:val="00A261B3"/>
    <w:rsid w:val="00A268A1"/>
    <w:rsid w:val="00A3145A"/>
    <w:rsid w:val="00A336F5"/>
    <w:rsid w:val="00A3768B"/>
    <w:rsid w:val="00A41A31"/>
    <w:rsid w:val="00A43990"/>
    <w:rsid w:val="00A443A9"/>
    <w:rsid w:val="00A45D43"/>
    <w:rsid w:val="00A519C9"/>
    <w:rsid w:val="00A53DBB"/>
    <w:rsid w:val="00A54A56"/>
    <w:rsid w:val="00A565A7"/>
    <w:rsid w:val="00A576A5"/>
    <w:rsid w:val="00A61AF0"/>
    <w:rsid w:val="00A632D9"/>
    <w:rsid w:val="00A650F8"/>
    <w:rsid w:val="00A714D9"/>
    <w:rsid w:val="00A72463"/>
    <w:rsid w:val="00A729F3"/>
    <w:rsid w:val="00A73EF9"/>
    <w:rsid w:val="00A76903"/>
    <w:rsid w:val="00A77BD1"/>
    <w:rsid w:val="00A821C5"/>
    <w:rsid w:val="00A87CD6"/>
    <w:rsid w:val="00A93E88"/>
    <w:rsid w:val="00AA342E"/>
    <w:rsid w:val="00AA4064"/>
    <w:rsid w:val="00AA4C00"/>
    <w:rsid w:val="00AB2058"/>
    <w:rsid w:val="00AB23A6"/>
    <w:rsid w:val="00AB497C"/>
    <w:rsid w:val="00AB6545"/>
    <w:rsid w:val="00AC0AA9"/>
    <w:rsid w:val="00AC2301"/>
    <w:rsid w:val="00AC26BA"/>
    <w:rsid w:val="00AC5CF6"/>
    <w:rsid w:val="00AC6FA4"/>
    <w:rsid w:val="00AD1014"/>
    <w:rsid w:val="00AD3AB8"/>
    <w:rsid w:val="00AD52BF"/>
    <w:rsid w:val="00AF0BC8"/>
    <w:rsid w:val="00AF48C3"/>
    <w:rsid w:val="00AF605D"/>
    <w:rsid w:val="00B00627"/>
    <w:rsid w:val="00B01308"/>
    <w:rsid w:val="00B029B5"/>
    <w:rsid w:val="00B03253"/>
    <w:rsid w:val="00B10158"/>
    <w:rsid w:val="00B10515"/>
    <w:rsid w:val="00B131BA"/>
    <w:rsid w:val="00B13D4E"/>
    <w:rsid w:val="00B143DF"/>
    <w:rsid w:val="00B14D9D"/>
    <w:rsid w:val="00B15733"/>
    <w:rsid w:val="00B177BE"/>
    <w:rsid w:val="00B21286"/>
    <w:rsid w:val="00B36E5F"/>
    <w:rsid w:val="00B44E0C"/>
    <w:rsid w:val="00B50433"/>
    <w:rsid w:val="00B5297A"/>
    <w:rsid w:val="00B52C54"/>
    <w:rsid w:val="00B52C62"/>
    <w:rsid w:val="00B57917"/>
    <w:rsid w:val="00B624B4"/>
    <w:rsid w:val="00B64C00"/>
    <w:rsid w:val="00B652FB"/>
    <w:rsid w:val="00B6700D"/>
    <w:rsid w:val="00B7025B"/>
    <w:rsid w:val="00B758CF"/>
    <w:rsid w:val="00B77A43"/>
    <w:rsid w:val="00B82A62"/>
    <w:rsid w:val="00B909BA"/>
    <w:rsid w:val="00B9629A"/>
    <w:rsid w:val="00BA1729"/>
    <w:rsid w:val="00BA1A9A"/>
    <w:rsid w:val="00BA51E3"/>
    <w:rsid w:val="00BA69E4"/>
    <w:rsid w:val="00BB029B"/>
    <w:rsid w:val="00BB02C1"/>
    <w:rsid w:val="00BB1917"/>
    <w:rsid w:val="00BB374B"/>
    <w:rsid w:val="00BC104A"/>
    <w:rsid w:val="00BC274C"/>
    <w:rsid w:val="00BC40CC"/>
    <w:rsid w:val="00BC41B4"/>
    <w:rsid w:val="00BC7097"/>
    <w:rsid w:val="00BD1F84"/>
    <w:rsid w:val="00BD2118"/>
    <w:rsid w:val="00BD2631"/>
    <w:rsid w:val="00BD6AF0"/>
    <w:rsid w:val="00BD7C15"/>
    <w:rsid w:val="00BD7DD7"/>
    <w:rsid w:val="00BE515C"/>
    <w:rsid w:val="00BE6CE5"/>
    <w:rsid w:val="00BE71DB"/>
    <w:rsid w:val="00BF0F37"/>
    <w:rsid w:val="00BF3478"/>
    <w:rsid w:val="00BF59EE"/>
    <w:rsid w:val="00C00D04"/>
    <w:rsid w:val="00C02776"/>
    <w:rsid w:val="00C0334E"/>
    <w:rsid w:val="00C04E03"/>
    <w:rsid w:val="00C064DC"/>
    <w:rsid w:val="00C06996"/>
    <w:rsid w:val="00C117EA"/>
    <w:rsid w:val="00C139DA"/>
    <w:rsid w:val="00C24042"/>
    <w:rsid w:val="00C314E9"/>
    <w:rsid w:val="00C330BE"/>
    <w:rsid w:val="00C34B0A"/>
    <w:rsid w:val="00C34BBE"/>
    <w:rsid w:val="00C370DB"/>
    <w:rsid w:val="00C4409F"/>
    <w:rsid w:val="00C45D16"/>
    <w:rsid w:val="00C501C2"/>
    <w:rsid w:val="00C527C8"/>
    <w:rsid w:val="00C52AB9"/>
    <w:rsid w:val="00C5511C"/>
    <w:rsid w:val="00C56B8F"/>
    <w:rsid w:val="00C61A89"/>
    <w:rsid w:val="00C6243A"/>
    <w:rsid w:val="00C62E7E"/>
    <w:rsid w:val="00C63302"/>
    <w:rsid w:val="00C653B5"/>
    <w:rsid w:val="00C659AC"/>
    <w:rsid w:val="00C67DD0"/>
    <w:rsid w:val="00C70169"/>
    <w:rsid w:val="00C710F1"/>
    <w:rsid w:val="00C734F8"/>
    <w:rsid w:val="00C74527"/>
    <w:rsid w:val="00C81EA8"/>
    <w:rsid w:val="00C8597A"/>
    <w:rsid w:val="00C918ED"/>
    <w:rsid w:val="00C92383"/>
    <w:rsid w:val="00C9308A"/>
    <w:rsid w:val="00C93847"/>
    <w:rsid w:val="00C96597"/>
    <w:rsid w:val="00C96681"/>
    <w:rsid w:val="00CA2927"/>
    <w:rsid w:val="00CA38F0"/>
    <w:rsid w:val="00CA4E61"/>
    <w:rsid w:val="00CA5434"/>
    <w:rsid w:val="00CA57FA"/>
    <w:rsid w:val="00CB254D"/>
    <w:rsid w:val="00CB37BB"/>
    <w:rsid w:val="00CB4311"/>
    <w:rsid w:val="00CB4CFA"/>
    <w:rsid w:val="00CB5EFE"/>
    <w:rsid w:val="00CB5FB9"/>
    <w:rsid w:val="00CC122E"/>
    <w:rsid w:val="00CC21BC"/>
    <w:rsid w:val="00CC39DF"/>
    <w:rsid w:val="00CC49D0"/>
    <w:rsid w:val="00CD05A8"/>
    <w:rsid w:val="00CD0725"/>
    <w:rsid w:val="00CD1654"/>
    <w:rsid w:val="00CD19B6"/>
    <w:rsid w:val="00CE3919"/>
    <w:rsid w:val="00CE4905"/>
    <w:rsid w:val="00CE4D5C"/>
    <w:rsid w:val="00CE7961"/>
    <w:rsid w:val="00CF1916"/>
    <w:rsid w:val="00D00DEC"/>
    <w:rsid w:val="00D11236"/>
    <w:rsid w:val="00D11D41"/>
    <w:rsid w:val="00D12354"/>
    <w:rsid w:val="00D12436"/>
    <w:rsid w:val="00D1327F"/>
    <w:rsid w:val="00D152CD"/>
    <w:rsid w:val="00D153ED"/>
    <w:rsid w:val="00D21666"/>
    <w:rsid w:val="00D22494"/>
    <w:rsid w:val="00D262A8"/>
    <w:rsid w:val="00D311E4"/>
    <w:rsid w:val="00D32DB4"/>
    <w:rsid w:val="00D3676B"/>
    <w:rsid w:val="00D474DD"/>
    <w:rsid w:val="00D55CC6"/>
    <w:rsid w:val="00D561DA"/>
    <w:rsid w:val="00D573B7"/>
    <w:rsid w:val="00D575EA"/>
    <w:rsid w:val="00D60B2C"/>
    <w:rsid w:val="00D616F9"/>
    <w:rsid w:val="00D66AD4"/>
    <w:rsid w:val="00D67CB8"/>
    <w:rsid w:val="00D702D4"/>
    <w:rsid w:val="00D70914"/>
    <w:rsid w:val="00D7107E"/>
    <w:rsid w:val="00D734CB"/>
    <w:rsid w:val="00D73944"/>
    <w:rsid w:val="00D74D8A"/>
    <w:rsid w:val="00D80878"/>
    <w:rsid w:val="00D80E75"/>
    <w:rsid w:val="00D822B7"/>
    <w:rsid w:val="00D858A8"/>
    <w:rsid w:val="00D8737D"/>
    <w:rsid w:val="00D9102A"/>
    <w:rsid w:val="00D92134"/>
    <w:rsid w:val="00D97847"/>
    <w:rsid w:val="00DA0E56"/>
    <w:rsid w:val="00DA3958"/>
    <w:rsid w:val="00DA3B25"/>
    <w:rsid w:val="00DA646C"/>
    <w:rsid w:val="00DA77B3"/>
    <w:rsid w:val="00DB01D2"/>
    <w:rsid w:val="00DB0690"/>
    <w:rsid w:val="00DB1015"/>
    <w:rsid w:val="00DB14A5"/>
    <w:rsid w:val="00DB1F55"/>
    <w:rsid w:val="00DB64AC"/>
    <w:rsid w:val="00DC0A44"/>
    <w:rsid w:val="00DC0E02"/>
    <w:rsid w:val="00DC378F"/>
    <w:rsid w:val="00DD13BC"/>
    <w:rsid w:val="00DE0188"/>
    <w:rsid w:val="00DE072C"/>
    <w:rsid w:val="00DE2D73"/>
    <w:rsid w:val="00DE4C0D"/>
    <w:rsid w:val="00DF2E58"/>
    <w:rsid w:val="00DF6FF0"/>
    <w:rsid w:val="00DF7135"/>
    <w:rsid w:val="00E021CB"/>
    <w:rsid w:val="00E023B5"/>
    <w:rsid w:val="00E04096"/>
    <w:rsid w:val="00E06E70"/>
    <w:rsid w:val="00E12543"/>
    <w:rsid w:val="00E156A0"/>
    <w:rsid w:val="00E1690A"/>
    <w:rsid w:val="00E17418"/>
    <w:rsid w:val="00E22694"/>
    <w:rsid w:val="00E26387"/>
    <w:rsid w:val="00E26DED"/>
    <w:rsid w:val="00E27335"/>
    <w:rsid w:val="00E34719"/>
    <w:rsid w:val="00E34DB3"/>
    <w:rsid w:val="00E35C5D"/>
    <w:rsid w:val="00E37A37"/>
    <w:rsid w:val="00E37E11"/>
    <w:rsid w:val="00E40A37"/>
    <w:rsid w:val="00E410FA"/>
    <w:rsid w:val="00E41D3F"/>
    <w:rsid w:val="00E47884"/>
    <w:rsid w:val="00E47B62"/>
    <w:rsid w:val="00E516F3"/>
    <w:rsid w:val="00E5344A"/>
    <w:rsid w:val="00E60894"/>
    <w:rsid w:val="00E628ED"/>
    <w:rsid w:val="00E6292C"/>
    <w:rsid w:val="00E62DB0"/>
    <w:rsid w:val="00E6415D"/>
    <w:rsid w:val="00E65215"/>
    <w:rsid w:val="00E6553F"/>
    <w:rsid w:val="00E65B6F"/>
    <w:rsid w:val="00E67D94"/>
    <w:rsid w:val="00E70549"/>
    <w:rsid w:val="00E7326C"/>
    <w:rsid w:val="00E76723"/>
    <w:rsid w:val="00E8322A"/>
    <w:rsid w:val="00E834B0"/>
    <w:rsid w:val="00E91237"/>
    <w:rsid w:val="00E944AF"/>
    <w:rsid w:val="00E94DC3"/>
    <w:rsid w:val="00EA52E1"/>
    <w:rsid w:val="00EA779E"/>
    <w:rsid w:val="00EB11C7"/>
    <w:rsid w:val="00EB19BD"/>
    <w:rsid w:val="00EB666F"/>
    <w:rsid w:val="00EB6B03"/>
    <w:rsid w:val="00EC2473"/>
    <w:rsid w:val="00EC485B"/>
    <w:rsid w:val="00EC7252"/>
    <w:rsid w:val="00ED6E74"/>
    <w:rsid w:val="00ED7928"/>
    <w:rsid w:val="00EE151E"/>
    <w:rsid w:val="00EE31CE"/>
    <w:rsid w:val="00EE37B3"/>
    <w:rsid w:val="00EE499F"/>
    <w:rsid w:val="00EE7422"/>
    <w:rsid w:val="00EF4EC7"/>
    <w:rsid w:val="00EF6523"/>
    <w:rsid w:val="00F02527"/>
    <w:rsid w:val="00F03B79"/>
    <w:rsid w:val="00F05036"/>
    <w:rsid w:val="00F0678A"/>
    <w:rsid w:val="00F122E3"/>
    <w:rsid w:val="00F14014"/>
    <w:rsid w:val="00F16EBE"/>
    <w:rsid w:val="00F20535"/>
    <w:rsid w:val="00F208AF"/>
    <w:rsid w:val="00F21739"/>
    <w:rsid w:val="00F241A6"/>
    <w:rsid w:val="00F242A3"/>
    <w:rsid w:val="00F25232"/>
    <w:rsid w:val="00F2696F"/>
    <w:rsid w:val="00F2731C"/>
    <w:rsid w:val="00F3055C"/>
    <w:rsid w:val="00F31755"/>
    <w:rsid w:val="00F32549"/>
    <w:rsid w:val="00F41398"/>
    <w:rsid w:val="00F41AFA"/>
    <w:rsid w:val="00F455E9"/>
    <w:rsid w:val="00F46588"/>
    <w:rsid w:val="00F46C22"/>
    <w:rsid w:val="00F471B4"/>
    <w:rsid w:val="00F47291"/>
    <w:rsid w:val="00F53A85"/>
    <w:rsid w:val="00F562A5"/>
    <w:rsid w:val="00F6008E"/>
    <w:rsid w:val="00F60347"/>
    <w:rsid w:val="00F62DCA"/>
    <w:rsid w:val="00F7001C"/>
    <w:rsid w:val="00F84C50"/>
    <w:rsid w:val="00F90516"/>
    <w:rsid w:val="00FA1708"/>
    <w:rsid w:val="00FA2322"/>
    <w:rsid w:val="00FA24AC"/>
    <w:rsid w:val="00FA63C1"/>
    <w:rsid w:val="00FB2FFE"/>
    <w:rsid w:val="00FB3217"/>
    <w:rsid w:val="00FB7CC6"/>
    <w:rsid w:val="00FC0C97"/>
    <w:rsid w:val="00FC6DB1"/>
    <w:rsid w:val="00FD7ECC"/>
    <w:rsid w:val="00FF15C6"/>
    <w:rsid w:val="00FF5364"/>
    <w:rsid w:val="00FF7303"/>
    <w:rsid w:val="00FF76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7896BC"/>
  <w15:chartTrackingRefBased/>
  <w15:docId w15:val="{9C6C85F8-F2E5-44B9-8ADC-0E63A96E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75EA"/>
    <w:pPr>
      <w:spacing w:before="80" w:line="216" w:lineRule="auto"/>
      <w:jc w:val="both"/>
    </w:pPr>
    <w:rPr>
      <w:rFonts w:ascii="Marianne" w:hAnsi="Marianne"/>
    </w:rPr>
  </w:style>
  <w:style w:type="paragraph" w:styleId="Titre1">
    <w:name w:val="heading 1"/>
    <w:basedOn w:val="Normal"/>
    <w:next w:val="Normal"/>
    <w:qFormat/>
    <w:pPr>
      <w:keepNext/>
      <w:tabs>
        <w:tab w:val="left" w:pos="1418"/>
      </w:tabs>
      <w:spacing w:before="360"/>
      <w:outlineLvl w:val="0"/>
    </w:pPr>
    <w:rPr>
      <w:rFonts w:cs="Arial"/>
      <w:b/>
      <w:kern w:val="28"/>
      <w:sz w:val="24"/>
    </w:rPr>
  </w:style>
  <w:style w:type="paragraph" w:styleId="Titre2">
    <w:name w:val="heading 2"/>
    <w:basedOn w:val="Normal"/>
    <w:next w:val="Normal"/>
    <w:qFormat/>
    <w:rsid w:val="00A61AF0"/>
    <w:pPr>
      <w:keepNext/>
      <w:numPr>
        <w:numId w:val="47"/>
      </w:numPr>
      <w:pBdr>
        <w:bottom w:val="single" w:sz="4" w:space="1" w:color="auto"/>
      </w:pBdr>
      <w:spacing w:before="480" w:after="120"/>
      <w:ind w:left="357" w:hanging="357"/>
      <w:outlineLvl w:val="1"/>
    </w:pPr>
    <w:rPr>
      <w:b/>
      <w:color w:val="1F3864" w:themeColor="accent1" w:themeShade="80"/>
      <w:sz w:val="24"/>
    </w:rPr>
  </w:style>
  <w:style w:type="paragraph" w:styleId="Titre3">
    <w:name w:val="heading 3"/>
    <w:basedOn w:val="Titre2"/>
    <w:next w:val="Normal"/>
    <w:qFormat/>
    <w:rsid w:val="00DB14A5"/>
    <w:pPr>
      <w:numPr>
        <w:ilvl w:val="1"/>
      </w:numPr>
      <w:pBdr>
        <w:bottom w:val="none" w:sz="0" w:space="0" w:color="auto"/>
      </w:pBdr>
      <w:spacing w:before="300" w:after="0"/>
      <w:ind w:left="697" w:hanging="357"/>
      <w:outlineLvl w:val="2"/>
    </w:pPr>
    <w:rPr>
      <w:sz w:val="22"/>
    </w:rPr>
  </w:style>
  <w:style w:type="paragraph" w:styleId="Titre4">
    <w:name w:val="heading 4"/>
    <w:basedOn w:val="Normal"/>
    <w:next w:val="Normal"/>
    <w:qFormat/>
    <w:pPr>
      <w:keepNext/>
      <w:spacing w:before="200"/>
      <w:jc w:val="left"/>
      <w:outlineLvl w:val="3"/>
    </w:pPr>
    <w:rPr>
      <w:rFonts w:ascii="Arial" w:hAnsi="Arial" w:cs="Arial"/>
      <w:b/>
      <w:sz w:val="18"/>
    </w:rPr>
  </w:style>
  <w:style w:type="paragraph" w:styleId="Titre5">
    <w:name w:val="heading 5"/>
    <w:basedOn w:val="Normal"/>
    <w:next w:val="Normal"/>
    <w:qFormat/>
    <w:pPr>
      <w:keepNext/>
      <w:spacing w:before="0"/>
      <w:jc w:val="left"/>
      <w:outlineLvl w:val="4"/>
    </w:pPr>
    <w:rPr>
      <w:rFonts w:cs="Arial"/>
      <w:b/>
      <w:bCs/>
    </w:rPr>
  </w:style>
  <w:style w:type="paragraph" w:styleId="Titre6">
    <w:name w:val="heading 6"/>
    <w:basedOn w:val="Normal"/>
    <w:next w:val="Normal"/>
    <w:qFormat/>
    <w:pPr>
      <w:keepNext/>
      <w:spacing w:before="0"/>
      <w:jc w:val="center"/>
      <w:outlineLvl w:val="5"/>
    </w:pPr>
    <w:rPr>
      <w:rFonts w:cs="Arial"/>
      <w:b/>
      <w:bCs/>
    </w:rPr>
  </w:style>
  <w:style w:type="paragraph" w:styleId="Titre7">
    <w:name w:val="heading 7"/>
    <w:basedOn w:val="Normal"/>
    <w:next w:val="Normal"/>
    <w:qFormat/>
    <w:pPr>
      <w:keepNext/>
      <w:spacing w:before="360"/>
      <w:jc w:val="left"/>
      <w:outlineLvl w:val="6"/>
    </w:pPr>
    <w:rPr>
      <w:rFonts w:cs="Arial"/>
      <w:b/>
      <w: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Retraitnormal"/>
    <w:pPr>
      <w:spacing w:before="360"/>
      <w:ind w:left="0"/>
    </w:pPr>
    <w:rPr>
      <w:rFonts w:ascii="Univers (W1)" w:hAnsi="Univers (W1)"/>
      <w:sz w:val="24"/>
    </w:rPr>
  </w:style>
  <w:style w:type="paragraph" w:styleId="Retraitnormal">
    <w:name w:val="Normal Indent"/>
    <w:basedOn w:val="Normal"/>
    <w:pPr>
      <w:ind w:left="708"/>
    </w:pPr>
  </w:style>
  <w:style w:type="paragraph" w:customStyle="1" w:styleId="Normalbis">
    <w:name w:val="Normal bis"/>
    <w:basedOn w:val="Normal"/>
    <w:pPr>
      <w:tabs>
        <w:tab w:val="left" w:pos="2268"/>
      </w:tabs>
      <w:spacing w:before="0"/>
    </w:pPr>
    <w:rPr>
      <w:rFonts w:ascii="Times New Roman" w:hAnsi="Times New Roman"/>
    </w:rPr>
  </w:style>
  <w:style w:type="paragraph" w:styleId="En-tte">
    <w:name w:val="header"/>
    <w:basedOn w:val="Normal"/>
    <w:link w:val="En-tteCar"/>
    <w:uiPriority w:val="99"/>
    <w:pPr>
      <w:tabs>
        <w:tab w:val="center" w:pos="4819"/>
        <w:tab w:val="right" w:pos="9071"/>
      </w:tabs>
    </w:pPr>
    <w:rPr>
      <w:rFonts w:ascii="Times New Roman" w:hAnsi="Times New Roman"/>
    </w:rPr>
  </w:style>
  <w:style w:type="paragraph" w:styleId="Pieddepage">
    <w:name w:val="footer"/>
    <w:basedOn w:val="Normal"/>
    <w:link w:val="PieddepageCar"/>
    <w:uiPriority w:val="99"/>
    <w:pPr>
      <w:tabs>
        <w:tab w:val="center" w:pos="4536"/>
        <w:tab w:val="right" w:pos="9072"/>
      </w:tabs>
    </w:pPr>
  </w:style>
  <w:style w:type="paragraph" w:styleId="Corpsdetexte">
    <w:name w:val="Body Text"/>
    <w:basedOn w:val="Normal"/>
    <w:link w:val="CorpsdetexteCar"/>
    <w:pPr>
      <w:jc w:val="left"/>
    </w:pPr>
  </w:style>
  <w:style w:type="paragraph" w:styleId="Corpsdetexte2">
    <w:name w:val="Body Text 2"/>
    <w:basedOn w:val="Normal"/>
    <w:pPr>
      <w:spacing w:before="0"/>
      <w:ind w:right="-284"/>
      <w:jc w:val="left"/>
    </w:pPr>
  </w:style>
  <w:style w:type="paragraph" w:styleId="Normalcentr">
    <w:name w:val="Block Text"/>
    <w:basedOn w:val="Normal"/>
    <w:pPr>
      <w:spacing w:before="120"/>
      <w:ind w:left="142" w:right="5670" w:hanging="142"/>
    </w:pPr>
    <w:rPr>
      <w:rFonts w:ascii="Tahoma" w:hAnsi="Tahoma" w:cs="Tahoma"/>
      <w:sz w:val="18"/>
    </w:rPr>
  </w:style>
  <w:style w:type="paragraph" w:styleId="Corpsdetexte3">
    <w:name w:val="Body Text 3"/>
    <w:basedOn w:val="Normal"/>
    <w:rPr>
      <w:rFonts w:ascii="Arial" w:hAnsi="Arial" w:cs="Arial"/>
      <w:i/>
      <w:iCs/>
    </w:rPr>
  </w:style>
  <w:style w:type="paragraph" w:styleId="Retraitcorpsdetexte">
    <w:name w:val="Body Text Indent"/>
    <w:basedOn w:val="Normal"/>
    <w:pPr>
      <w:tabs>
        <w:tab w:val="right" w:pos="1985"/>
        <w:tab w:val="left" w:pos="2127"/>
        <w:tab w:val="left" w:pos="2268"/>
      </w:tabs>
      <w:spacing w:before="120"/>
      <w:ind w:left="2268" w:hanging="2268"/>
      <w:jc w:val="left"/>
    </w:pPr>
    <w:rPr>
      <w:rFonts w:ascii="Arial" w:hAnsi="Arial" w:cs="Arial"/>
      <w:sz w:val="18"/>
    </w:rPr>
  </w:style>
  <w:style w:type="character" w:styleId="Marquedecommentaire">
    <w:name w:val="annotation reference"/>
    <w:semiHidden/>
    <w:rsid w:val="00831063"/>
    <w:rPr>
      <w:sz w:val="16"/>
      <w:szCs w:val="16"/>
    </w:rPr>
  </w:style>
  <w:style w:type="paragraph" w:styleId="Commentaire">
    <w:name w:val="annotation text"/>
    <w:basedOn w:val="Normal"/>
    <w:link w:val="CommentaireCar"/>
    <w:semiHidden/>
    <w:rsid w:val="00831063"/>
  </w:style>
  <w:style w:type="paragraph" w:styleId="Objetducommentaire">
    <w:name w:val="annotation subject"/>
    <w:basedOn w:val="Commentaire"/>
    <w:next w:val="Commentaire"/>
    <w:semiHidden/>
    <w:rsid w:val="00831063"/>
    <w:rPr>
      <w:b/>
      <w:bCs/>
    </w:rPr>
  </w:style>
  <w:style w:type="paragraph" w:styleId="Textedebulles">
    <w:name w:val="Balloon Text"/>
    <w:basedOn w:val="Normal"/>
    <w:semiHidden/>
    <w:rsid w:val="00831063"/>
    <w:rPr>
      <w:rFonts w:ascii="Tahoma" w:hAnsi="Tahoma" w:cs="Tahoma"/>
      <w:sz w:val="16"/>
      <w:szCs w:val="16"/>
    </w:rPr>
  </w:style>
  <w:style w:type="table" w:styleId="Grilledutableau">
    <w:name w:val="Table Grid"/>
    <w:basedOn w:val="TableauNormal"/>
    <w:rsid w:val="0048654B"/>
    <w:pPr>
      <w:spacing w:befor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576A5"/>
    <w:rPr>
      <w:color w:val="0000FF"/>
      <w:u w:val="single"/>
    </w:rPr>
  </w:style>
  <w:style w:type="paragraph" w:styleId="Notedebasdepage">
    <w:name w:val="footnote text"/>
    <w:basedOn w:val="Normal"/>
    <w:semiHidden/>
    <w:rsid w:val="00A576A5"/>
  </w:style>
  <w:style w:type="character" w:styleId="Appelnotedebasdep">
    <w:name w:val="footnote reference"/>
    <w:semiHidden/>
    <w:rsid w:val="00A576A5"/>
    <w:rPr>
      <w:vertAlign w:val="superscript"/>
    </w:rPr>
  </w:style>
  <w:style w:type="character" w:customStyle="1" w:styleId="PieddepageCar">
    <w:name w:val="Pied de page Car"/>
    <w:link w:val="Pieddepage"/>
    <w:uiPriority w:val="99"/>
    <w:rsid w:val="00C96597"/>
    <w:rPr>
      <w:rFonts w:ascii="Arial" w:hAnsi="Arial"/>
    </w:rPr>
  </w:style>
  <w:style w:type="paragraph" w:styleId="Paragraphedeliste">
    <w:name w:val="List Paragraph"/>
    <w:aliases w:val="Bulet point"/>
    <w:basedOn w:val="Normal"/>
    <w:link w:val="ParagraphedelisteCar"/>
    <w:uiPriority w:val="34"/>
    <w:qFormat/>
    <w:rsid w:val="0039377E"/>
    <w:pPr>
      <w:ind w:left="708"/>
    </w:pPr>
  </w:style>
  <w:style w:type="character" w:customStyle="1" w:styleId="En-tteCar">
    <w:name w:val="En-tête Car"/>
    <w:link w:val="En-tte"/>
    <w:uiPriority w:val="99"/>
    <w:rsid w:val="00D92134"/>
  </w:style>
  <w:style w:type="paragraph" w:customStyle="1" w:styleId="titre0">
    <w:name w:val="titre0"/>
    <w:basedOn w:val="Normal"/>
    <w:link w:val="titre0Car"/>
    <w:rsid w:val="005C0026"/>
    <w:pPr>
      <w:spacing w:before="0" w:after="720"/>
      <w:jc w:val="center"/>
    </w:pPr>
    <w:rPr>
      <w:rFonts w:ascii="Garamond" w:hAnsi="Garamond"/>
      <w:b/>
      <w:bCs/>
      <w:caps/>
      <w:sz w:val="32"/>
      <w:szCs w:val="24"/>
    </w:rPr>
  </w:style>
  <w:style w:type="character" w:customStyle="1" w:styleId="titre0Car">
    <w:name w:val="titre0 Car"/>
    <w:link w:val="titre0"/>
    <w:rsid w:val="005C0026"/>
    <w:rPr>
      <w:rFonts w:ascii="Garamond" w:hAnsi="Garamond"/>
      <w:b/>
      <w:bCs/>
      <w:caps/>
      <w:sz w:val="32"/>
      <w:szCs w:val="24"/>
    </w:rPr>
  </w:style>
  <w:style w:type="character" w:styleId="Lienhypertextesuivivisit">
    <w:name w:val="FollowedHyperlink"/>
    <w:rsid w:val="005C0026"/>
    <w:rPr>
      <w:color w:val="800080"/>
      <w:u w:val="single"/>
    </w:rPr>
  </w:style>
  <w:style w:type="paragraph" w:styleId="Rvision">
    <w:name w:val="Revision"/>
    <w:hidden/>
    <w:uiPriority w:val="99"/>
    <w:semiHidden/>
    <w:rsid w:val="000A5402"/>
    <w:rPr>
      <w:rFonts w:ascii="Arial" w:hAnsi="Arial"/>
    </w:rPr>
  </w:style>
  <w:style w:type="character" w:styleId="lev">
    <w:name w:val="Strong"/>
    <w:qFormat/>
    <w:rsid w:val="007F4871"/>
    <w:rPr>
      <w:b/>
      <w:bCs/>
    </w:rPr>
  </w:style>
  <w:style w:type="paragraph" w:styleId="Textebrut">
    <w:name w:val="Plain Text"/>
    <w:basedOn w:val="Normal"/>
    <w:link w:val="TextebrutCar"/>
    <w:uiPriority w:val="99"/>
    <w:unhideWhenUsed/>
    <w:rsid w:val="00C527C8"/>
    <w:pPr>
      <w:spacing w:before="0"/>
      <w:jc w:val="left"/>
    </w:pPr>
    <w:rPr>
      <w:rFonts w:ascii="Consolas" w:eastAsia="Calibri" w:hAnsi="Consolas" w:cs="Consolas"/>
      <w:sz w:val="21"/>
      <w:szCs w:val="21"/>
      <w:lang w:eastAsia="en-US"/>
    </w:rPr>
  </w:style>
  <w:style w:type="character" w:customStyle="1" w:styleId="TextebrutCar">
    <w:name w:val="Texte brut Car"/>
    <w:link w:val="Textebrut"/>
    <w:uiPriority w:val="99"/>
    <w:rsid w:val="00C527C8"/>
    <w:rPr>
      <w:rFonts w:ascii="Consolas" w:eastAsia="Calibri" w:hAnsi="Consolas" w:cs="Consolas"/>
      <w:sz w:val="21"/>
      <w:szCs w:val="21"/>
      <w:lang w:eastAsia="en-US"/>
    </w:rPr>
  </w:style>
  <w:style w:type="character" w:customStyle="1" w:styleId="CorpsdetexteCar">
    <w:name w:val="Corps de texte Car"/>
    <w:link w:val="Corpsdetexte"/>
    <w:rsid w:val="003E09D9"/>
    <w:rPr>
      <w:rFonts w:ascii="Arial" w:hAnsi="Arial"/>
    </w:rPr>
  </w:style>
  <w:style w:type="character" w:styleId="Mentionnonrsolue">
    <w:name w:val="Unresolved Mention"/>
    <w:uiPriority w:val="99"/>
    <w:semiHidden/>
    <w:unhideWhenUsed/>
    <w:rsid w:val="008B3ADA"/>
    <w:rPr>
      <w:color w:val="605E5C"/>
      <w:shd w:val="clear" w:color="auto" w:fill="E1DFDD"/>
    </w:rPr>
  </w:style>
  <w:style w:type="paragraph" w:customStyle="1" w:styleId="Puces1TS">
    <w:name w:val="Puces 1_TS"/>
    <w:basedOn w:val="Normal"/>
    <w:link w:val="Puces1TSCar"/>
    <w:qFormat/>
    <w:rsid w:val="00A61AF0"/>
    <w:pPr>
      <w:spacing w:before="60" w:line="240" w:lineRule="auto"/>
    </w:pPr>
    <w:rPr>
      <w:rFonts w:cs="Arial"/>
      <w:sz w:val="18"/>
      <w:szCs w:val="18"/>
    </w:rPr>
  </w:style>
  <w:style w:type="character" w:customStyle="1" w:styleId="Puces1TSCar">
    <w:name w:val="Puces 1_TS Car"/>
    <w:link w:val="Puces1TS"/>
    <w:rsid w:val="00A61AF0"/>
    <w:rPr>
      <w:rFonts w:ascii="Marianne" w:hAnsi="Marianne" w:cs="Arial"/>
      <w:sz w:val="18"/>
      <w:szCs w:val="18"/>
      <w:lang w:val="fr-FR" w:eastAsia="fr-FR"/>
    </w:rPr>
  </w:style>
  <w:style w:type="paragraph" w:styleId="En-ttedetabledesmatires">
    <w:name w:val="TOC Heading"/>
    <w:basedOn w:val="Titre1"/>
    <w:next w:val="Normal"/>
    <w:uiPriority w:val="39"/>
    <w:unhideWhenUsed/>
    <w:qFormat/>
    <w:rsid w:val="00A61AF0"/>
    <w:pPr>
      <w:keepLines/>
      <w:tabs>
        <w:tab w:val="clear" w:pos="1418"/>
      </w:tabs>
      <w:spacing w:before="24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TM2">
    <w:name w:val="toc 2"/>
    <w:basedOn w:val="Normal"/>
    <w:next w:val="Normal"/>
    <w:autoRedefine/>
    <w:uiPriority w:val="39"/>
    <w:rsid w:val="00D561DA"/>
    <w:pPr>
      <w:tabs>
        <w:tab w:val="left" w:pos="1540"/>
        <w:tab w:val="right" w:leader="dot" w:pos="9060"/>
      </w:tabs>
      <w:spacing w:after="100"/>
      <w:ind w:left="200"/>
    </w:pPr>
  </w:style>
  <w:style w:type="paragraph" w:styleId="TM3">
    <w:name w:val="toc 3"/>
    <w:basedOn w:val="Normal"/>
    <w:next w:val="Normal"/>
    <w:autoRedefine/>
    <w:uiPriority w:val="39"/>
    <w:rsid w:val="00FA1708"/>
    <w:pPr>
      <w:tabs>
        <w:tab w:val="left" w:pos="1760"/>
        <w:tab w:val="right" w:leader="dot" w:pos="9060"/>
      </w:tabs>
      <w:spacing w:after="100"/>
      <w:ind w:left="400"/>
    </w:pPr>
  </w:style>
  <w:style w:type="character" w:customStyle="1" w:styleId="CommentaireCar">
    <w:name w:val="Commentaire Car"/>
    <w:basedOn w:val="Policepardfaut"/>
    <w:link w:val="Commentaire"/>
    <w:semiHidden/>
    <w:rsid w:val="00F2696F"/>
    <w:rPr>
      <w:rFonts w:ascii="Marianne" w:hAnsi="Marianne"/>
    </w:rPr>
  </w:style>
  <w:style w:type="paragraph" w:styleId="Sous-titre">
    <w:name w:val="Subtitle"/>
    <w:aliases w:val="Texte normal"/>
    <w:basedOn w:val="Normal"/>
    <w:next w:val="Normal"/>
    <w:link w:val="Sous-titreCar"/>
    <w:qFormat/>
    <w:rsid w:val="00A632D9"/>
    <w:pPr>
      <w:spacing w:before="120"/>
    </w:pPr>
    <w:rPr>
      <w:bCs/>
      <w:szCs w:val="22"/>
    </w:rPr>
  </w:style>
  <w:style w:type="character" w:customStyle="1" w:styleId="Sous-titreCar">
    <w:name w:val="Sous-titre Car"/>
    <w:aliases w:val="Texte normal Car"/>
    <w:basedOn w:val="Policepardfaut"/>
    <w:link w:val="Sous-titre"/>
    <w:rsid w:val="00A632D9"/>
    <w:rPr>
      <w:rFonts w:ascii="Marianne" w:hAnsi="Marianne"/>
      <w:bCs/>
      <w:szCs w:val="22"/>
    </w:rPr>
  </w:style>
  <w:style w:type="paragraph" w:customStyle="1" w:styleId="alinea">
    <w:name w:val="alinea"/>
    <w:basedOn w:val="Sous-titre"/>
    <w:link w:val="alineaCar"/>
    <w:qFormat/>
    <w:rsid w:val="00A03244"/>
    <w:pPr>
      <w:numPr>
        <w:numId w:val="60"/>
      </w:numPr>
    </w:pPr>
  </w:style>
  <w:style w:type="character" w:customStyle="1" w:styleId="alineaCar">
    <w:name w:val="alinea Car"/>
    <w:basedOn w:val="Sous-titreCar"/>
    <w:link w:val="alinea"/>
    <w:rsid w:val="00A03244"/>
    <w:rPr>
      <w:rFonts w:ascii="Marianne" w:hAnsi="Marianne"/>
      <w:bCs/>
      <w:szCs w:val="22"/>
    </w:rPr>
  </w:style>
  <w:style w:type="character" w:customStyle="1" w:styleId="ParagraphedelisteCar">
    <w:name w:val="Paragraphe de liste Car"/>
    <w:aliases w:val="Bulet point Car"/>
    <w:link w:val="Paragraphedeliste"/>
    <w:uiPriority w:val="34"/>
    <w:rsid w:val="00CD19B6"/>
    <w:rPr>
      <w:rFonts w:ascii="Marianne" w:hAnsi="Marian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33323">
      <w:bodyDiv w:val="1"/>
      <w:marLeft w:val="0"/>
      <w:marRight w:val="0"/>
      <w:marTop w:val="0"/>
      <w:marBottom w:val="0"/>
      <w:divBdr>
        <w:top w:val="none" w:sz="0" w:space="0" w:color="auto"/>
        <w:left w:val="none" w:sz="0" w:space="0" w:color="auto"/>
        <w:bottom w:val="none" w:sz="0" w:space="0" w:color="auto"/>
        <w:right w:val="none" w:sz="0" w:space="0" w:color="auto"/>
      </w:divBdr>
    </w:div>
    <w:div w:id="696009804">
      <w:bodyDiv w:val="1"/>
      <w:marLeft w:val="0"/>
      <w:marRight w:val="0"/>
      <w:marTop w:val="0"/>
      <w:marBottom w:val="0"/>
      <w:divBdr>
        <w:top w:val="none" w:sz="0" w:space="0" w:color="auto"/>
        <w:left w:val="none" w:sz="0" w:space="0" w:color="auto"/>
        <w:bottom w:val="none" w:sz="0" w:space="0" w:color="auto"/>
        <w:right w:val="none" w:sz="0" w:space="0" w:color="auto"/>
      </w:divBdr>
    </w:div>
    <w:div w:id="1332021716">
      <w:bodyDiv w:val="1"/>
      <w:marLeft w:val="0"/>
      <w:marRight w:val="0"/>
      <w:marTop w:val="0"/>
      <w:marBottom w:val="0"/>
      <w:divBdr>
        <w:top w:val="none" w:sz="0" w:space="0" w:color="auto"/>
        <w:left w:val="none" w:sz="0" w:space="0" w:color="auto"/>
        <w:bottom w:val="none" w:sz="0" w:space="0" w:color="auto"/>
        <w:right w:val="none" w:sz="0" w:space="0" w:color="auto"/>
      </w:divBdr>
    </w:div>
    <w:div w:id="1377700053">
      <w:bodyDiv w:val="1"/>
      <w:marLeft w:val="0"/>
      <w:marRight w:val="0"/>
      <w:marTop w:val="0"/>
      <w:marBottom w:val="0"/>
      <w:divBdr>
        <w:top w:val="none" w:sz="0" w:space="0" w:color="auto"/>
        <w:left w:val="none" w:sz="0" w:space="0" w:color="auto"/>
        <w:bottom w:val="none" w:sz="0" w:space="0" w:color="auto"/>
        <w:right w:val="none" w:sz="0" w:space="0" w:color="auto"/>
      </w:divBdr>
    </w:div>
    <w:div w:id="1520655330">
      <w:bodyDiv w:val="1"/>
      <w:marLeft w:val="0"/>
      <w:marRight w:val="0"/>
      <w:marTop w:val="0"/>
      <w:marBottom w:val="0"/>
      <w:divBdr>
        <w:top w:val="none" w:sz="0" w:space="0" w:color="auto"/>
        <w:left w:val="none" w:sz="0" w:space="0" w:color="auto"/>
        <w:bottom w:val="none" w:sz="0" w:space="0" w:color="auto"/>
        <w:right w:val="none" w:sz="0" w:space="0" w:color="auto"/>
      </w:divBdr>
    </w:div>
    <w:div w:id="1587423304">
      <w:bodyDiv w:val="1"/>
      <w:marLeft w:val="0"/>
      <w:marRight w:val="0"/>
      <w:marTop w:val="0"/>
      <w:marBottom w:val="0"/>
      <w:divBdr>
        <w:top w:val="none" w:sz="0" w:space="0" w:color="auto"/>
        <w:left w:val="none" w:sz="0" w:space="0" w:color="auto"/>
        <w:bottom w:val="none" w:sz="0" w:space="0" w:color="auto"/>
        <w:right w:val="none" w:sz="0" w:space="0" w:color="auto"/>
      </w:divBdr>
    </w:div>
    <w:div w:id="1598323105">
      <w:bodyDiv w:val="1"/>
      <w:marLeft w:val="0"/>
      <w:marRight w:val="0"/>
      <w:marTop w:val="0"/>
      <w:marBottom w:val="0"/>
      <w:divBdr>
        <w:top w:val="none" w:sz="0" w:space="0" w:color="auto"/>
        <w:left w:val="none" w:sz="0" w:space="0" w:color="auto"/>
        <w:bottom w:val="none" w:sz="0" w:space="0" w:color="auto"/>
        <w:right w:val="none" w:sz="0" w:space="0" w:color="auto"/>
      </w:divBdr>
    </w:div>
    <w:div w:id="1670329184">
      <w:bodyDiv w:val="1"/>
      <w:marLeft w:val="0"/>
      <w:marRight w:val="0"/>
      <w:marTop w:val="0"/>
      <w:marBottom w:val="0"/>
      <w:divBdr>
        <w:top w:val="none" w:sz="0" w:space="0" w:color="auto"/>
        <w:left w:val="none" w:sz="0" w:space="0" w:color="auto"/>
        <w:bottom w:val="none" w:sz="0" w:space="0" w:color="auto"/>
        <w:right w:val="none" w:sz="0" w:space="0" w:color="auto"/>
      </w:divBdr>
    </w:div>
    <w:div w:id="1716848493">
      <w:bodyDiv w:val="1"/>
      <w:marLeft w:val="0"/>
      <w:marRight w:val="0"/>
      <w:marTop w:val="0"/>
      <w:marBottom w:val="0"/>
      <w:divBdr>
        <w:top w:val="none" w:sz="0" w:space="0" w:color="auto"/>
        <w:left w:val="none" w:sz="0" w:space="0" w:color="auto"/>
        <w:bottom w:val="none" w:sz="0" w:space="0" w:color="auto"/>
        <w:right w:val="none" w:sz="0" w:space="0" w:color="auto"/>
      </w:divBdr>
    </w:div>
    <w:div w:id="1877502786">
      <w:bodyDiv w:val="1"/>
      <w:marLeft w:val="0"/>
      <w:marRight w:val="0"/>
      <w:marTop w:val="0"/>
      <w:marBottom w:val="0"/>
      <w:divBdr>
        <w:top w:val="none" w:sz="0" w:space="0" w:color="auto"/>
        <w:left w:val="none" w:sz="0" w:space="0" w:color="auto"/>
        <w:bottom w:val="none" w:sz="0" w:space="0" w:color="auto"/>
        <w:right w:val="none" w:sz="0" w:space="0" w:color="auto"/>
      </w:divBdr>
    </w:div>
    <w:div w:id="213058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si.gouv.fr/fr/certification-qualification/qualification-d-un-prestataire-de-service-de-confiance/organismes-de-qualification-habilite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Entreprise.EntrepriseAdvancedSearch&amp;AllCons&amp;id=2742659&amp;orgAcronyme=d3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page=Entreprise.EntrepriseAdvancedSearch&amp;AllCons&amp;id=2742659&amp;orgAcronyme=d3f" TargetMode="Externa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D216E-C1C0-4A56-A743-7D302B093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3385</Words>
  <Characters>19170</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Ministère de la Justice</Company>
  <LinksUpToDate>false</LinksUpToDate>
  <CharactersWithSpaces>22510</CharactersWithSpaces>
  <SharedDoc>false</SharedDoc>
  <HLinks>
    <vt:vector size="6" baseType="variant">
      <vt:variant>
        <vt:i4>5242894</vt:i4>
      </vt:variant>
      <vt:variant>
        <vt:i4>0</vt:i4>
      </vt:variant>
      <vt:variant>
        <vt:i4>0</vt:i4>
      </vt:variant>
      <vt:variant>
        <vt:i4>5</vt:i4>
      </vt:variant>
      <vt:variant>
        <vt:lpwstr>https://www.economie.gouv.fr/daj/formulaires-declaration-du-candidat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subject/>
  <dc:creator>MINISTERE DE LA JUSTICE</dc:creator>
  <cp:keywords/>
  <cp:lastModifiedBy>LAFITTE Mathieu</cp:lastModifiedBy>
  <cp:revision>5</cp:revision>
  <cp:lastPrinted>2018-03-28T12:55:00Z</cp:lastPrinted>
  <dcterms:created xsi:type="dcterms:W3CDTF">2025-04-24T08:03:00Z</dcterms:created>
  <dcterms:modified xsi:type="dcterms:W3CDTF">2025-04-25T15:23:00Z</dcterms:modified>
</cp:coreProperties>
</file>